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E0" w:rsidRPr="00D83EE0" w:rsidRDefault="00D83EE0" w:rsidP="00D83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left="2280" w:hanging="2280"/>
        <w:rPr>
          <w:rFonts w:ascii="Arial" w:eastAsia="Times New Roman" w:hAnsi="Arial" w:cs="Times New Roman"/>
          <w:sz w:val="20"/>
          <w:szCs w:val="20"/>
          <w:lang w:bidi="ar-SA"/>
        </w:rPr>
      </w:pPr>
    </w:p>
    <w:p w:rsidR="00D83EE0" w:rsidRPr="00D83EE0" w:rsidRDefault="00D83EE0" w:rsidP="00D83EE0">
      <w:pPr>
        <w:widowControl w:val="0"/>
        <w:tabs>
          <w:tab w:val="right" w:pos="9360"/>
        </w:tabs>
        <w:jc w:val="both"/>
        <w:rPr>
          <w:rFonts w:ascii="Arial" w:eastAsia="Times New Roman" w:hAnsi="Arial" w:cs="Arial"/>
          <w:sz w:val="20"/>
          <w:szCs w:val="20"/>
          <w:lang w:bidi="ar-SA"/>
        </w:rPr>
      </w:pPr>
      <w:r w:rsidRPr="00D83EE0">
        <w:rPr>
          <w:rFonts w:ascii="Arial" w:eastAsia="Times New Roman" w:hAnsi="Arial" w:cs="Arial"/>
          <w:sz w:val="20"/>
          <w:szCs w:val="20"/>
          <w:lang w:bidi="ar-SA"/>
        </w:rPr>
        <w:t>WN U-11</w:t>
      </w:r>
      <w:r w:rsidRPr="00D83EE0">
        <w:rPr>
          <w:rFonts w:ascii="Arial" w:eastAsia="Times New Roman" w:hAnsi="Arial" w:cs="Arial"/>
          <w:sz w:val="20"/>
          <w:szCs w:val="20"/>
          <w:lang w:bidi="ar-SA"/>
        </w:rPr>
        <w:tab/>
        <w:t>SECTION 3</w:t>
      </w:r>
    </w:p>
    <w:p w:rsidR="00D83EE0" w:rsidRPr="00D83EE0" w:rsidRDefault="00D83EE0" w:rsidP="00D83EE0">
      <w:pPr>
        <w:widowControl w:val="0"/>
        <w:tabs>
          <w:tab w:val="right" w:pos="9360"/>
        </w:tabs>
        <w:jc w:val="both"/>
        <w:rPr>
          <w:rFonts w:ascii="Arial" w:eastAsia="Times New Roman" w:hAnsi="Arial" w:cs="Arial"/>
          <w:sz w:val="20"/>
          <w:szCs w:val="20"/>
          <w:lang w:bidi="ar-SA"/>
        </w:rPr>
      </w:pPr>
      <w:proofErr w:type="gramStart"/>
      <w:r w:rsidRPr="00D83EE0">
        <w:rPr>
          <w:rFonts w:ascii="Arial" w:eastAsia="Times New Roman" w:hAnsi="Arial" w:cs="Arial"/>
          <w:sz w:val="20"/>
          <w:szCs w:val="20"/>
          <w:lang w:bidi="ar-SA"/>
        </w:rPr>
        <w:t>CenturyTel of Washington, Inc.</w:t>
      </w:r>
      <w:proofErr w:type="gramEnd"/>
      <w:r w:rsidRPr="00D83EE0">
        <w:rPr>
          <w:rFonts w:ascii="Arial" w:eastAsia="Times New Roman" w:hAnsi="Arial" w:cs="Arial"/>
          <w:sz w:val="20"/>
          <w:szCs w:val="20"/>
          <w:lang w:bidi="ar-SA"/>
        </w:rPr>
        <w:t xml:space="preserve"> </w:t>
      </w:r>
    </w:p>
    <w:p w:rsidR="00D83EE0" w:rsidRPr="00D83EE0" w:rsidRDefault="00D83EE0" w:rsidP="00D83EE0">
      <w:pPr>
        <w:widowControl w:val="0"/>
        <w:tabs>
          <w:tab w:val="right" w:pos="9360"/>
        </w:tabs>
        <w:jc w:val="both"/>
        <w:rPr>
          <w:rFonts w:ascii="Arial" w:eastAsia="Times New Roman" w:hAnsi="Arial" w:cs="Arial"/>
          <w:sz w:val="20"/>
          <w:szCs w:val="20"/>
          <w:lang w:bidi="ar-SA"/>
        </w:rPr>
      </w:pPr>
      <w:proofErr w:type="gramStart"/>
      <w:r w:rsidRPr="00D83EE0">
        <w:rPr>
          <w:rFonts w:ascii="Arial" w:eastAsia="Times New Roman" w:hAnsi="Arial" w:cs="Arial"/>
          <w:sz w:val="20"/>
          <w:szCs w:val="20"/>
          <w:lang w:bidi="ar-SA"/>
        </w:rPr>
        <w:t>d/b/a</w:t>
      </w:r>
      <w:proofErr w:type="gramEnd"/>
      <w:r w:rsidRPr="00D83EE0">
        <w:rPr>
          <w:rFonts w:ascii="Arial" w:eastAsia="Times New Roman" w:hAnsi="Arial" w:cs="Arial"/>
          <w:sz w:val="20"/>
          <w:szCs w:val="20"/>
          <w:lang w:bidi="ar-SA"/>
        </w:rPr>
        <w:t xml:space="preserve"> CenturyLink</w:t>
      </w:r>
      <w:r w:rsidRPr="00D83EE0">
        <w:rPr>
          <w:rFonts w:ascii="Arial" w:eastAsia="Times New Roman" w:hAnsi="Arial" w:cs="Arial"/>
          <w:sz w:val="20"/>
          <w:szCs w:val="20"/>
          <w:lang w:bidi="ar-SA"/>
        </w:rPr>
        <w:tab/>
      </w:r>
      <w:r w:rsidR="005D244C">
        <w:rPr>
          <w:rFonts w:ascii="Arial" w:eastAsia="Times New Roman" w:hAnsi="Arial" w:cs="Arial"/>
          <w:sz w:val="20"/>
          <w:szCs w:val="20"/>
          <w:lang w:bidi="ar-SA"/>
        </w:rPr>
        <w:t xml:space="preserve">First Revised </w:t>
      </w:r>
      <w:r w:rsidRPr="00D83EE0">
        <w:rPr>
          <w:rFonts w:ascii="Arial" w:eastAsia="Times New Roman" w:hAnsi="Arial" w:cs="Arial"/>
          <w:sz w:val="20"/>
          <w:szCs w:val="20"/>
          <w:lang w:bidi="ar-SA"/>
        </w:rPr>
        <w:t>Sheet 24</w:t>
      </w:r>
    </w:p>
    <w:p w:rsidR="00D83EE0" w:rsidRDefault="005D244C" w:rsidP="005D244C">
      <w:pPr>
        <w:widowControl w:val="0"/>
        <w:tabs>
          <w:tab w:val="right" w:pos="9360"/>
        </w:tabs>
        <w:jc w:val="right"/>
        <w:rPr>
          <w:rFonts w:ascii="Arial" w:eastAsia="Times New Roman" w:hAnsi="Arial" w:cs="Arial"/>
          <w:sz w:val="20"/>
          <w:szCs w:val="20"/>
          <w:lang w:bidi="ar-SA"/>
        </w:rPr>
      </w:pPr>
      <w:r>
        <w:rPr>
          <w:rFonts w:ascii="Arial" w:eastAsia="Times New Roman" w:hAnsi="Arial" w:cs="Arial"/>
          <w:sz w:val="20"/>
          <w:szCs w:val="20"/>
          <w:lang w:bidi="ar-SA"/>
        </w:rPr>
        <w:t>Cancels Original Sheet 24</w:t>
      </w:r>
    </w:p>
    <w:p w:rsidR="005D244C" w:rsidRPr="00D83EE0" w:rsidRDefault="005D244C" w:rsidP="005D244C">
      <w:pPr>
        <w:widowControl w:val="0"/>
        <w:tabs>
          <w:tab w:val="right" w:pos="9360"/>
        </w:tabs>
        <w:jc w:val="right"/>
        <w:rPr>
          <w:rFonts w:ascii="Arial" w:eastAsia="Times New Roman" w:hAnsi="Arial" w:cs="Arial"/>
          <w:sz w:val="20"/>
          <w:szCs w:val="20"/>
          <w:lang w:bidi="ar-SA"/>
        </w:rPr>
      </w:pPr>
    </w:p>
    <w:tbl>
      <w:tblPr>
        <w:tblW w:w="10548" w:type="dxa"/>
        <w:tblBorders>
          <w:bottom w:val="single" w:sz="4" w:space="0" w:color="auto"/>
        </w:tblBorders>
        <w:tblLook w:val="04A0"/>
      </w:tblPr>
      <w:tblGrid>
        <w:gridCol w:w="9468"/>
        <w:gridCol w:w="1080"/>
      </w:tblGrid>
      <w:tr w:rsidR="00D83EE0" w:rsidRPr="00D83EE0" w:rsidTr="00D83EE0">
        <w:trPr>
          <w:trHeight w:val="11358"/>
        </w:trPr>
        <w:tc>
          <w:tcPr>
            <w:tcW w:w="9468" w:type="dxa"/>
            <w:tcBorders>
              <w:top w:val="single" w:sz="4" w:space="0" w:color="auto"/>
              <w:bottom w:val="nil"/>
            </w:tcBorders>
          </w:tcPr>
          <w:p w:rsidR="00D83EE0" w:rsidRPr="00D83EE0" w:rsidRDefault="00D83EE0" w:rsidP="00D83EE0">
            <w:pPr>
              <w:widowControl w:val="0"/>
              <w:ind w:left="540" w:hanging="540"/>
              <w:jc w:val="center"/>
              <w:rPr>
                <w:rFonts w:ascii="Arial" w:eastAsia="Times New Roman" w:hAnsi="Arial" w:cs="Arial"/>
                <w:snapToGrid w:val="0"/>
                <w:sz w:val="20"/>
                <w:szCs w:val="20"/>
                <w:u w:val="single"/>
                <w:lang w:bidi="ar-SA"/>
              </w:rPr>
            </w:pPr>
          </w:p>
          <w:p w:rsidR="00D83EE0" w:rsidRPr="00D83EE0" w:rsidRDefault="00D83EE0" w:rsidP="00D83EE0">
            <w:pPr>
              <w:widowControl w:val="0"/>
              <w:ind w:left="540" w:hanging="540"/>
              <w:jc w:val="center"/>
              <w:rPr>
                <w:rFonts w:ascii="Arial" w:eastAsia="Times New Roman" w:hAnsi="Arial" w:cs="Arial"/>
                <w:snapToGrid w:val="0"/>
                <w:sz w:val="20"/>
                <w:szCs w:val="20"/>
                <w:u w:val="single"/>
                <w:lang w:bidi="ar-SA"/>
              </w:rPr>
            </w:pPr>
            <w:r w:rsidRPr="00D83EE0">
              <w:rPr>
                <w:rFonts w:ascii="Arial" w:eastAsia="Times New Roman" w:hAnsi="Arial" w:cs="Arial"/>
                <w:snapToGrid w:val="0"/>
                <w:sz w:val="20"/>
                <w:szCs w:val="20"/>
                <w:u w:val="single"/>
                <w:lang w:bidi="ar-SA"/>
              </w:rPr>
              <w:t>UNIVERSAL EMERGENCY NUMBER SERVICE - 911</w:t>
            </w:r>
          </w:p>
          <w:p w:rsidR="00D83EE0" w:rsidRPr="00D83EE0" w:rsidRDefault="00D83EE0" w:rsidP="00D83EE0">
            <w:pPr>
              <w:widowControl w:val="0"/>
              <w:ind w:left="540" w:right="-4320" w:hanging="540"/>
              <w:jc w:val="both"/>
              <w:rPr>
                <w:rFonts w:ascii="Arial" w:eastAsia="Times New Roman" w:hAnsi="Arial" w:cs="Arial"/>
                <w:snapToGrid w:val="0"/>
                <w:sz w:val="20"/>
                <w:szCs w:val="20"/>
                <w:lang w:bidi="ar-SA"/>
              </w:rPr>
            </w:pPr>
          </w:p>
          <w:p w:rsidR="00D83EE0" w:rsidRPr="00D83EE0" w:rsidRDefault="00D83EE0" w:rsidP="00D83EE0">
            <w:pPr>
              <w:widowControl w:val="0"/>
              <w:ind w:left="540" w:right="-4320" w:hanging="540"/>
              <w:jc w:val="both"/>
              <w:rPr>
                <w:rFonts w:ascii="Arial" w:eastAsia="Times New Roman" w:hAnsi="Arial" w:cs="Arial"/>
                <w:snapToGrid w:val="0"/>
                <w:sz w:val="20"/>
                <w:szCs w:val="20"/>
                <w:lang w:bidi="ar-SA"/>
              </w:rPr>
            </w:pPr>
          </w:p>
          <w:p w:rsidR="00D83EE0" w:rsidRPr="00D83EE0" w:rsidRDefault="00D83EE0" w:rsidP="00D83EE0">
            <w:pPr>
              <w:widowControl w:val="0"/>
              <w:ind w:left="540" w:right="-4320" w:hanging="540"/>
              <w:jc w:val="both"/>
              <w:rPr>
                <w:rFonts w:ascii="Arial" w:eastAsia="Times New Roman" w:hAnsi="Arial" w:cs="Arial"/>
                <w:snapToGrid w:val="0"/>
                <w:sz w:val="20"/>
                <w:szCs w:val="20"/>
                <w:lang w:bidi="ar-SA"/>
              </w:rPr>
            </w:pPr>
            <w:r w:rsidRPr="00D83EE0">
              <w:rPr>
                <w:rFonts w:ascii="Arial" w:eastAsia="Times New Roman" w:hAnsi="Arial" w:cs="Arial"/>
                <w:snapToGrid w:val="0"/>
                <w:sz w:val="20"/>
                <w:szCs w:val="20"/>
                <w:lang w:bidi="ar-SA"/>
              </w:rPr>
              <w:t>B.</w:t>
            </w:r>
            <w:r w:rsidRPr="00D83EE0">
              <w:rPr>
                <w:rFonts w:ascii="Arial" w:eastAsia="Times New Roman" w:hAnsi="Arial" w:cs="Arial"/>
                <w:snapToGrid w:val="0"/>
                <w:sz w:val="20"/>
                <w:szCs w:val="20"/>
                <w:lang w:bidi="ar-SA"/>
              </w:rPr>
              <w:tab/>
              <w:t>ENHANCED UNIVERSAL EMERGENCY NUMBER SERVICE (E911)</w:t>
            </w:r>
            <w:r w:rsidRPr="00D83EE0">
              <w:rPr>
                <w:rFonts w:ascii="Arial" w:eastAsia="Times New Roman" w:hAnsi="Arial" w:cs="Arial"/>
                <w:sz w:val="20"/>
                <w:szCs w:val="20"/>
                <w:lang w:bidi="ar-SA"/>
              </w:rPr>
              <w:t xml:space="preserve"> (Continued)</w:t>
            </w:r>
          </w:p>
          <w:p w:rsidR="00D83EE0" w:rsidRPr="00D83EE0" w:rsidRDefault="00D83EE0" w:rsidP="00D83EE0">
            <w:pPr>
              <w:widowControl w:val="0"/>
              <w:ind w:left="540" w:right="-4320" w:hanging="540"/>
              <w:jc w:val="both"/>
              <w:rPr>
                <w:rFonts w:ascii="Arial" w:eastAsia="Times New Roman" w:hAnsi="Arial" w:cs="Arial"/>
                <w:snapToGrid w:val="0"/>
                <w:sz w:val="20"/>
                <w:szCs w:val="20"/>
                <w:lang w:bidi="ar-SA"/>
              </w:rPr>
            </w:pPr>
          </w:p>
          <w:p w:rsidR="00D83EE0" w:rsidRPr="00D83EE0" w:rsidRDefault="00D83EE0" w:rsidP="00D83EE0">
            <w:pPr>
              <w:widowControl w:val="0"/>
              <w:ind w:left="1080" w:right="-4176" w:hanging="540"/>
              <w:jc w:val="both"/>
              <w:rPr>
                <w:rFonts w:ascii="Arial" w:eastAsia="Times New Roman" w:hAnsi="Arial" w:cs="Arial"/>
                <w:sz w:val="20"/>
                <w:szCs w:val="20"/>
                <w:lang w:bidi="ar-SA"/>
              </w:rPr>
            </w:pPr>
            <w:r w:rsidRPr="00D83EE0">
              <w:rPr>
                <w:rFonts w:ascii="Arial" w:eastAsia="Times New Roman" w:hAnsi="Arial" w:cs="Arial"/>
                <w:snapToGrid w:val="0"/>
                <w:sz w:val="20"/>
                <w:szCs w:val="20"/>
                <w:lang w:bidi="ar-SA"/>
              </w:rPr>
              <w:t>2.</w:t>
            </w:r>
            <w:r w:rsidRPr="00D83EE0">
              <w:rPr>
                <w:rFonts w:ascii="Arial" w:eastAsia="Times New Roman" w:hAnsi="Arial" w:cs="Arial"/>
                <w:snapToGrid w:val="0"/>
                <w:sz w:val="20"/>
                <w:szCs w:val="20"/>
                <w:lang w:bidi="ar-SA"/>
              </w:rPr>
              <w:tab/>
            </w:r>
            <w:r w:rsidRPr="00D83EE0">
              <w:rPr>
                <w:rFonts w:ascii="Arial" w:eastAsia="Times New Roman" w:hAnsi="Arial" w:cs="Arial"/>
                <w:sz w:val="20"/>
                <w:szCs w:val="20"/>
                <w:lang w:bidi="ar-SA"/>
              </w:rPr>
              <w:t>Terms and Conditions (Continued)</w:t>
            </w:r>
          </w:p>
          <w:p w:rsidR="00D83EE0" w:rsidRPr="00D83EE0" w:rsidRDefault="00D83EE0" w:rsidP="00D83EE0">
            <w:pPr>
              <w:widowControl w:val="0"/>
              <w:ind w:left="540" w:hanging="540"/>
              <w:jc w:val="both"/>
              <w:rPr>
                <w:rFonts w:ascii="Arial" w:eastAsia="Times New Roman" w:hAnsi="Arial" w:cs="Arial"/>
                <w:sz w:val="20"/>
                <w:szCs w:val="20"/>
                <w:lang w:bidi="ar-SA"/>
              </w:rPr>
            </w:pPr>
          </w:p>
          <w:p w:rsidR="00D83EE0" w:rsidRPr="00D83EE0" w:rsidRDefault="00D83EE0" w:rsidP="00D83EE0">
            <w:pPr>
              <w:widowControl w:val="0"/>
              <w:ind w:left="1620" w:hanging="540"/>
              <w:jc w:val="both"/>
              <w:rPr>
                <w:rFonts w:ascii="Arial" w:eastAsia="Times New Roman" w:hAnsi="Arial" w:cs="Arial"/>
                <w:sz w:val="20"/>
                <w:szCs w:val="20"/>
                <w:lang w:bidi="ar-SA"/>
              </w:rPr>
            </w:pPr>
            <w:proofErr w:type="spellStart"/>
            <w:proofErr w:type="gramStart"/>
            <w:r w:rsidRPr="00D83EE0">
              <w:rPr>
                <w:rFonts w:ascii="Arial" w:eastAsia="Times New Roman" w:hAnsi="Arial" w:cs="Arial"/>
                <w:sz w:val="20"/>
                <w:szCs w:val="20"/>
                <w:lang w:bidi="ar-SA"/>
              </w:rPr>
              <w:t>gg</w:t>
            </w:r>
            <w:proofErr w:type="spellEnd"/>
            <w:proofErr w:type="gramEnd"/>
            <w:r w:rsidRPr="00D83EE0">
              <w:rPr>
                <w:rFonts w:ascii="Arial" w:eastAsia="Times New Roman" w:hAnsi="Arial" w:cs="Arial"/>
                <w:sz w:val="20"/>
                <w:szCs w:val="20"/>
                <w:lang w:bidi="ar-SA"/>
              </w:rPr>
              <w:t>.</w:t>
            </w:r>
            <w:r w:rsidRPr="00D83EE0">
              <w:rPr>
                <w:rFonts w:ascii="Arial" w:eastAsia="Times New Roman" w:hAnsi="Arial" w:cs="Arial"/>
                <w:sz w:val="20"/>
                <w:szCs w:val="20"/>
                <w:lang w:bidi="ar-SA"/>
              </w:rPr>
              <w:tab/>
              <w:t>In a Private Switch/Automatic Location Identification…(Continued)</w:t>
            </w:r>
          </w:p>
          <w:p w:rsidR="00D83EE0" w:rsidRPr="00D83EE0" w:rsidRDefault="00D83EE0" w:rsidP="00D83EE0">
            <w:pPr>
              <w:widowControl w:val="0"/>
              <w:ind w:left="540" w:hanging="540"/>
              <w:jc w:val="both"/>
              <w:rPr>
                <w:rFonts w:ascii="Arial" w:eastAsia="Times New Roman" w:hAnsi="Arial" w:cs="Arial"/>
                <w:sz w:val="20"/>
                <w:szCs w:val="20"/>
                <w:lang w:bidi="ar-SA"/>
              </w:rPr>
            </w:pPr>
          </w:p>
          <w:p w:rsidR="00D83EE0" w:rsidRPr="00D83EE0" w:rsidRDefault="00D83EE0" w:rsidP="00D83EE0">
            <w:pPr>
              <w:widowControl w:val="0"/>
              <w:ind w:left="2160" w:hanging="540"/>
              <w:jc w:val="both"/>
              <w:rPr>
                <w:rFonts w:ascii="Arial" w:eastAsia="Times New Roman" w:hAnsi="Arial" w:cs="Arial"/>
                <w:sz w:val="20"/>
                <w:szCs w:val="20"/>
                <w:lang w:bidi="ar-SA"/>
              </w:rPr>
            </w:pPr>
            <w:r w:rsidRPr="00D83EE0">
              <w:rPr>
                <w:rFonts w:ascii="Arial" w:eastAsia="Times New Roman" w:hAnsi="Arial" w:cs="Arial"/>
                <w:sz w:val="20"/>
                <w:szCs w:val="20"/>
                <w:lang w:bidi="ar-SA"/>
              </w:rPr>
              <w:t>(6)</w:t>
            </w:r>
            <w:r w:rsidRPr="00D83EE0">
              <w:rPr>
                <w:rFonts w:ascii="Arial" w:eastAsia="Times New Roman" w:hAnsi="Arial" w:cs="Arial"/>
                <w:sz w:val="20"/>
                <w:szCs w:val="20"/>
                <w:lang w:bidi="ar-SA"/>
              </w:rPr>
              <w:tab/>
              <w:t xml:space="preserve">Configure PBX to connect at least two dedicated voice grade trunks, recognizing the "911" or  "9911" code as a complete dialing sequence and routing those calls to this dedicated trunk  group without overflowing calls to any other access facility in the PBX.  Each system must maintain a P.01 Grade of Service or better for 911 call processing. </w:t>
            </w:r>
          </w:p>
          <w:p w:rsidR="00D83EE0" w:rsidRPr="00D83EE0" w:rsidRDefault="00D83EE0" w:rsidP="00D83EE0">
            <w:pPr>
              <w:widowControl w:val="0"/>
              <w:ind w:left="540" w:hanging="540"/>
              <w:jc w:val="both"/>
              <w:rPr>
                <w:rFonts w:ascii="Arial" w:eastAsia="Times New Roman" w:hAnsi="Arial" w:cs="Arial"/>
                <w:sz w:val="20"/>
                <w:szCs w:val="20"/>
                <w:lang w:bidi="ar-SA"/>
              </w:rPr>
            </w:pPr>
          </w:p>
          <w:p w:rsidR="00D83EE0" w:rsidRPr="00D83EE0" w:rsidRDefault="00D83EE0" w:rsidP="00D83EE0">
            <w:pPr>
              <w:widowControl w:val="0"/>
              <w:ind w:left="2160" w:hanging="540"/>
              <w:jc w:val="both"/>
              <w:rPr>
                <w:rFonts w:ascii="Arial" w:eastAsia="Times New Roman" w:hAnsi="Arial" w:cs="Arial"/>
                <w:sz w:val="20"/>
                <w:szCs w:val="20"/>
                <w:lang w:bidi="ar-SA"/>
              </w:rPr>
            </w:pPr>
            <w:r w:rsidRPr="00D83EE0">
              <w:rPr>
                <w:rFonts w:ascii="Arial" w:eastAsia="Times New Roman" w:hAnsi="Arial" w:cs="Arial"/>
                <w:sz w:val="20"/>
                <w:szCs w:val="20"/>
                <w:lang w:bidi="ar-SA"/>
              </w:rPr>
              <w:t>(7)</w:t>
            </w:r>
            <w:r w:rsidRPr="00D83EE0">
              <w:rPr>
                <w:rFonts w:ascii="Arial" w:eastAsia="Times New Roman" w:hAnsi="Arial" w:cs="Arial"/>
                <w:sz w:val="20"/>
                <w:szCs w:val="20"/>
                <w:lang w:bidi="ar-SA"/>
              </w:rPr>
              <w:tab/>
              <w:t xml:space="preserve">Develop and implement methods and procedures to prevent the use or misuse of the voice grade trunks for other than E911 telecommunications service.  Misuse or abuse of the E911 PS/ALI trunk may result in disconnection of the service in addition to any remedies at law or equity including reimbursement of charges or other expenses associated with the misuse or abuse. </w:t>
            </w:r>
          </w:p>
          <w:p w:rsidR="00D83EE0" w:rsidRPr="00D83EE0" w:rsidRDefault="00D83EE0" w:rsidP="00D83EE0">
            <w:pPr>
              <w:widowControl w:val="0"/>
              <w:ind w:left="540" w:hanging="540"/>
              <w:jc w:val="both"/>
              <w:rPr>
                <w:rFonts w:ascii="Arial" w:eastAsia="Times New Roman" w:hAnsi="Arial" w:cs="Arial"/>
                <w:sz w:val="20"/>
                <w:szCs w:val="20"/>
                <w:lang w:bidi="ar-SA"/>
              </w:rPr>
            </w:pPr>
          </w:p>
          <w:p w:rsidR="00D83EE0" w:rsidRPr="00D83EE0" w:rsidRDefault="00D83EE0" w:rsidP="00D83EE0">
            <w:pPr>
              <w:widowControl w:val="0"/>
              <w:ind w:left="2160" w:hanging="540"/>
              <w:jc w:val="both"/>
              <w:rPr>
                <w:rFonts w:ascii="Arial" w:eastAsia="Times New Roman" w:hAnsi="Arial" w:cs="Arial"/>
                <w:sz w:val="20"/>
                <w:szCs w:val="20"/>
                <w:lang w:bidi="ar-SA"/>
              </w:rPr>
            </w:pPr>
            <w:r w:rsidRPr="00D83EE0">
              <w:rPr>
                <w:rFonts w:ascii="Arial" w:eastAsia="Times New Roman" w:hAnsi="Arial" w:cs="Arial"/>
                <w:sz w:val="20"/>
                <w:szCs w:val="20"/>
                <w:lang w:bidi="ar-SA"/>
              </w:rPr>
              <w:t>(8)</w:t>
            </w:r>
            <w:r w:rsidRPr="00D83EE0">
              <w:rPr>
                <w:rFonts w:ascii="Arial" w:eastAsia="Times New Roman" w:hAnsi="Arial" w:cs="Arial"/>
                <w:sz w:val="20"/>
                <w:szCs w:val="20"/>
                <w:lang w:bidi="ar-SA"/>
              </w:rPr>
              <w:tab/>
              <w:t xml:space="preserve">Order a minimum of two dedicated 911 trunks to the E911 Control Office (Tandem) for each PBX. </w:t>
            </w:r>
          </w:p>
          <w:p w:rsidR="00D83EE0" w:rsidRPr="00D83EE0" w:rsidRDefault="00D83EE0" w:rsidP="00D83EE0">
            <w:pPr>
              <w:widowControl w:val="0"/>
              <w:ind w:left="540" w:hanging="540"/>
              <w:jc w:val="both"/>
              <w:rPr>
                <w:rFonts w:ascii="Arial" w:eastAsia="Times New Roman" w:hAnsi="Arial" w:cs="Arial"/>
                <w:sz w:val="20"/>
                <w:szCs w:val="20"/>
                <w:lang w:bidi="ar-SA"/>
              </w:rPr>
            </w:pPr>
          </w:p>
          <w:p w:rsidR="00D83EE0" w:rsidRDefault="00D83EE0" w:rsidP="00D83EE0">
            <w:pPr>
              <w:widowControl w:val="0"/>
              <w:ind w:left="2160" w:hanging="540"/>
              <w:jc w:val="both"/>
              <w:rPr>
                <w:rFonts w:ascii="Arial" w:eastAsia="Times New Roman" w:hAnsi="Arial" w:cs="Arial"/>
                <w:sz w:val="20"/>
                <w:szCs w:val="20"/>
                <w:lang w:bidi="ar-SA"/>
              </w:rPr>
            </w:pPr>
            <w:r w:rsidRPr="00D83EE0">
              <w:rPr>
                <w:rFonts w:ascii="Arial" w:eastAsia="Times New Roman" w:hAnsi="Arial" w:cs="Arial"/>
                <w:sz w:val="20"/>
                <w:szCs w:val="20"/>
                <w:lang w:bidi="ar-SA"/>
              </w:rPr>
              <w:t>(9)</w:t>
            </w:r>
            <w:r w:rsidRPr="00D83EE0">
              <w:rPr>
                <w:rFonts w:ascii="Arial" w:eastAsia="Times New Roman" w:hAnsi="Arial" w:cs="Arial"/>
                <w:sz w:val="20"/>
                <w:szCs w:val="20"/>
                <w:lang w:bidi="ar-SA"/>
              </w:rPr>
              <w:tab/>
              <w:t xml:space="preserve">Use personal computer hardware and software (or PC equivalent hardware and software) for ongoing customer record update programs and processes that conform to the specifications outlined in the TUW Communications Private Switch/Automatic Location Identification User's Manual. </w:t>
            </w:r>
          </w:p>
          <w:p w:rsidR="005D244C" w:rsidRPr="00D83EE0" w:rsidRDefault="005D244C" w:rsidP="005D244C">
            <w:pPr>
              <w:widowControl w:val="0"/>
              <w:ind w:left="540" w:hanging="540"/>
              <w:jc w:val="both"/>
              <w:rPr>
                <w:rFonts w:ascii="Arial" w:eastAsia="Times New Roman" w:hAnsi="Arial" w:cs="Arial"/>
                <w:sz w:val="20"/>
                <w:szCs w:val="20"/>
                <w:lang w:bidi="ar-SA"/>
              </w:rPr>
            </w:pPr>
          </w:p>
          <w:p w:rsidR="005D244C" w:rsidRPr="00D83EE0" w:rsidRDefault="005D244C" w:rsidP="005D244C">
            <w:pPr>
              <w:widowControl w:val="0"/>
              <w:tabs>
                <w:tab w:val="left" w:pos="1305"/>
              </w:tabs>
              <w:ind w:left="1620" w:hanging="540"/>
              <w:jc w:val="both"/>
              <w:rPr>
                <w:rFonts w:ascii="Arial" w:eastAsia="Times New Roman" w:hAnsi="Arial" w:cs="Arial"/>
                <w:b/>
                <w:sz w:val="20"/>
                <w:szCs w:val="20"/>
                <w:lang w:bidi="ar-SA"/>
              </w:rPr>
            </w:pPr>
            <w:proofErr w:type="spellStart"/>
            <w:proofErr w:type="gramStart"/>
            <w:r w:rsidRPr="005D244C">
              <w:rPr>
                <w:rFonts w:ascii="Arial" w:eastAsia="Times New Roman" w:hAnsi="Arial" w:cs="Arial"/>
                <w:b/>
                <w:sz w:val="20"/>
                <w:szCs w:val="20"/>
                <w:lang w:bidi="ar-SA"/>
              </w:rPr>
              <w:t>hh</w:t>
            </w:r>
            <w:proofErr w:type="spellEnd"/>
            <w:proofErr w:type="gramEnd"/>
            <w:r w:rsidRPr="00D83EE0">
              <w:rPr>
                <w:rFonts w:ascii="Arial" w:eastAsia="Times New Roman" w:hAnsi="Arial" w:cs="Arial"/>
                <w:b/>
                <w:sz w:val="20"/>
                <w:szCs w:val="20"/>
                <w:lang w:bidi="ar-SA"/>
              </w:rPr>
              <w:t>.</w:t>
            </w:r>
            <w:r w:rsidRPr="00D83EE0">
              <w:rPr>
                <w:rFonts w:ascii="Arial" w:eastAsia="Times New Roman" w:hAnsi="Arial" w:cs="Arial"/>
                <w:b/>
                <w:sz w:val="20"/>
                <w:szCs w:val="20"/>
                <w:lang w:bidi="ar-SA"/>
              </w:rPr>
              <w:tab/>
            </w:r>
            <w:r w:rsidRPr="005D244C">
              <w:rPr>
                <w:rFonts w:ascii="Arial" w:eastAsia="Times New Roman" w:hAnsi="Arial" w:cs="Arial"/>
                <w:b/>
                <w:sz w:val="20"/>
                <w:szCs w:val="20"/>
              </w:rPr>
              <w:t>Pursuant to a statewide contract, Qwest Corporation d/b/a CenturyLink QC is the sole provider of automatic location identification services within the state of Washington.  The terms, conditions, and rates for</w:t>
            </w:r>
            <w:r w:rsidRPr="0017703B">
              <w:rPr>
                <w:rFonts w:ascii="Arial" w:eastAsia="Times New Roman" w:hAnsi="Arial" w:cs="Arial"/>
                <w:b/>
                <w:sz w:val="20"/>
                <w:szCs w:val="20"/>
              </w:rPr>
              <w:t xml:space="preserve"> </w:t>
            </w:r>
            <w:r w:rsidR="0017703B" w:rsidRPr="0017703B">
              <w:rPr>
                <w:rFonts w:ascii="Arial" w:hAnsi="Arial" w:cs="Arial"/>
                <w:b/>
                <w:sz w:val="20"/>
                <w:szCs w:val="20"/>
              </w:rPr>
              <w:t>Private Switch Automatic Location Identification</w:t>
            </w:r>
            <w:r w:rsidRPr="0017703B">
              <w:rPr>
                <w:rFonts w:ascii="Arial" w:eastAsia="Times New Roman" w:hAnsi="Arial" w:cs="Arial"/>
                <w:b/>
                <w:sz w:val="20"/>
                <w:szCs w:val="20"/>
              </w:rPr>
              <w:t xml:space="preserve"> </w:t>
            </w:r>
            <w:r w:rsidRPr="005D244C">
              <w:rPr>
                <w:rFonts w:ascii="Arial" w:eastAsia="Times New Roman" w:hAnsi="Arial" w:cs="Arial"/>
                <w:b/>
                <w:sz w:val="20"/>
                <w:szCs w:val="20"/>
              </w:rPr>
              <w:t xml:space="preserve">are in Section 9 of </w:t>
            </w:r>
            <w:hyperlink r:id="rId5" w:history="1">
              <w:r w:rsidRPr="005D244C">
                <w:rPr>
                  <w:rStyle w:val="Hyperlink"/>
                  <w:rFonts w:ascii="Arial" w:eastAsia="Times New Roman" w:hAnsi="Arial" w:cs="Arial"/>
                  <w:b/>
                  <w:sz w:val="20"/>
                  <w:szCs w:val="20"/>
                </w:rPr>
                <w:t>Qwest Corporation d/b/a CenturyLink QC WN U-49 Exchange and Network Services</w:t>
              </w:r>
            </w:hyperlink>
            <w:r w:rsidRPr="005D244C">
              <w:rPr>
                <w:rFonts w:ascii="Arial" w:eastAsia="Times New Roman" w:hAnsi="Arial" w:cs="Arial"/>
                <w:b/>
                <w:sz w:val="20"/>
                <w:szCs w:val="20"/>
              </w:rPr>
              <w:t>.</w:t>
            </w:r>
          </w:p>
          <w:p w:rsidR="005D244C" w:rsidRPr="00D83EE0" w:rsidRDefault="005D244C" w:rsidP="005D244C">
            <w:pPr>
              <w:widowControl w:val="0"/>
              <w:ind w:left="540" w:hanging="540"/>
              <w:jc w:val="both"/>
              <w:rPr>
                <w:rFonts w:ascii="Arial" w:eastAsia="Times New Roman" w:hAnsi="Arial" w:cs="Arial"/>
                <w:sz w:val="20"/>
                <w:szCs w:val="20"/>
                <w:lang w:bidi="ar-SA"/>
              </w:rPr>
            </w:pPr>
          </w:p>
          <w:p w:rsidR="005D244C" w:rsidRPr="00D83EE0" w:rsidRDefault="005D244C" w:rsidP="00D83EE0">
            <w:pPr>
              <w:widowControl w:val="0"/>
              <w:ind w:left="2160" w:hanging="540"/>
              <w:jc w:val="both"/>
              <w:rPr>
                <w:rFonts w:ascii="Arial" w:eastAsia="Times New Roman" w:hAnsi="Arial" w:cs="Arial"/>
                <w:sz w:val="20"/>
                <w:szCs w:val="20"/>
                <w:lang w:bidi="ar-SA"/>
              </w:rPr>
            </w:pPr>
          </w:p>
        </w:tc>
        <w:tc>
          <w:tcPr>
            <w:tcW w:w="1080" w:type="dxa"/>
          </w:tcPr>
          <w:p w:rsidR="00D83EE0" w:rsidRDefault="00D83EE0"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Default="005D244C" w:rsidP="005D244C">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5D244C" w:rsidRPr="005D244C" w:rsidRDefault="005D244C" w:rsidP="005D244C">
            <w:pPr>
              <w:widowControl w:val="0"/>
              <w:tabs>
                <w:tab w:val="right" w:pos="1060"/>
              </w:tabs>
              <w:ind w:left="-18"/>
              <w:jc w:val="center"/>
              <w:rPr>
                <w:rFonts w:ascii="Arial" w:eastAsia="Times New Roman" w:hAnsi="Arial" w:cs="Arial"/>
                <w:snapToGrid w:val="0"/>
                <w:sz w:val="20"/>
                <w:szCs w:val="20"/>
                <w:lang w:bidi="ar-SA"/>
              </w:rPr>
            </w:pPr>
            <w:r w:rsidRPr="005D244C">
              <w:rPr>
                <w:rFonts w:ascii="Arial" w:eastAsia="Times New Roman" w:hAnsi="Arial" w:cs="Arial"/>
                <w:snapToGrid w:val="0"/>
                <w:sz w:val="20"/>
                <w:szCs w:val="20"/>
                <w:lang w:bidi="ar-SA"/>
              </w:rPr>
              <w:t>(N)</w:t>
            </w:r>
          </w:p>
          <w:p w:rsidR="005D244C" w:rsidRPr="005D244C" w:rsidRDefault="005D244C" w:rsidP="005D244C">
            <w:pPr>
              <w:widowControl w:val="0"/>
              <w:tabs>
                <w:tab w:val="bar" w:pos="432"/>
              </w:tabs>
              <w:ind w:left="-18"/>
              <w:jc w:val="center"/>
              <w:rPr>
                <w:rFonts w:ascii="Arial" w:eastAsia="Times New Roman" w:hAnsi="Arial" w:cs="Arial"/>
                <w:snapToGrid w:val="0"/>
                <w:sz w:val="20"/>
                <w:szCs w:val="20"/>
                <w:lang w:bidi="ar-SA"/>
              </w:rPr>
            </w:pPr>
          </w:p>
          <w:p w:rsidR="005D244C" w:rsidRPr="005D244C" w:rsidRDefault="005D244C" w:rsidP="005D244C">
            <w:pPr>
              <w:widowControl w:val="0"/>
              <w:tabs>
                <w:tab w:val="bar" w:pos="432"/>
              </w:tabs>
              <w:ind w:left="-18"/>
              <w:jc w:val="center"/>
              <w:rPr>
                <w:rFonts w:ascii="Arial" w:eastAsia="Times New Roman" w:hAnsi="Arial" w:cs="Arial"/>
                <w:snapToGrid w:val="0"/>
                <w:sz w:val="20"/>
                <w:szCs w:val="20"/>
                <w:lang w:bidi="ar-SA"/>
              </w:rPr>
            </w:pPr>
          </w:p>
          <w:p w:rsidR="005D244C" w:rsidRPr="005D244C" w:rsidRDefault="005D244C" w:rsidP="005D244C">
            <w:pPr>
              <w:widowControl w:val="0"/>
              <w:tabs>
                <w:tab w:val="bar" w:pos="432"/>
              </w:tabs>
              <w:ind w:left="-18"/>
              <w:jc w:val="center"/>
              <w:rPr>
                <w:rFonts w:ascii="Arial" w:eastAsia="Times New Roman" w:hAnsi="Arial" w:cs="Arial"/>
                <w:snapToGrid w:val="0"/>
                <w:sz w:val="20"/>
                <w:szCs w:val="20"/>
                <w:lang w:bidi="ar-SA"/>
              </w:rPr>
            </w:pPr>
          </w:p>
          <w:p w:rsidR="005D244C" w:rsidRPr="005D244C" w:rsidRDefault="005D244C" w:rsidP="005D244C">
            <w:pPr>
              <w:widowControl w:val="0"/>
              <w:tabs>
                <w:tab w:val="bar" w:pos="432"/>
              </w:tabs>
              <w:ind w:left="-18"/>
              <w:jc w:val="center"/>
              <w:rPr>
                <w:rFonts w:ascii="Arial" w:eastAsia="Times New Roman" w:hAnsi="Arial" w:cs="Arial"/>
                <w:snapToGrid w:val="0"/>
                <w:sz w:val="20"/>
                <w:szCs w:val="20"/>
                <w:lang w:bidi="ar-SA"/>
              </w:rPr>
            </w:pPr>
          </w:p>
          <w:p w:rsidR="005D244C" w:rsidRPr="005D244C" w:rsidRDefault="005D244C" w:rsidP="005D244C">
            <w:pPr>
              <w:widowControl w:val="0"/>
              <w:tabs>
                <w:tab w:val="right" w:pos="1060"/>
              </w:tabs>
              <w:ind w:left="-18"/>
              <w:jc w:val="center"/>
              <w:rPr>
                <w:rFonts w:ascii="Arial" w:eastAsia="Times New Roman" w:hAnsi="Arial" w:cs="Arial"/>
                <w:snapToGrid w:val="0"/>
                <w:sz w:val="20"/>
                <w:szCs w:val="20"/>
                <w:lang w:bidi="ar-SA"/>
              </w:rPr>
            </w:pPr>
            <w:r w:rsidRPr="005D244C">
              <w:rPr>
                <w:rFonts w:ascii="Arial" w:eastAsia="Times New Roman" w:hAnsi="Arial" w:cs="Arial"/>
                <w:snapToGrid w:val="0"/>
                <w:sz w:val="20"/>
                <w:szCs w:val="20"/>
                <w:lang w:bidi="ar-SA"/>
              </w:rPr>
              <w:t>(N)</w:t>
            </w:r>
          </w:p>
          <w:p w:rsidR="005D244C" w:rsidRPr="00D83EE0" w:rsidRDefault="005D244C" w:rsidP="005D244C">
            <w:pPr>
              <w:widowControl w:val="0"/>
              <w:tabs>
                <w:tab w:val="right" w:pos="1060"/>
              </w:tabs>
              <w:ind w:left="-18"/>
              <w:jc w:val="center"/>
              <w:rPr>
                <w:rFonts w:ascii="Arial" w:eastAsia="Times New Roman" w:hAnsi="Arial" w:cs="Arial"/>
                <w:snapToGrid w:val="0"/>
                <w:color w:val="0000FF"/>
                <w:sz w:val="20"/>
                <w:szCs w:val="20"/>
                <w:lang w:bidi="ar-SA"/>
              </w:rPr>
            </w:pPr>
          </w:p>
        </w:tc>
      </w:tr>
      <w:tr w:rsidR="00D83EE0" w:rsidRPr="00D83EE0" w:rsidTr="00D83EE0">
        <w:tc>
          <w:tcPr>
            <w:tcW w:w="9468" w:type="dxa"/>
            <w:tcBorders>
              <w:top w:val="nil"/>
            </w:tcBorders>
          </w:tcPr>
          <w:p w:rsidR="00D83EE0" w:rsidRPr="00D83EE0" w:rsidRDefault="00D83EE0" w:rsidP="00D83EE0">
            <w:pPr>
              <w:widowControl w:val="0"/>
              <w:jc w:val="center"/>
              <w:rPr>
                <w:rFonts w:ascii="Arial" w:eastAsia="Times New Roman" w:hAnsi="Arial" w:cs="Arial"/>
                <w:snapToGrid w:val="0"/>
                <w:sz w:val="20"/>
                <w:szCs w:val="20"/>
                <w:u w:val="single"/>
                <w:lang w:bidi="ar-SA"/>
              </w:rPr>
            </w:pPr>
          </w:p>
        </w:tc>
        <w:tc>
          <w:tcPr>
            <w:tcW w:w="1080" w:type="dxa"/>
          </w:tcPr>
          <w:p w:rsidR="00D83EE0" w:rsidRPr="00D83EE0" w:rsidRDefault="00D83EE0" w:rsidP="00D83EE0">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p w:rsidR="00D83EE0" w:rsidRPr="00D83EE0" w:rsidRDefault="00D83EE0" w:rsidP="00D83EE0">
            <w:pPr>
              <w:widowControl w:val="0"/>
              <w:tabs>
                <w:tab w:val="left" w:pos="1152"/>
                <w:tab w:val="left" w:pos="1440"/>
                <w:tab w:val="left" w:pos="1800"/>
                <w:tab w:val="left" w:pos="1980"/>
                <w:tab w:val="left" w:pos="2160"/>
                <w:tab w:val="left" w:pos="5850"/>
                <w:tab w:val="center" w:pos="7380"/>
                <w:tab w:val="center" w:pos="8640"/>
              </w:tabs>
              <w:rPr>
                <w:rFonts w:ascii="Arial" w:eastAsia="Times New Roman" w:hAnsi="Arial" w:cs="Arial"/>
                <w:snapToGrid w:val="0"/>
                <w:sz w:val="20"/>
                <w:szCs w:val="20"/>
                <w:lang w:bidi="ar-SA"/>
              </w:rPr>
            </w:pPr>
          </w:p>
          <w:p w:rsidR="00D83EE0" w:rsidRPr="00D83EE0" w:rsidRDefault="00D83EE0" w:rsidP="00D83EE0">
            <w:pPr>
              <w:widowControl w:val="0"/>
              <w:tabs>
                <w:tab w:val="left" w:pos="1152"/>
                <w:tab w:val="left" w:pos="1440"/>
                <w:tab w:val="left" w:pos="1800"/>
                <w:tab w:val="left" w:pos="1980"/>
                <w:tab w:val="left" w:pos="2160"/>
                <w:tab w:val="left" w:pos="5850"/>
                <w:tab w:val="center" w:pos="7380"/>
                <w:tab w:val="center" w:pos="8640"/>
              </w:tabs>
              <w:ind w:left="-18"/>
              <w:jc w:val="center"/>
              <w:rPr>
                <w:rFonts w:ascii="Arial" w:eastAsia="Times New Roman" w:hAnsi="Arial" w:cs="Arial"/>
                <w:snapToGrid w:val="0"/>
                <w:sz w:val="20"/>
                <w:szCs w:val="20"/>
                <w:lang w:bidi="ar-SA"/>
              </w:rPr>
            </w:pPr>
          </w:p>
        </w:tc>
      </w:tr>
    </w:tbl>
    <w:p w:rsidR="00D83EE0" w:rsidRPr="00D83EE0" w:rsidRDefault="00D83EE0" w:rsidP="00D83EE0">
      <w:pPr>
        <w:widowControl w:val="0"/>
        <w:tabs>
          <w:tab w:val="left" w:pos="576"/>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720"/>
        </w:tabs>
        <w:jc w:val="both"/>
        <w:rPr>
          <w:rFonts w:ascii="Arial" w:eastAsia="Times New Roman" w:hAnsi="Arial" w:cs="Arial"/>
          <w:sz w:val="20"/>
          <w:szCs w:val="20"/>
          <w:lang w:bidi="ar-SA"/>
        </w:rPr>
      </w:pPr>
    </w:p>
    <w:p w:rsidR="00D83EE0" w:rsidRPr="00D83EE0" w:rsidRDefault="00D83EE0" w:rsidP="00D83EE0">
      <w:pPr>
        <w:widowControl w:val="0"/>
        <w:tabs>
          <w:tab w:val="right" w:pos="9360"/>
        </w:tabs>
        <w:rPr>
          <w:rFonts w:ascii="Arial" w:eastAsia="Times New Roman" w:hAnsi="Arial" w:cs="Arial"/>
          <w:sz w:val="20"/>
          <w:szCs w:val="20"/>
          <w:lang w:bidi="ar-SA"/>
        </w:rPr>
      </w:pPr>
      <w:proofErr w:type="gramStart"/>
      <w:r w:rsidRPr="00D83EE0">
        <w:rPr>
          <w:rFonts w:ascii="Arial" w:eastAsia="Times New Roman" w:hAnsi="Arial" w:cs="Arial"/>
          <w:sz w:val="20"/>
          <w:szCs w:val="20"/>
          <w:lang w:bidi="ar-SA"/>
        </w:rPr>
        <w:t>Advice No.</w:t>
      </w:r>
      <w:proofErr w:type="gramEnd"/>
      <w:r w:rsidRPr="00D83EE0">
        <w:rPr>
          <w:rFonts w:ascii="Arial" w:eastAsia="Times New Roman" w:hAnsi="Arial" w:cs="Arial"/>
          <w:sz w:val="20"/>
          <w:szCs w:val="20"/>
          <w:lang w:bidi="ar-SA"/>
        </w:rPr>
        <w:t xml:space="preserve"> WA ACQ </w:t>
      </w:r>
      <w:r w:rsidR="005D244C">
        <w:rPr>
          <w:rFonts w:ascii="Arial" w:eastAsia="Times New Roman" w:hAnsi="Arial" w:cs="Arial"/>
          <w:sz w:val="20"/>
          <w:szCs w:val="20"/>
          <w:lang w:bidi="ar-SA"/>
        </w:rPr>
        <w:t>16-01</w:t>
      </w:r>
      <w:r w:rsidRPr="00D83EE0">
        <w:rPr>
          <w:rFonts w:ascii="Arial" w:eastAsia="Times New Roman" w:hAnsi="Arial" w:cs="Arial"/>
          <w:sz w:val="20"/>
          <w:szCs w:val="20"/>
          <w:lang w:bidi="ar-SA"/>
        </w:rPr>
        <w:tab/>
      </w:r>
      <w:r w:rsidR="004A2F03">
        <w:rPr>
          <w:rFonts w:ascii="Arial" w:eastAsia="Times New Roman" w:hAnsi="Arial" w:cs="Arial"/>
          <w:sz w:val="20"/>
          <w:szCs w:val="20"/>
        </w:rPr>
        <w:t>Effective:  March 20</w:t>
      </w:r>
      <w:r w:rsidR="00932588" w:rsidRPr="00932588">
        <w:rPr>
          <w:rFonts w:ascii="Arial" w:eastAsia="Times New Roman" w:hAnsi="Arial" w:cs="Arial"/>
          <w:sz w:val="20"/>
          <w:szCs w:val="20"/>
        </w:rPr>
        <w:t>, 2016</w:t>
      </w:r>
    </w:p>
    <w:p w:rsidR="00D83EE0" w:rsidRPr="00D83EE0" w:rsidRDefault="00D83EE0" w:rsidP="005D24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rPr>
          <w:rFonts w:ascii="Arial" w:eastAsia="Times New Roman" w:hAnsi="Arial" w:cs="Arial"/>
          <w:sz w:val="20"/>
          <w:szCs w:val="20"/>
          <w:lang w:bidi="ar-SA"/>
        </w:rPr>
      </w:pPr>
      <w:r w:rsidRPr="00D83EE0">
        <w:rPr>
          <w:rFonts w:ascii="Arial" w:eastAsia="Times New Roman" w:hAnsi="Arial" w:cs="Arial"/>
          <w:sz w:val="20"/>
          <w:szCs w:val="20"/>
          <w:lang w:bidi="ar-SA"/>
        </w:rPr>
        <w:t>Issued By CenturyTel of Washington, Inc. d/b/a CenturyLink</w:t>
      </w:r>
    </w:p>
    <w:p w:rsidR="00D83EE0" w:rsidRPr="00D83EE0" w:rsidRDefault="00D83EE0" w:rsidP="00D83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left="2280" w:hanging="2280"/>
        <w:rPr>
          <w:rFonts w:ascii="Arial" w:eastAsia="Times New Roman" w:hAnsi="Arial" w:cs="Times New Roman"/>
          <w:sz w:val="20"/>
          <w:szCs w:val="20"/>
          <w:lang w:bidi="ar-SA"/>
        </w:rPr>
      </w:pPr>
    </w:p>
    <w:p w:rsidR="00D83EE0" w:rsidRPr="00D83EE0" w:rsidRDefault="00D83EE0" w:rsidP="00D83EE0">
      <w:pPr>
        <w:widowControl w:val="0"/>
        <w:tabs>
          <w:tab w:val="right" w:pos="9360"/>
        </w:tabs>
        <w:rPr>
          <w:rFonts w:ascii="Arial" w:eastAsia="Times New Roman" w:hAnsi="Arial" w:cs="Arial"/>
          <w:sz w:val="20"/>
          <w:szCs w:val="20"/>
          <w:lang w:bidi="ar-SA"/>
        </w:rPr>
        <w:sectPr w:rsidR="00D83EE0" w:rsidRPr="00D83EE0" w:rsidSect="005B1CCB">
          <w:pgSz w:w="12240" w:h="15840" w:code="1"/>
          <w:pgMar w:top="720" w:right="1440" w:bottom="720" w:left="1440" w:header="0" w:footer="0" w:gutter="0"/>
          <w:cols w:space="720"/>
          <w:noEndnote/>
        </w:sectPr>
      </w:pPr>
    </w:p>
    <w:p w:rsidR="00A67BC0" w:rsidRDefault="00A67BC0"/>
    <w:sectPr w:rsidR="00A67BC0" w:rsidSect="00F113D5">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characterSpacingControl w:val="doNotCompress"/>
  <w:compat/>
  <w:rsids>
    <w:rsidRoot w:val="00D83EE0"/>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3B"/>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53B"/>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2F03"/>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4C"/>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3F4A"/>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8F7E4A"/>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2588"/>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14F"/>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0E1D"/>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3EE0"/>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4854"/>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table" w:styleId="TableGrid">
    <w:name w:val="Table Grid"/>
    <w:basedOn w:val="TableNormal"/>
    <w:rsid w:val="00D83EE0"/>
    <w:pPr>
      <w:spacing w:line="240" w:lineRule="auto"/>
    </w:pPr>
    <w:rPr>
      <w:rFonts w:eastAsia="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D24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centurylink.com/tariffs/wa_qc_ens_t_no_49.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160225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195AF6BA8C5647A7DE2318AC097F98" ma:contentTypeVersion="104" ma:contentTypeDescription="" ma:contentTypeScope="" ma:versionID="1700b1b506f7ce7cdc8f62daa5ef6f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A5214-E7C8-41D4-B700-02B2ACF7BE09}"/>
</file>

<file path=customXml/itemProps2.xml><?xml version="1.0" encoding="utf-8"?>
<ds:datastoreItem xmlns:ds="http://schemas.openxmlformats.org/officeDocument/2006/customXml" ds:itemID="{8EDA1581-4C26-4F5A-863D-61BBC60A6437}"/>
</file>

<file path=customXml/itemProps3.xml><?xml version="1.0" encoding="utf-8"?>
<ds:datastoreItem xmlns:ds="http://schemas.openxmlformats.org/officeDocument/2006/customXml" ds:itemID="{E4AF4280-0563-404D-8A41-85CF5E038CC8}"/>
</file>

<file path=customXml/itemProps4.xml><?xml version="1.0" encoding="utf-8"?>
<ds:datastoreItem xmlns:ds="http://schemas.openxmlformats.org/officeDocument/2006/customXml" ds:itemID="{B0B7AD54-A368-4C71-92EF-8967F0CF3E52}"/>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1753</Characters>
  <Application>Microsoft Office Word</Application>
  <DocSecurity>0</DocSecurity>
  <Lines>14</Lines>
  <Paragraphs>4</Paragraphs>
  <ScaleCrop>false</ScaleCrop>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2016-02-11T19:23:00Z</dcterms:created>
  <dcterms:modified xsi:type="dcterms:W3CDTF">2016-02-19T22:05:00Z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0x0101006E56B4D1795A2E4DB2F0B01679ED314A00C8195AF6BA8C5647A7DE2318AC097F98</vt:lpwstr>
  </property>
  <property fmtid="{D5CDD505-2E9C-101B-9397-08002B2CF9AE}" pid="3" name="_docset_NoMedatataSyncRequired">
    <vt:lpwstr>False</vt:lpwstr>
  </property>
</Properties>
</file>