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BA8F8D" w14:textId="6B29BB98" w:rsidR="0008034A" w:rsidRPr="006B4DC8" w:rsidRDefault="00470F1D" w:rsidP="00470F1D">
      <w:pPr>
        <w:jc w:val="center"/>
        <w:rPr>
          <w:b/>
          <w:sz w:val="40"/>
          <w:szCs w:val="40"/>
        </w:rPr>
      </w:pPr>
      <w:r w:rsidRPr="006B4DC8">
        <w:rPr>
          <w:b/>
          <w:sz w:val="40"/>
          <w:szCs w:val="40"/>
        </w:rPr>
        <w:t xml:space="preserve">Annual </w:t>
      </w:r>
      <w:r w:rsidR="006B4DC8" w:rsidRPr="006B4DC8">
        <w:rPr>
          <w:b/>
          <w:sz w:val="40"/>
          <w:szCs w:val="40"/>
        </w:rPr>
        <w:t>Energy and Emissions Intensity</w:t>
      </w:r>
      <w:r w:rsidR="00927244" w:rsidRPr="006B4DC8">
        <w:rPr>
          <w:b/>
          <w:sz w:val="40"/>
          <w:szCs w:val="40"/>
        </w:rPr>
        <w:t xml:space="preserve"> </w:t>
      </w:r>
      <w:r w:rsidR="00EA333E" w:rsidRPr="006B4DC8">
        <w:rPr>
          <w:b/>
          <w:sz w:val="40"/>
          <w:szCs w:val="40"/>
        </w:rPr>
        <w:t>Report</w:t>
      </w:r>
      <w:r w:rsidR="006B4DC8" w:rsidRPr="006B4DC8">
        <w:rPr>
          <w:b/>
          <w:sz w:val="40"/>
          <w:szCs w:val="40"/>
        </w:rPr>
        <w:t xml:space="preserve"> to UTC</w:t>
      </w:r>
    </w:p>
    <w:p w14:paraId="2E21ED3D" w14:textId="77777777" w:rsidR="00242B0F" w:rsidRPr="00923BAC" w:rsidRDefault="00825C12" w:rsidP="006706AA">
      <w:pPr>
        <w:spacing w:before="240"/>
        <w:rPr>
          <w:rFonts w:ascii="Garamond" w:hAnsi="Garamond"/>
          <w:b/>
          <w:sz w:val="32"/>
          <w:szCs w:val="32"/>
        </w:rPr>
      </w:pPr>
      <w:r w:rsidRPr="00923BAC">
        <w:rPr>
          <w:rFonts w:ascii="Garamond" w:hAnsi="Garamond"/>
          <w:b/>
          <w:sz w:val="32"/>
          <w:szCs w:val="32"/>
        </w:rPr>
        <w:t>Introduction</w:t>
      </w:r>
    </w:p>
    <w:p w14:paraId="50687B19" w14:textId="0E18F24B" w:rsidR="00E810BF" w:rsidRDefault="00EA333E">
      <w:pPr>
        <w:rPr>
          <w:rFonts w:ascii="Garamond" w:hAnsi="Garamond"/>
          <w:sz w:val="24"/>
          <w:szCs w:val="24"/>
        </w:rPr>
      </w:pPr>
      <w:r w:rsidRPr="00923BAC">
        <w:rPr>
          <w:rFonts w:ascii="Garamond" w:hAnsi="Garamond"/>
          <w:sz w:val="24"/>
          <w:szCs w:val="24"/>
        </w:rPr>
        <w:t>On October 10, 2015 a new section in the U</w:t>
      </w:r>
      <w:r w:rsidR="00A318B5">
        <w:rPr>
          <w:rFonts w:ascii="Garamond" w:hAnsi="Garamond"/>
          <w:sz w:val="24"/>
          <w:szCs w:val="24"/>
        </w:rPr>
        <w:t xml:space="preserve">tilities and </w:t>
      </w:r>
      <w:r w:rsidRPr="00923BAC">
        <w:rPr>
          <w:rFonts w:ascii="Garamond" w:hAnsi="Garamond"/>
          <w:sz w:val="24"/>
          <w:szCs w:val="24"/>
        </w:rPr>
        <w:t>T</w:t>
      </w:r>
      <w:r w:rsidR="00A318B5">
        <w:rPr>
          <w:rFonts w:ascii="Garamond" w:hAnsi="Garamond"/>
          <w:sz w:val="24"/>
          <w:szCs w:val="24"/>
        </w:rPr>
        <w:t xml:space="preserve">ransportation </w:t>
      </w:r>
      <w:r w:rsidRPr="00923BAC">
        <w:rPr>
          <w:rFonts w:ascii="Garamond" w:hAnsi="Garamond"/>
          <w:sz w:val="24"/>
          <w:szCs w:val="24"/>
        </w:rPr>
        <w:t>C</w:t>
      </w:r>
      <w:r w:rsidR="00A318B5">
        <w:rPr>
          <w:rFonts w:ascii="Garamond" w:hAnsi="Garamond"/>
          <w:sz w:val="24"/>
          <w:szCs w:val="24"/>
        </w:rPr>
        <w:t>ommission’s (UTC)</w:t>
      </w:r>
      <w:r w:rsidR="007E5286">
        <w:rPr>
          <w:rFonts w:ascii="Garamond" w:hAnsi="Garamond"/>
          <w:sz w:val="24"/>
          <w:szCs w:val="24"/>
        </w:rPr>
        <w:t xml:space="preserve"> rule implement</w:t>
      </w:r>
      <w:r w:rsidRPr="00923BAC">
        <w:rPr>
          <w:rFonts w:ascii="Garamond" w:hAnsi="Garamond"/>
          <w:sz w:val="24"/>
          <w:szCs w:val="24"/>
        </w:rPr>
        <w:t>ing the Energy Independence Act</w:t>
      </w:r>
      <w:r w:rsidR="00A318B5" w:rsidRPr="00923BAC">
        <w:rPr>
          <w:rFonts w:ascii="Garamond" w:hAnsi="Garamond"/>
          <w:sz w:val="24"/>
          <w:szCs w:val="24"/>
        </w:rPr>
        <w:t>, WAC 480-109-300,</w:t>
      </w:r>
      <w:r w:rsidRPr="00923BAC">
        <w:rPr>
          <w:rFonts w:ascii="Garamond" w:hAnsi="Garamond"/>
          <w:sz w:val="24"/>
          <w:szCs w:val="24"/>
        </w:rPr>
        <w:t xml:space="preserve"> </w:t>
      </w:r>
      <w:r w:rsidR="009B4FBE" w:rsidRPr="00923BAC">
        <w:rPr>
          <w:rFonts w:ascii="Garamond" w:hAnsi="Garamond"/>
          <w:sz w:val="24"/>
          <w:szCs w:val="24"/>
        </w:rPr>
        <w:t>became effective</w:t>
      </w:r>
      <w:r w:rsidR="00E810BF">
        <w:rPr>
          <w:rFonts w:ascii="Garamond" w:hAnsi="Garamond"/>
          <w:sz w:val="24"/>
          <w:szCs w:val="24"/>
        </w:rPr>
        <w:t>.  The new</w:t>
      </w:r>
      <w:r w:rsidR="00825C12" w:rsidRPr="00923BAC">
        <w:rPr>
          <w:rFonts w:ascii="Garamond" w:hAnsi="Garamond"/>
          <w:sz w:val="24"/>
          <w:szCs w:val="24"/>
        </w:rPr>
        <w:t xml:space="preserve"> </w:t>
      </w:r>
      <w:r w:rsidRPr="00923BAC">
        <w:rPr>
          <w:rFonts w:ascii="Garamond" w:hAnsi="Garamond"/>
          <w:sz w:val="24"/>
          <w:szCs w:val="24"/>
        </w:rPr>
        <w:t>section</w:t>
      </w:r>
      <w:r w:rsidR="00E810BF">
        <w:rPr>
          <w:rFonts w:ascii="Garamond" w:hAnsi="Garamond"/>
          <w:sz w:val="24"/>
          <w:szCs w:val="24"/>
        </w:rPr>
        <w:t xml:space="preserve"> of the rule</w:t>
      </w:r>
      <w:r w:rsidR="00A318B5">
        <w:rPr>
          <w:rFonts w:ascii="Garamond" w:hAnsi="Garamond"/>
          <w:sz w:val="24"/>
          <w:szCs w:val="24"/>
        </w:rPr>
        <w:t xml:space="preserve"> requires all electric utilities</w:t>
      </w:r>
      <w:r w:rsidRPr="00923BAC">
        <w:rPr>
          <w:rFonts w:ascii="Garamond" w:hAnsi="Garamond"/>
          <w:sz w:val="24"/>
          <w:szCs w:val="24"/>
        </w:rPr>
        <w:t xml:space="preserve"> regulated by the </w:t>
      </w:r>
      <w:r w:rsidR="00A318B5">
        <w:rPr>
          <w:rFonts w:ascii="Garamond" w:hAnsi="Garamond"/>
          <w:sz w:val="24"/>
          <w:szCs w:val="24"/>
        </w:rPr>
        <w:t>UTC</w:t>
      </w:r>
      <w:r w:rsidRPr="00923BAC">
        <w:rPr>
          <w:rFonts w:ascii="Garamond" w:hAnsi="Garamond"/>
          <w:sz w:val="24"/>
          <w:szCs w:val="24"/>
        </w:rPr>
        <w:t xml:space="preserve"> to submit an </w:t>
      </w:r>
      <w:r w:rsidRPr="00923BAC">
        <w:rPr>
          <w:rFonts w:ascii="Garamond" w:hAnsi="Garamond"/>
          <w:sz w:val="24"/>
          <w:szCs w:val="24"/>
          <w:u w:val="single"/>
        </w:rPr>
        <w:t>energy and emission intensity report by June 1</w:t>
      </w:r>
      <w:r w:rsidRPr="00923BAC">
        <w:rPr>
          <w:rFonts w:ascii="Garamond" w:hAnsi="Garamond"/>
          <w:sz w:val="24"/>
          <w:szCs w:val="24"/>
          <w:u w:val="single"/>
          <w:vertAlign w:val="superscript"/>
        </w:rPr>
        <w:t>st</w:t>
      </w:r>
      <w:r w:rsidRPr="00923BAC">
        <w:rPr>
          <w:rFonts w:ascii="Garamond" w:hAnsi="Garamond"/>
          <w:sz w:val="24"/>
          <w:szCs w:val="24"/>
          <w:u w:val="single"/>
        </w:rPr>
        <w:t xml:space="preserve"> or earlier</w:t>
      </w:r>
      <w:r w:rsidRPr="00923BAC">
        <w:rPr>
          <w:rFonts w:ascii="Garamond" w:hAnsi="Garamond"/>
          <w:sz w:val="24"/>
          <w:szCs w:val="24"/>
        </w:rPr>
        <w:t xml:space="preserve"> each year</w:t>
      </w:r>
      <w:r w:rsidR="00470F1D" w:rsidRPr="00923BAC">
        <w:rPr>
          <w:rFonts w:ascii="Garamond" w:hAnsi="Garamond"/>
          <w:sz w:val="24"/>
          <w:szCs w:val="24"/>
        </w:rPr>
        <w:t xml:space="preserve"> starting in 2016</w:t>
      </w:r>
      <w:r w:rsidRPr="00923BAC">
        <w:rPr>
          <w:rFonts w:ascii="Garamond" w:hAnsi="Garamond"/>
          <w:sz w:val="24"/>
          <w:szCs w:val="24"/>
        </w:rPr>
        <w:t xml:space="preserve">.  </w:t>
      </w:r>
    </w:p>
    <w:p w14:paraId="7A10C94C" w14:textId="64396FB2" w:rsidR="00E810BF" w:rsidRDefault="00EA333E">
      <w:pPr>
        <w:rPr>
          <w:rFonts w:ascii="Garamond" w:hAnsi="Garamond"/>
          <w:sz w:val="24"/>
          <w:szCs w:val="24"/>
        </w:rPr>
      </w:pPr>
      <w:r w:rsidRPr="00923BAC">
        <w:rPr>
          <w:rFonts w:ascii="Garamond" w:hAnsi="Garamond"/>
          <w:sz w:val="24"/>
          <w:szCs w:val="24"/>
        </w:rPr>
        <w:t>The</w:t>
      </w:r>
      <w:r w:rsidR="00470F1D" w:rsidRPr="00923BAC">
        <w:rPr>
          <w:rFonts w:ascii="Garamond" w:hAnsi="Garamond"/>
          <w:sz w:val="24"/>
          <w:szCs w:val="24"/>
        </w:rPr>
        <w:t xml:space="preserve"> following paragraphs</w:t>
      </w:r>
      <w:r w:rsidR="00825C12" w:rsidRPr="00923BAC">
        <w:rPr>
          <w:rFonts w:ascii="Garamond" w:hAnsi="Garamond"/>
          <w:sz w:val="24"/>
          <w:szCs w:val="24"/>
        </w:rPr>
        <w:t xml:space="preserve"> provide </w:t>
      </w:r>
      <w:r w:rsidR="00E810BF">
        <w:rPr>
          <w:rFonts w:ascii="Garamond" w:hAnsi="Garamond"/>
          <w:sz w:val="24"/>
          <w:szCs w:val="24"/>
        </w:rPr>
        <w:t xml:space="preserve">details on how to submit the annual energy and emissions intensity report, </w:t>
      </w:r>
      <w:r w:rsidR="00825C12" w:rsidRPr="00923BAC">
        <w:rPr>
          <w:rFonts w:ascii="Garamond" w:hAnsi="Garamond"/>
          <w:sz w:val="24"/>
          <w:szCs w:val="24"/>
        </w:rPr>
        <w:t>a</w:t>
      </w:r>
      <w:r w:rsidR="00B82170" w:rsidRPr="00923BAC">
        <w:rPr>
          <w:rFonts w:ascii="Garamond" w:hAnsi="Garamond"/>
          <w:sz w:val="24"/>
          <w:szCs w:val="24"/>
        </w:rPr>
        <w:t xml:space="preserve"> template </w:t>
      </w:r>
      <w:r w:rsidR="00927244">
        <w:rPr>
          <w:rFonts w:ascii="Garamond" w:hAnsi="Garamond"/>
          <w:sz w:val="24"/>
          <w:szCs w:val="24"/>
        </w:rPr>
        <w:t>showing</w:t>
      </w:r>
      <w:r w:rsidR="00825C12" w:rsidRPr="00923BAC">
        <w:rPr>
          <w:rFonts w:ascii="Garamond" w:hAnsi="Garamond"/>
          <w:sz w:val="24"/>
          <w:szCs w:val="24"/>
        </w:rPr>
        <w:t xml:space="preserve"> how the </w:t>
      </w:r>
      <w:r w:rsidR="00927244">
        <w:rPr>
          <w:rFonts w:ascii="Garamond" w:hAnsi="Garamond"/>
          <w:sz w:val="24"/>
          <w:szCs w:val="24"/>
        </w:rPr>
        <w:t>required report might</w:t>
      </w:r>
      <w:r w:rsidR="00470F1D" w:rsidRPr="00923BAC">
        <w:rPr>
          <w:rFonts w:ascii="Garamond" w:hAnsi="Garamond"/>
          <w:sz w:val="24"/>
          <w:szCs w:val="24"/>
        </w:rPr>
        <w:t xml:space="preserve"> be</w:t>
      </w:r>
      <w:r w:rsidR="00927244">
        <w:rPr>
          <w:rFonts w:ascii="Garamond" w:hAnsi="Garamond"/>
          <w:sz w:val="24"/>
          <w:szCs w:val="24"/>
        </w:rPr>
        <w:t xml:space="preserve"> efficiently</w:t>
      </w:r>
      <w:r w:rsidR="00470F1D" w:rsidRPr="00923BAC">
        <w:rPr>
          <w:rFonts w:ascii="Garamond" w:hAnsi="Garamond"/>
          <w:sz w:val="24"/>
          <w:szCs w:val="24"/>
        </w:rPr>
        <w:t xml:space="preserve"> organized</w:t>
      </w:r>
      <w:r w:rsidR="00B82170" w:rsidRPr="00923BAC">
        <w:rPr>
          <w:rFonts w:ascii="Garamond" w:hAnsi="Garamond"/>
          <w:sz w:val="24"/>
          <w:szCs w:val="24"/>
        </w:rPr>
        <w:t>, as well as</w:t>
      </w:r>
      <w:r w:rsidR="00470F1D" w:rsidRPr="00923BAC">
        <w:rPr>
          <w:rFonts w:ascii="Garamond" w:hAnsi="Garamond"/>
          <w:sz w:val="24"/>
          <w:szCs w:val="24"/>
        </w:rPr>
        <w:t xml:space="preserve"> </w:t>
      </w:r>
      <w:r w:rsidR="00927244">
        <w:rPr>
          <w:rFonts w:ascii="Garamond" w:hAnsi="Garamond"/>
          <w:sz w:val="24"/>
          <w:szCs w:val="24"/>
        </w:rPr>
        <w:t xml:space="preserve">an example spreadsheet and </w:t>
      </w:r>
      <w:r w:rsidR="00470F1D" w:rsidRPr="00923BAC">
        <w:rPr>
          <w:rFonts w:ascii="Garamond" w:hAnsi="Garamond"/>
          <w:sz w:val="24"/>
          <w:szCs w:val="24"/>
        </w:rPr>
        <w:t>additional information related to this new reporting requirement</w:t>
      </w:r>
      <w:r w:rsidR="00825C12" w:rsidRPr="00923BAC">
        <w:rPr>
          <w:rFonts w:ascii="Garamond" w:hAnsi="Garamond"/>
          <w:sz w:val="24"/>
          <w:szCs w:val="24"/>
        </w:rPr>
        <w:t>.</w:t>
      </w:r>
    </w:p>
    <w:p w14:paraId="43279280" w14:textId="16861CBF" w:rsidR="00E810BF" w:rsidRPr="00E810BF" w:rsidRDefault="00E810BF">
      <w:pPr>
        <w:rPr>
          <w:rFonts w:ascii="Garamond" w:hAnsi="Garamond"/>
          <w:b/>
          <w:sz w:val="32"/>
          <w:szCs w:val="32"/>
        </w:rPr>
      </w:pPr>
      <w:r w:rsidRPr="00E810BF">
        <w:rPr>
          <w:rFonts w:ascii="Garamond" w:hAnsi="Garamond"/>
          <w:b/>
          <w:sz w:val="32"/>
          <w:szCs w:val="32"/>
        </w:rPr>
        <w:t>Submitting the 2015 Energy and Emissions Intensity Report</w:t>
      </w:r>
    </w:p>
    <w:p w14:paraId="602C1748" w14:textId="2E8D3963" w:rsidR="00E810BF" w:rsidRPr="00923BAC" w:rsidRDefault="00E810BF">
      <w:pPr>
        <w:rPr>
          <w:rFonts w:ascii="Garamond" w:hAnsi="Garamond"/>
          <w:sz w:val="24"/>
          <w:szCs w:val="24"/>
        </w:rPr>
      </w:pPr>
      <w:r>
        <w:rPr>
          <w:rFonts w:ascii="Garamond" w:hAnsi="Garamond"/>
          <w:sz w:val="24"/>
          <w:szCs w:val="24"/>
        </w:rPr>
        <w:t xml:space="preserve">A new docket number has been established in advance of the deadline for the 2015 Energy and Emissions Intensity Reports.  The docket number for the 2015 reports is </w:t>
      </w:r>
      <w:hyperlink r:id="rId7" w:history="1">
        <w:r w:rsidRPr="00A318B5">
          <w:rPr>
            <w:rStyle w:val="Hyperlink"/>
            <w:rFonts w:ascii="Garamond" w:hAnsi="Garamond"/>
            <w:sz w:val="24"/>
            <w:szCs w:val="24"/>
          </w:rPr>
          <w:t>UE-160190</w:t>
        </w:r>
      </w:hyperlink>
      <w:r>
        <w:rPr>
          <w:rFonts w:ascii="Garamond" w:hAnsi="Garamond"/>
          <w:sz w:val="24"/>
          <w:szCs w:val="24"/>
        </w:rPr>
        <w:t xml:space="preserve">.  The UTC requests that these reports be submitted </w:t>
      </w:r>
      <w:r w:rsidRPr="006B4DC8">
        <w:rPr>
          <w:rFonts w:ascii="Garamond" w:hAnsi="Garamond"/>
          <w:sz w:val="24"/>
          <w:szCs w:val="24"/>
          <w:u w:val="single"/>
        </w:rPr>
        <w:t>only in electronic format</w:t>
      </w:r>
      <w:r w:rsidR="006B4DC8" w:rsidRPr="006B4DC8">
        <w:rPr>
          <w:rFonts w:ascii="Garamond" w:hAnsi="Garamond"/>
          <w:sz w:val="24"/>
          <w:szCs w:val="24"/>
          <w:u w:val="single"/>
        </w:rPr>
        <w:t xml:space="preserve">, in </w:t>
      </w:r>
      <w:r w:rsidR="006B4DC8">
        <w:rPr>
          <w:rFonts w:ascii="Garamond" w:hAnsi="Garamond"/>
          <w:sz w:val="24"/>
          <w:szCs w:val="24"/>
          <w:u w:val="single"/>
        </w:rPr>
        <w:t xml:space="preserve">both </w:t>
      </w:r>
      <w:r w:rsidR="006B4DC8" w:rsidRPr="006B4DC8">
        <w:rPr>
          <w:rFonts w:ascii="Garamond" w:hAnsi="Garamond"/>
          <w:sz w:val="24"/>
          <w:szCs w:val="24"/>
          <w:u w:val="single"/>
        </w:rPr>
        <w:t>native and PDF file formats</w:t>
      </w:r>
      <w:r w:rsidR="006B4DC8">
        <w:rPr>
          <w:rFonts w:ascii="Garamond" w:hAnsi="Garamond"/>
          <w:sz w:val="24"/>
          <w:szCs w:val="24"/>
        </w:rPr>
        <w:t>,</w:t>
      </w:r>
      <w:r>
        <w:rPr>
          <w:rFonts w:ascii="Garamond" w:hAnsi="Garamond"/>
          <w:sz w:val="24"/>
          <w:szCs w:val="24"/>
        </w:rPr>
        <w:t xml:space="preserve"> to the records center.  </w:t>
      </w:r>
      <w:r w:rsidR="00877D56">
        <w:rPr>
          <w:rFonts w:ascii="Garamond" w:hAnsi="Garamond"/>
          <w:sz w:val="24"/>
          <w:szCs w:val="24"/>
        </w:rPr>
        <w:t xml:space="preserve">Please submit the reports to the UTC Records Center at: </w:t>
      </w:r>
      <w:hyperlink r:id="rId8" w:history="1">
        <w:r w:rsidR="00877D56" w:rsidRPr="00C40EB9">
          <w:rPr>
            <w:rStyle w:val="Hyperlink"/>
            <w:rFonts w:ascii="Garamond" w:hAnsi="Garamond"/>
            <w:sz w:val="24"/>
            <w:szCs w:val="24"/>
          </w:rPr>
          <w:t>records@utc.wa.gov</w:t>
        </w:r>
      </w:hyperlink>
      <w:r w:rsidR="00877D56">
        <w:rPr>
          <w:rFonts w:ascii="Garamond" w:hAnsi="Garamond"/>
          <w:sz w:val="24"/>
          <w:szCs w:val="24"/>
        </w:rPr>
        <w:t xml:space="preserve"> with the subject line UE-160190</w:t>
      </w:r>
      <w:r w:rsidR="0064632D">
        <w:rPr>
          <w:rFonts w:ascii="Garamond" w:hAnsi="Garamond"/>
          <w:sz w:val="24"/>
          <w:szCs w:val="24"/>
        </w:rPr>
        <w:t>,</w:t>
      </w:r>
      <w:r w:rsidR="0031408F" w:rsidRPr="0031408F">
        <w:t xml:space="preserve"> </w:t>
      </w:r>
      <w:r w:rsidR="0031408F" w:rsidRPr="0064632D">
        <w:rPr>
          <w:rFonts w:ascii="Garamond" w:hAnsi="Garamond"/>
          <w:sz w:val="24"/>
          <w:szCs w:val="24"/>
        </w:rPr>
        <w:t>2015</w:t>
      </w:r>
      <w:r w:rsidR="0031408F">
        <w:t xml:space="preserve"> </w:t>
      </w:r>
      <w:r w:rsidR="0031408F" w:rsidRPr="0031408F">
        <w:rPr>
          <w:rFonts w:ascii="Garamond" w:hAnsi="Garamond"/>
          <w:sz w:val="24"/>
          <w:szCs w:val="24"/>
        </w:rPr>
        <w:t>Energy and Emissions Intensity</w:t>
      </w:r>
      <w:r w:rsidR="00877D56">
        <w:rPr>
          <w:rFonts w:ascii="Garamond" w:hAnsi="Garamond"/>
          <w:sz w:val="24"/>
          <w:szCs w:val="24"/>
        </w:rPr>
        <w:t xml:space="preserve"> </w:t>
      </w:r>
      <w:r w:rsidR="0031408F">
        <w:rPr>
          <w:rFonts w:ascii="Garamond" w:hAnsi="Garamond"/>
          <w:sz w:val="24"/>
          <w:szCs w:val="24"/>
        </w:rPr>
        <w:t>R</w:t>
      </w:r>
      <w:r w:rsidR="00877D56">
        <w:rPr>
          <w:rFonts w:ascii="Garamond" w:hAnsi="Garamond"/>
          <w:sz w:val="24"/>
          <w:szCs w:val="24"/>
        </w:rPr>
        <w:t xml:space="preserve">eport. </w:t>
      </w:r>
      <w:r w:rsidR="006B4DC8">
        <w:rPr>
          <w:rFonts w:ascii="Garamond" w:hAnsi="Garamond"/>
          <w:sz w:val="24"/>
          <w:szCs w:val="24"/>
        </w:rPr>
        <w:t xml:space="preserve"> </w:t>
      </w:r>
    </w:p>
    <w:p w14:paraId="4C23BAA3" w14:textId="6CE43CF6" w:rsidR="00825C12" w:rsidRPr="00923BAC" w:rsidRDefault="00825C12">
      <w:pPr>
        <w:rPr>
          <w:rFonts w:ascii="Garamond" w:hAnsi="Garamond"/>
          <w:b/>
          <w:sz w:val="32"/>
          <w:szCs w:val="32"/>
        </w:rPr>
      </w:pPr>
      <w:r w:rsidRPr="00923BAC">
        <w:rPr>
          <w:rFonts w:ascii="Garamond" w:hAnsi="Garamond"/>
          <w:b/>
          <w:sz w:val="32"/>
          <w:szCs w:val="32"/>
        </w:rPr>
        <w:t xml:space="preserve">Energy and Emissions Intensity Report </w:t>
      </w:r>
      <w:r w:rsidR="00877D56">
        <w:rPr>
          <w:rFonts w:ascii="Garamond" w:hAnsi="Garamond"/>
          <w:b/>
          <w:sz w:val="32"/>
          <w:szCs w:val="32"/>
        </w:rPr>
        <w:t xml:space="preserve">Spreadsheet and </w:t>
      </w:r>
      <w:r w:rsidRPr="00923BAC">
        <w:rPr>
          <w:rFonts w:ascii="Garamond" w:hAnsi="Garamond"/>
          <w:b/>
          <w:sz w:val="32"/>
          <w:szCs w:val="32"/>
        </w:rPr>
        <w:t>Template</w:t>
      </w:r>
    </w:p>
    <w:p w14:paraId="5BF962FB" w14:textId="71D69BC2" w:rsidR="00877D56" w:rsidRDefault="008939B8" w:rsidP="00825C12">
      <w:pPr>
        <w:spacing w:after="0"/>
        <w:rPr>
          <w:rFonts w:ascii="Garamond" w:hAnsi="Garamond"/>
          <w:sz w:val="24"/>
          <w:szCs w:val="24"/>
        </w:rPr>
      </w:pPr>
      <w:r w:rsidRPr="00923BAC">
        <w:rPr>
          <w:rFonts w:ascii="Garamond" w:hAnsi="Garamond"/>
          <w:sz w:val="24"/>
          <w:szCs w:val="24"/>
        </w:rPr>
        <w:t>The report should be s</w:t>
      </w:r>
      <w:r w:rsidR="00923BAC">
        <w:rPr>
          <w:rFonts w:ascii="Garamond" w:hAnsi="Garamond"/>
          <w:sz w:val="24"/>
          <w:szCs w:val="24"/>
        </w:rPr>
        <w:t>ubmitted electronically to the R</w:t>
      </w:r>
      <w:r w:rsidRPr="00923BAC">
        <w:rPr>
          <w:rFonts w:ascii="Garamond" w:hAnsi="Garamond"/>
          <w:sz w:val="24"/>
          <w:szCs w:val="24"/>
        </w:rPr>
        <w:t xml:space="preserve">ecords </w:t>
      </w:r>
      <w:r w:rsidR="00923BAC">
        <w:rPr>
          <w:rFonts w:ascii="Garamond" w:hAnsi="Garamond"/>
          <w:sz w:val="24"/>
          <w:szCs w:val="24"/>
        </w:rPr>
        <w:t>C</w:t>
      </w:r>
      <w:r w:rsidRPr="00923BAC">
        <w:rPr>
          <w:rFonts w:ascii="Garamond" w:hAnsi="Garamond"/>
          <w:sz w:val="24"/>
          <w:szCs w:val="24"/>
        </w:rPr>
        <w:t>enter and include a spreadsheet with the calculated metrics required in the rule.</w:t>
      </w:r>
      <w:r w:rsidR="009B4FBE" w:rsidRPr="00923BAC">
        <w:rPr>
          <w:rFonts w:ascii="Garamond" w:hAnsi="Garamond"/>
          <w:sz w:val="24"/>
          <w:szCs w:val="24"/>
        </w:rPr>
        <w:t xml:space="preserve">  </w:t>
      </w:r>
      <w:r w:rsidR="0031408F">
        <w:rPr>
          <w:rFonts w:ascii="Garamond" w:hAnsi="Garamond"/>
          <w:sz w:val="24"/>
          <w:szCs w:val="24"/>
        </w:rPr>
        <w:t>Commission Staff created a s</w:t>
      </w:r>
      <w:r w:rsidR="00A318B5">
        <w:rPr>
          <w:rFonts w:ascii="Garamond" w:hAnsi="Garamond"/>
          <w:sz w:val="24"/>
          <w:szCs w:val="24"/>
        </w:rPr>
        <w:t>ample</w:t>
      </w:r>
      <w:r w:rsidR="00877D56">
        <w:rPr>
          <w:rFonts w:ascii="Garamond" w:hAnsi="Garamond"/>
          <w:sz w:val="24"/>
          <w:szCs w:val="24"/>
        </w:rPr>
        <w:t xml:space="preserve"> spreadsheet </w:t>
      </w:r>
      <w:r w:rsidR="0064632D">
        <w:rPr>
          <w:rFonts w:ascii="Garamond" w:hAnsi="Garamond"/>
          <w:sz w:val="24"/>
          <w:szCs w:val="24"/>
        </w:rPr>
        <w:t xml:space="preserve">for the year 2015 </w:t>
      </w:r>
      <w:r w:rsidR="0031408F">
        <w:rPr>
          <w:rFonts w:ascii="Garamond" w:hAnsi="Garamond"/>
          <w:sz w:val="24"/>
          <w:szCs w:val="24"/>
        </w:rPr>
        <w:t xml:space="preserve">that </w:t>
      </w:r>
      <w:r w:rsidR="006B4DC8">
        <w:rPr>
          <w:rFonts w:ascii="Garamond" w:hAnsi="Garamond"/>
          <w:sz w:val="24"/>
          <w:szCs w:val="24"/>
        </w:rPr>
        <w:t xml:space="preserve">can be adapted </w:t>
      </w:r>
      <w:r w:rsidR="0031408F">
        <w:rPr>
          <w:rFonts w:ascii="Garamond" w:hAnsi="Garamond"/>
          <w:sz w:val="24"/>
          <w:szCs w:val="24"/>
        </w:rPr>
        <w:t xml:space="preserve">for use </w:t>
      </w:r>
      <w:r w:rsidR="006B4DC8">
        <w:rPr>
          <w:rFonts w:ascii="Garamond" w:hAnsi="Garamond"/>
          <w:sz w:val="24"/>
          <w:szCs w:val="24"/>
        </w:rPr>
        <w:t>by each utility</w:t>
      </w:r>
      <w:r w:rsidR="00877D56">
        <w:rPr>
          <w:rFonts w:ascii="Garamond" w:hAnsi="Garamond"/>
          <w:sz w:val="24"/>
          <w:szCs w:val="24"/>
        </w:rPr>
        <w:t>.  Each utility can input their data in the shade</w:t>
      </w:r>
      <w:r w:rsidR="00A318B5">
        <w:rPr>
          <w:rFonts w:ascii="Garamond" w:hAnsi="Garamond"/>
          <w:sz w:val="24"/>
          <w:szCs w:val="24"/>
        </w:rPr>
        <w:t>d cells of the spreadsheet and</w:t>
      </w:r>
      <w:r w:rsidR="00877D56">
        <w:rPr>
          <w:rFonts w:ascii="Garamond" w:hAnsi="Garamond"/>
          <w:sz w:val="24"/>
          <w:szCs w:val="24"/>
        </w:rPr>
        <w:t xml:space="preserve"> various values are calculated automatically.  The </w:t>
      </w:r>
      <w:r w:rsidR="0031408F">
        <w:rPr>
          <w:rFonts w:ascii="Garamond" w:hAnsi="Garamond"/>
          <w:sz w:val="24"/>
          <w:szCs w:val="24"/>
        </w:rPr>
        <w:t xml:space="preserve">sample </w:t>
      </w:r>
      <w:r w:rsidR="0064632D">
        <w:rPr>
          <w:rFonts w:ascii="Garamond" w:hAnsi="Garamond"/>
          <w:sz w:val="24"/>
          <w:szCs w:val="24"/>
        </w:rPr>
        <w:t xml:space="preserve">year 2015 </w:t>
      </w:r>
      <w:r w:rsidR="00877D56">
        <w:rPr>
          <w:rFonts w:ascii="Garamond" w:hAnsi="Garamond"/>
          <w:sz w:val="24"/>
          <w:szCs w:val="24"/>
        </w:rPr>
        <w:t>spreadshe</w:t>
      </w:r>
      <w:r w:rsidR="006B4DC8">
        <w:rPr>
          <w:rFonts w:ascii="Garamond" w:hAnsi="Garamond"/>
          <w:sz w:val="24"/>
          <w:szCs w:val="24"/>
        </w:rPr>
        <w:t xml:space="preserve">et is available </w:t>
      </w:r>
      <w:r w:rsidR="00877D56">
        <w:rPr>
          <w:rFonts w:ascii="Garamond" w:hAnsi="Garamond"/>
          <w:sz w:val="24"/>
          <w:szCs w:val="24"/>
        </w:rPr>
        <w:t xml:space="preserve">from this link </w:t>
      </w:r>
      <w:hyperlink r:id="rId9" w:history="1">
        <w:r w:rsidR="00877D56" w:rsidRPr="00877D56">
          <w:rPr>
            <w:rStyle w:val="Hyperlink"/>
            <w:rFonts w:ascii="Garamond" w:hAnsi="Garamond"/>
            <w:sz w:val="24"/>
            <w:szCs w:val="24"/>
          </w:rPr>
          <w:t>UE-160190</w:t>
        </w:r>
      </w:hyperlink>
      <w:r w:rsidR="00877D56">
        <w:rPr>
          <w:rFonts w:ascii="Garamond" w:hAnsi="Garamond"/>
          <w:sz w:val="24"/>
          <w:szCs w:val="24"/>
        </w:rPr>
        <w:t xml:space="preserve">.  The </w:t>
      </w:r>
      <w:r w:rsidR="0064632D">
        <w:rPr>
          <w:rFonts w:ascii="Garamond" w:hAnsi="Garamond"/>
          <w:sz w:val="24"/>
          <w:szCs w:val="24"/>
        </w:rPr>
        <w:t xml:space="preserve">shaded </w:t>
      </w:r>
      <w:r w:rsidR="00877D56">
        <w:rPr>
          <w:rFonts w:ascii="Garamond" w:hAnsi="Garamond"/>
          <w:sz w:val="24"/>
          <w:szCs w:val="24"/>
        </w:rPr>
        <w:t xml:space="preserve">values in the </w:t>
      </w:r>
      <w:r w:rsidR="0031408F">
        <w:rPr>
          <w:rFonts w:ascii="Garamond" w:hAnsi="Garamond"/>
          <w:sz w:val="24"/>
          <w:szCs w:val="24"/>
        </w:rPr>
        <w:t xml:space="preserve">sample </w:t>
      </w:r>
      <w:r w:rsidR="00877D56">
        <w:rPr>
          <w:rFonts w:ascii="Garamond" w:hAnsi="Garamond"/>
          <w:sz w:val="24"/>
          <w:szCs w:val="24"/>
        </w:rPr>
        <w:t xml:space="preserve">spreadsheet </w:t>
      </w:r>
      <w:r w:rsidR="0064632D">
        <w:rPr>
          <w:rFonts w:ascii="Garamond" w:hAnsi="Garamond"/>
          <w:sz w:val="24"/>
          <w:szCs w:val="24"/>
        </w:rPr>
        <w:t>should be cleared before</w:t>
      </w:r>
      <w:r w:rsidR="00877D56">
        <w:rPr>
          <w:rFonts w:ascii="Garamond" w:hAnsi="Garamond"/>
          <w:sz w:val="24"/>
          <w:szCs w:val="24"/>
        </w:rPr>
        <w:t xml:space="preserve"> use.  The same calculations will also be needed for the prior 9 years to create a 10-year trend for the metrics, as required by the rule.  The spreadsheet </w:t>
      </w:r>
      <w:r w:rsidR="001F03ED">
        <w:rPr>
          <w:rFonts w:ascii="Garamond" w:hAnsi="Garamond"/>
          <w:sz w:val="24"/>
          <w:szCs w:val="24"/>
        </w:rPr>
        <w:t>is</w:t>
      </w:r>
      <w:r w:rsidR="006B4DC8">
        <w:rPr>
          <w:rFonts w:ascii="Garamond" w:hAnsi="Garamond"/>
          <w:sz w:val="24"/>
          <w:szCs w:val="24"/>
        </w:rPr>
        <w:t xml:space="preserve"> unprotected and </w:t>
      </w:r>
      <w:r w:rsidR="001F03ED">
        <w:rPr>
          <w:rFonts w:ascii="Garamond" w:hAnsi="Garamond"/>
          <w:sz w:val="24"/>
          <w:szCs w:val="24"/>
        </w:rPr>
        <w:t>can be copied to facilitate</w:t>
      </w:r>
      <w:r w:rsidR="00877D56">
        <w:rPr>
          <w:rFonts w:ascii="Garamond" w:hAnsi="Garamond"/>
          <w:sz w:val="24"/>
          <w:szCs w:val="24"/>
        </w:rPr>
        <w:t xml:space="preserve"> parallel calculations for all 10 years.</w:t>
      </w:r>
    </w:p>
    <w:p w14:paraId="548CAC79" w14:textId="77777777" w:rsidR="00535A87" w:rsidRDefault="00535A87" w:rsidP="00825C12">
      <w:pPr>
        <w:spacing w:after="0"/>
        <w:rPr>
          <w:rFonts w:ascii="Garamond" w:hAnsi="Garamond"/>
          <w:sz w:val="24"/>
          <w:szCs w:val="24"/>
        </w:rPr>
      </w:pPr>
    </w:p>
    <w:p w14:paraId="0B0393EB" w14:textId="33EBCC74" w:rsidR="00877D56" w:rsidRDefault="001F03ED" w:rsidP="00825C12">
      <w:pPr>
        <w:spacing w:after="0"/>
        <w:rPr>
          <w:rFonts w:ascii="Garamond" w:hAnsi="Garamond"/>
          <w:sz w:val="24"/>
          <w:szCs w:val="24"/>
        </w:rPr>
      </w:pPr>
      <w:r>
        <w:rPr>
          <w:rFonts w:ascii="Garamond" w:hAnsi="Garamond"/>
          <w:sz w:val="24"/>
          <w:szCs w:val="24"/>
        </w:rPr>
        <w:t>T</w:t>
      </w:r>
      <w:r w:rsidR="00535A87">
        <w:rPr>
          <w:rFonts w:ascii="Garamond" w:hAnsi="Garamond"/>
          <w:sz w:val="24"/>
          <w:szCs w:val="24"/>
        </w:rPr>
        <w:t xml:space="preserve">he summary tab </w:t>
      </w:r>
      <w:r>
        <w:rPr>
          <w:rFonts w:ascii="Garamond" w:hAnsi="Garamond"/>
          <w:sz w:val="24"/>
          <w:szCs w:val="24"/>
        </w:rPr>
        <w:t xml:space="preserve">of </w:t>
      </w:r>
      <w:r>
        <w:rPr>
          <w:rFonts w:ascii="Garamond" w:hAnsi="Garamond"/>
          <w:sz w:val="24"/>
          <w:szCs w:val="24"/>
        </w:rPr>
        <w:t xml:space="preserve">the </w:t>
      </w:r>
      <w:r w:rsidR="00AD0FB2">
        <w:rPr>
          <w:rFonts w:ascii="Garamond" w:hAnsi="Garamond"/>
          <w:sz w:val="24"/>
          <w:szCs w:val="24"/>
        </w:rPr>
        <w:t>s</w:t>
      </w:r>
      <w:r>
        <w:rPr>
          <w:rFonts w:ascii="Garamond" w:hAnsi="Garamond"/>
          <w:sz w:val="24"/>
          <w:szCs w:val="24"/>
        </w:rPr>
        <w:t xml:space="preserve">ample spreadsheet </w:t>
      </w:r>
      <w:r w:rsidR="00535A87">
        <w:rPr>
          <w:rFonts w:ascii="Garamond" w:hAnsi="Garamond"/>
          <w:sz w:val="24"/>
          <w:szCs w:val="24"/>
        </w:rPr>
        <w:t xml:space="preserve">shows the </w:t>
      </w:r>
      <w:r>
        <w:rPr>
          <w:rFonts w:ascii="Garamond" w:hAnsi="Garamond"/>
          <w:sz w:val="24"/>
          <w:szCs w:val="24"/>
        </w:rPr>
        <w:t>metrics</w:t>
      </w:r>
      <w:r w:rsidR="00535A87">
        <w:rPr>
          <w:rFonts w:ascii="Garamond" w:hAnsi="Garamond"/>
          <w:sz w:val="24"/>
          <w:szCs w:val="24"/>
        </w:rPr>
        <w:t xml:space="preserve"> </w:t>
      </w:r>
      <w:r>
        <w:rPr>
          <w:rFonts w:ascii="Garamond" w:hAnsi="Garamond"/>
          <w:sz w:val="24"/>
          <w:szCs w:val="24"/>
        </w:rPr>
        <w:t>required by the rule</w:t>
      </w:r>
      <w:r w:rsidR="00535A87">
        <w:rPr>
          <w:rFonts w:ascii="Garamond" w:hAnsi="Garamond"/>
          <w:sz w:val="24"/>
          <w:szCs w:val="24"/>
        </w:rPr>
        <w:t xml:space="preserve"> in bold</w:t>
      </w:r>
      <w:r>
        <w:rPr>
          <w:rFonts w:ascii="Garamond" w:hAnsi="Garamond"/>
          <w:sz w:val="24"/>
          <w:szCs w:val="24"/>
        </w:rPr>
        <w:t xml:space="preserve"> fonts</w:t>
      </w:r>
      <w:r w:rsidR="00535A87">
        <w:rPr>
          <w:rFonts w:ascii="Garamond" w:hAnsi="Garamond"/>
          <w:sz w:val="24"/>
          <w:szCs w:val="24"/>
        </w:rPr>
        <w:t>.  Hypothetical data is filled in</w:t>
      </w:r>
      <w:r>
        <w:rPr>
          <w:rFonts w:ascii="Garamond" w:hAnsi="Garamond"/>
          <w:sz w:val="24"/>
          <w:szCs w:val="24"/>
        </w:rPr>
        <w:t xml:space="preserve"> the </w:t>
      </w:r>
      <w:r w:rsidR="00AD0FB2">
        <w:rPr>
          <w:rFonts w:ascii="Garamond" w:hAnsi="Garamond"/>
          <w:sz w:val="24"/>
          <w:szCs w:val="24"/>
        </w:rPr>
        <w:t>s</w:t>
      </w:r>
      <w:r>
        <w:rPr>
          <w:rFonts w:ascii="Garamond" w:hAnsi="Garamond"/>
          <w:sz w:val="24"/>
          <w:szCs w:val="24"/>
        </w:rPr>
        <w:t xml:space="preserve">ample </w:t>
      </w:r>
      <w:r>
        <w:rPr>
          <w:rFonts w:ascii="Garamond" w:hAnsi="Garamond"/>
          <w:sz w:val="24"/>
          <w:szCs w:val="24"/>
        </w:rPr>
        <w:t xml:space="preserve">spreadsheet. </w:t>
      </w:r>
      <w:r w:rsidR="00535A87">
        <w:rPr>
          <w:rFonts w:ascii="Garamond" w:hAnsi="Garamond"/>
          <w:sz w:val="24"/>
          <w:szCs w:val="24"/>
        </w:rPr>
        <w:t xml:space="preserve"> </w:t>
      </w:r>
      <w:r>
        <w:rPr>
          <w:rFonts w:ascii="Garamond" w:hAnsi="Garamond"/>
          <w:sz w:val="24"/>
          <w:szCs w:val="24"/>
        </w:rPr>
        <w:t>D</w:t>
      </w:r>
      <w:r w:rsidR="00535A87">
        <w:rPr>
          <w:rFonts w:ascii="Garamond" w:hAnsi="Garamond"/>
          <w:sz w:val="24"/>
          <w:szCs w:val="24"/>
        </w:rPr>
        <w:t>ata input is only needed in the shade</w:t>
      </w:r>
      <w:r>
        <w:rPr>
          <w:rFonts w:ascii="Garamond" w:hAnsi="Garamond"/>
          <w:sz w:val="24"/>
          <w:szCs w:val="24"/>
        </w:rPr>
        <w:t>d cells in each of the</w:t>
      </w:r>
      <w:r w:rsidR="00535A87">
        <w:rPr>
          <w:rFonts w:ascii="Garamond" w:hAnsi="Garamond"/>
          <w:sz w:val="24"/>
          <w:szCs w:val="24"/>
        </w:rPr>
        <w:t xml:space="preserve"> tabs.  </w:t>
      </w:r>
      <w:r w:rsidR="00776D95">
        <w:rPr>
          <w:rFonts w:ascii="Garamond" w:hAnsi="Garamond"/>
          <w:sz w:val="24"/>
          <w:szCs w:val="24"/>
        </w:rPr>
        <w:t>An image of</w:t>
      </w:r>
      <w:r w:rsidR="00535A87">
        <w:rPr>
          <w:rFonts w:ascii="Garamond" w:hAnsi="Garamond"/>
          <w:sz w:val="24"/>
          <w:szCs w:val="24"/>
        </w:rPr>
        <w:t xml:space="preserve"> cells</w:t>
      </w:r>
      <w:r w:rsidR="00776D95">
        <w:rPr>
          <w:rFonts w:ascii="Garamond" w:hAnsi="Garamond"/>
          <w:sz w:val="24"/>
          <w:szCs w:val="24"/>
        </w:rPr>
        <w:t xml:space="preserve"> A1 through G22</w:t>
      </w:r>
      <w:r w:rsidR="00535A87">
        <w:rPr>
          <w:rFonts w:ascii="Garamond" w:hAnsi="Garamond"/>
          <w:sz w:val="24"/>
          <w:szCs w:val="24"/>
        </w:rPr>
        <w:t xml:space="preserve"> </w:t>
      </w:r>
      <w:r>
        <w:rPr>
          <w:rFonts w:ascii="Garamond" w:hAnsi="Garamond"/>
          <w:sz w:val="24"/>
          <w:szCs w:val="24"/>
        </w:rPr>
        <w:t xml:space="preserve">on the summary tab </w:t>
      </w:r>
      <w:r w:rsidR="00776D95">
        <w:rPr>
          <w:rFonts w:ascii="Garamond" w:hAnsi="Garamond"/>
          <w:sz w:val="24"/>
          <w:szCs w:val="24"/>
        </w:rPr>
        <w:t>using</w:t>
      </w:r>
      <w:r w:rsidR="00535A87">
        <w:rPr>
          <w:rFonts w:ascii="Garamond" w:hAnsi="Garamond"/>
          <w:sz w:val="24"/>
          <w:szCs w:val="24"/>
        </w:rPr>
        <w:t xml:space="preserve"> hypothetical data are </w:t>
      </w:r>
      <w:r w:rsidR="00776D95">
        <w:rPr>
          <w:rFonts w:ascii="Garamond" w:hAnsi="Garamond"/>
          <w:sz w:val="24"/>
          <w:szCs w:val="24"/>
        </w:rPr>
        <w:t>shown</w:t>
      </w:r>
      <w:r w:rsidR="00535A87">
        <w:rPr>
          <w:rFonts w:ascii="Garamond" w:hAnsi="Garamond"/>
          <w:sz w:val="24"/>
          <w:szCs w:val="24"/>
        </w:rPr>
        <w:t xml:space="preserve"> below.</w:t>
      </w:r>
    </w:p>
    <w:p w14:paraId="3263879C" w14:textId="77777777" w:rsidR="001F03ED" w:rsidRDefault="001F03ED" w:rsidP="00825C12">
      <w:pPr>
        <w:spacing w:after="0"/>
        <w:rPr>
          <w:rFonts w:ascii="Garamond" w:hAnsi="Garamond"/>
          <w:sz w:val="24"/>
          <w:szCs w:val="24"/>
        </w:rPr>
      </w:pPr>
    </w:p>
    <w:tbl>
      <w:tblPr>
        <w:tblW w:w="10288" w:type="dxa"/>
        <w:tblLook w:val="04A0" w:firstRow="1" w:lastRow="0" w:firstColumn="1" w:lastColumn="0" w:noHBand="0" w:noVBand="1"/>
      </w:tblPr>
      <w:tblGrid>
        <w:gridCol w:w="291"/>
        <w:gridCol w:w="1551"/>
        <w:gridCol w:w="1302"/>
        <w:gridCol w:w="2026"/>
        <w:gridCol w:w="1884"/>
        <w:gridCol w:w="1831"/>
        <w:gridCol w:w="1403"/>
      </w:tblGrid>
      <w:tr w:rsidR="000948D5" w:rsidRPr="000948D5" w14:paraId="247C5EB6" w14:textId="77777777" w:rsidTr="0073353B">
        <w:trPr>
          <w:trHeight w:val="377"/>
        </w:trPr>
        <w:tc>
          <w:tcPr>
            <w:tcW w:w="7054" w:type="dxa"/>
            <w:gridSpan w:val="5"/>
            <w:tcBorders>
              <w:top w:val="nil"/>
              <w:left w:val="nil"/>
              <w:bottom w:val="nil"/>
              <w:right w:val="nil"/>
            </w:tcBorders>
            <w:shd w:val="clear" w:color="auto" w:fill="auto"/>
            <w:noWrap/>
            <w:vAlign w:val="bottom"/>
            <w:hideMark/>
          </w:tcPr>
          <w:p w14:paraId="2592A4BE" w14:textId="77777777" w:rsidR="000948D5" w:rsidRPr="000948D5" w:rsidRDefault="000948D5" w:rsidP="000948D5">
            <w:pPr>
              <w:spacing w:after="0" w:line="240" w:lineRule="auto"/>
              <w:rPr>
                <w:rFonts w:ascii="Calibri" w:eastAsia="Times New Roman" w:hAnsi="Calibri" w:cs="Calibri"/>
                <w:b/>
                <w:bCs/>
                <w:color w:val="000000"/>
                <w:sz w:val="28"/>
                <w:szCs w:val="28"/>
              </w:rPr>
            </w:pPr>
            <w:r w:rsidRPr="000948D5">
              <w:rPr>
                <w:rFonts w:ascii="Calibri" w:eastAsia="Times New Roman" w:hAnsi="Calibri" w:cs="Calibri"/>
                <w:b/>
                <w:bCs/>
                <w:color w:val="000000"/>
                <w:sz w:val="28"/>
                <w:szCs w:val="28"/>
              </w:rPr>
              <w:t>Summary Energy and Emissions Intensity Report</w:t>
            </w:r>
          </w:p>
        </w:tc>
        <w:tc>
          <w:tcPr>
            <w:tcW w:w="1831" w:type="dxa"/>
            <w:tcBorders>
              <w:top w:val="nil"/>
              <w:left w:val="nil"/>
              <w:bottom w:val="nil"/>
              <w:right w:val="nil"/>
            </w:tcBorders>
            <w:shd w:val="clear" w:color="auto" w:fill="auto"/>
            <w:noWrap/>
            <w:vAlign w:val="bottom"/>
            <w:hideMark/>
          </w:tcPr>
          <w:p w14:paraId="05C6CEAA" w14:textId="77777777" w:rsidR="000948D5" w:rsidRPr="000948D5" w:rsidRDefault="000948D5" w:rsidP="000948D5">
            <w:pPr>
              <w:spacing w:after="0" w:line="240" w:lineRule="auto"/>
              <w:rPr>
                <w:rFonts w:ascii="Calibri" w:eastAsia="Times New Roman" w:hAnsi="Calibri" w:cs="Calibri"/>
                <w:b/>
                <w:bCs/>
                <w:color w:val="000000"/>
                <w:sz w:val="28"/>
                <w:szCs w:val="28"/>
              </w:rPr>
            </w:pPr>
          </w:p>
        </w:tc>
        <w:tc>
          <w:tcPr>
            <w:tcW w:w="1403" w:type="dxa"/>
            <w:tcBorders>
              <w:top w:val="nil"/>
              <w:left w:val="nil"/>
              <w:bottom w:val="nil"/>
              <w:right w:val="nil"/>
            </w:tcBorders>
            <w:shd w:val="clear" w:color="auto" w:fill="auto"/>
            <w:noWrap/>
            <w:vAlign w:val="bottom"/>
            <w:hideMark/>
          </w:tcPr>
          <w:p w14:paraId="36F307BB" w14:textId="77777777" w:rsidR="000948D5" w:rsidRPr="000948D5" w:rsidRDefault="000948D5" w:rsidP="000948D5">
            <w:pPr>
              <w:spacing w:after="0" w:line="240" w:lineRule="auto"/>
              <w:rPr>
                <w:rFonts w:ascii="Times New Roman" w:eastAsia="Times New Roman" w:hAnsi="Times New Roman" w:cs="Times New Roman"/>
                <w:sz w:val="20"/>
                <w:szCs w:val="20"/>
              </w:rPr>
            </w:pPr>
          </w:p>
        </w:tc>
      </w:tr>
      <w:tr w:rsidR="000948D5" w:rsidRPr="000948D5" w14:paraId="276315E8" w14:textId="77777777" w:rsidTr="0073353B">
        <w:trPr>
          <w:trHeight w:val="317"/>
        </w:trPr>
        <w:tc>
          <w:tcPr>
            <w:tcW w:w="291" w:type="dxa"/>
            <w:tcBorders>
              <w:top w:val="nil"/>
              <w:left w:val="nil"/>
              <w:bottom w:val="nil"/>
              <w:right w:val="nil"/>
            </w:tcBorders>
            <w:shd w:val="clear" w:color="auto" w:fill="auto"/>
            <w:noWrap/>
            <w:vAlign w:val="bottom"/>
            <w:hideMark/>
          </w:tcPr>
          <w:p w14:paraId="524A346C" w14:textId="77777777" w:rsidR="000948D5" w:rsidRPr="000948D5" w:rsidRDefault="000948D5" w:rsidP="000948D5">
            <w:pPr>
              <w:spacing w:after="0" w:line="240" w:lineRule="auto"/>
              <w:rPr>
                <w:rFonts w:ascii="Times New Roman" w:eastAsia="Times New Roman" w:hAnsi="Times New Roman" w:cs="Times New Roman"/>
                <w:sz w:val="20"/>
                <w:szCs w:val="20"/>
              </w:rPr>
            </w:pPr>
          </w:p>
        </w:tc>
        <w:tc>
          <w:tcPr>
            <w:tcW w:w="1551" w:type="dxa"/>
            <w:tcBorders>
              <w:top w:val="nil"/>
              <w:left w:val="nil"/>
              <w:bottom w:val="nil"/>
              <w:right w:val="nil"/>
            </w:tcBorders>
            <w:shd w:val="clear" w:color="auto" w:fill="auto"/>
            <w:noWrap/>
            <w:vAlign w:val="bottom"/>
            <w:hideMark/>
          </w:tcPr>
          <w:p w14:paraId="03C9F7F1" w14:textId="77777777" w:rsidR="000948D5" w:rsidRPr="000948D5" w:rsidRDefault="000948D5" w:rsidP="000948D5">
            <w:pPr>
              <w:spacing w:after="0" w:line="240" w:lineRule="auto"/>
              <w:rPr>
                <w:rFonts w:ascii="Times New Roman" w:eastAsia="Times New Roman" w:hAnsi="Times New Roman" w:cs="Times New Roman"/>
                <w:sz w:val="20"/>
                <w:szCs w:val="20"/>
              </w:rPr>
            </w:pPr>
          </w:p>
        </w:tc>
        <w:tc>
          <w:tcPr>
            <w:tcW w:w="1301" w:type="dxa"/>
            <w:tcBorders>
              <w:top w:val="nil"/>
              <w:left w:val="nil"/>
              <w:bottom w:val="nil"/>
              <w:right w:val="nil"/>
            </w:tcBorders>
            <w:shd w:val="clear" w:color="auto" w:fill="auto"/>
            <w:noWrap/>
            <w:vAlign w:val="bottom"/>
            <w:hideMark/>
          </w:tcPr>
          <w:p w14:paraId="763990D2" w14:textId="77777777" w:rsidR="000948D5" w:rsidRPr="000948D5" w:rsidRDefault="000948D5" w:rsidP="000948D5">
            <w:pPr>
              <w:spacing w:after="0" w:line="240" w:lineRule="auto"/>
              <w:rPr>
                <w:rFonts w:ascii="Times New Roman" w:eastAsia="Times New Roman" w:hAnsi="Times New Roman" w:cs="Times New Roman"/>
                <w:sz w:val="20"/>
                <w:szCs w:val="20"/>
              </w:rPr>
            </w:pPr>
          </w:p>
        </w:tc>
        <w:tc>
          <w:tcPr>
            <w:tcW w:w="2026" w:type="dxa"/>
            <w:tcBorders>
              <w:top w:val="nil"/>
              <w:left w:val="nil"/>
              <w:bottom w:val="nil"/>
              <w:right w:val="nil"/>
            </w:tcBorders>
            <w:shd w:val="clear" w:color="auto" w:fill="auto"/>
            <w:noWrap/>
            <w:vAlign w:val="bottom"/>
            <w:hideMark/>
          </w:tcPr>
          <w:p w14:paraId="1975B1F1" w14:textId="77777777" w:rsidR="000948D5" w:rsidRPr="000948D5" w:rsidRDefault="000948D5" w:rsidP="000948D5">
            <w:pPr>
              <w:spacing w:after="0" w:line="240" w:lineRule="auto"/>
              <w:rPr>
                <w:rFonts w:ascii="Times New Roman" w:eastAsia="Times New Roman" w:hAnsi="Times New Roman" w:cs="Times New Roman"/>
                <w:sz w:val="20"/>
                <w:szCs w:val="20"/>
              </w:rPr>
            </w:pPr>
          </w:p>
        </w:tc>
        <w:tc>
          <w:tcPr>
            <w:tcW w:w="1884" w:type="dxa"/>
            <w:tcBorders>
              <w:top w:val="nil"/>
              <w:left w:val="nil"/>
              <w:bottom w:val="nil"/>
              <w:right w:val="nil"/>
            </w:tcBorders>
            <w:shd w:val="clear" w:color="auto" w:fill="auto"/>
            <w:noWrap/>
            <w:vAlign w:val="bottom"/>
            <w:hideMark/>
          </w:tcPr>
          <w:p w14:paraId="53382285" w14:textId="77777777" w:rsidR="000948D5" w:rsidRPr="000948D5" w:rsidRDefault="000948D5" w:rsidP="000948D5">
            <w:pPr>
              <w:spacing w:after="0" w:line="240" w:lineRule="auto"/>
              <w:rPr>
                <w:rFonts w:ascii="Times New Roman" w:eastAsia="Times New Roman" w:hAnsi="Times New Roman" w:cs="Times New Roman"/>
                <w:sz w:val="20"/>
                <w:szCs w:val="20"/>
              </w:rPr>
            </w:pPr>
          </w:p>
        </w:tc>
        <w:tc>
          <w:tcPr>
            <w:tcW w:w="1831" w:type="dxa"/>
            <w:tcBorders>
              <w:top w:val="nil"/>
              <w:left w:val="nil"/>
              <w:bottom w:val="nil"/>
              <w:right w:val="nil"/>
            </w:tcBorders>
            <w:shd w:val="clear" w:color="auto" w:fill="auto"/>
            <w:noWrap/>
            <w:vAlign w:val="bottom"/>
            <w:hideMark/>
          </w:tcPr>
          <w:p w14:paraId="2B913C75" w14:textId="77777777" w:rsidR="000948D5" w:rsidRPr="000948D5" w:rsidRDefault="000948D5" w:rsidP="000948D5">
            <w:pPr>
              <w:spacing w:after="0" w:line="240" w:lineRule="auto"/>
              <w:rPr>
                <w:rFonts w:ascii="Times New Roman" w:eastAsia="Times New Roman" w:hAnsi="Times New Roman" w:cs="Times New Roman"/>
                <w:sz w:val="20"/>
                <w:szCs w:val="20"/>
              </w:rPr>
            </w:pPr>
          </w:p>
        </w:tc>
        <w:tc>
          <w:tcPr>
            <w:tcW w:w="1403" w:type="dxa"/>
            <w:tcBorders>
              <w:top w:val="nil"/>
              <w:left w:val="nil"/>
              <w:bottom w:val="nil"/>
              <w:right w:val="nil"/>
            </w:tcBorders>
            <w:shd w:val="clear" w:color="auto" w:fill="auto"/>
            <w:noWrap/>
            <w:vAlign w:val="bottom"/>
            <w:hideMark/>
          </w:tcPr>
          <w:p w14:paraId="7DC91CCE" w14:textId="77777777" w:rsidR="000948D5" w:rsidRPr="000948D5" w:rsidRDefault="000948D5" w:rsidP="000948D5">
            <w:pPr>
              <w:spacing w:after="0" w:line="240" w:lineRule="auto"/>
              <w:rPr>
                <w:rFonts w:ascii="Times New Roman" w:eastAsia="Times New Roman" w:hAnsi="Times New Roman" w:cs="Times New Roman"/>
                <w:sz w:val="20"/>
                <w:szCs w:val="20"/>
              </w:rPr>
            </w:pPr>
          </w:p>
        </w:tc>
      </w:tr>
      <w:tr w:rsidR="000948D5" w:rsidRPr="000948D5" w14:paraId="48591D13" w14:textId="77777777" w:rsidTr="0073353B">
        <w:trPr>
          <w:trHeight w:val="302"/>
        </w:trPr>
        <w:tc>
          <w:tcPr>
            <w:tcW w:w="291" w:type="dxa"/>
            <w:tcBorders>
              <w:top w:val="single" w:sz="8" w:space="0" w:color="auto"/>
              <w:left w:val="single" w:sz="8" w:space="0" w:color="auto"/>
              <w:bottom w:val="single" w:sz="4" w:space="0" w:color="auto"/>
              <w:right w:val="nil"/>
            </w:tcBorders>
            <w:shd w:val="clear" w:color="auto" w:fill="auto"/>
            <w:noWrap/>
            <w:vAlign w:val="bottom"/>
            <w:hideMark/>
          </w:tcPr>
          <w:p w14:paraId="1F4C1D8E" w14:textId="77777777" w:rsidR="000948D5" w:rsidRPr="000948D5" w:rsidRDefault="000948D5" w:rsidP="000948D5">
            <w:pPr>
              <w:spacing w:after="0" w:line="240" w:lineRule="auto"/>
              <w:rPr>
                <w:rFonts w:ascii="Calibri" w:eastAsia="Times New Roman" w:hAnsi="Calibri" w:cs="Calibri"/>
                <w:color w:val="000000"/>
              </w:rPr>
            </w:pPr>
            <w:r w:rsidRPr="000948D5">
              <w:rPr>
                <w:rFonts w:ascii="Calibri" w:eastAsia="Times New Roman" w:hAnsi="Calibri" w:cs="Calibri"/>
                <w:color w:val="000000"/>
              </w:rPr>
              <w:t> </w:t>
            </w:r>
          </w:p>
        </w:tc>
        <w:tc>
          <w:tcPr>
            <w:tcW w:w="1551" w:type="dxa"/>
            <w:tcBorders>
              <w:top w:val="single" w:sz="8" w:space="0" w:color="auto"/>
              <w:left w:val="nil"/>
              <w:bottom w:val="single" w:sz="4" w:space="0" w:color="auto"/>
              <w:right w:val="single" w:sz="4" w:space="0" w:color="auto"/>
            </w:tcBorders>
            <w:shd w:val="clear" w:color="auto" w:fill="auto"/>
            <w:noWrap/>
            <w:vAlign w:val="bottom"/>
            <w:hideMark/>
          </w:tcPr>
          <w:p w14:paraId="461693DF" w14:textId="77777777" w:rsidR="000948D5" w:rsidRPr="000948D5" w:rsidRDefault="000948D5" w:rsidP="000948D5">
            <w:pPr>
              <w:spacing w:after="0" w:line="240" w:lineRule="auto"/>
              <w:rPr>
                <w:rFonts w:ascii="Calibri" w:eastAsia="Times New Roman" w:hAnsi="Calibri" w:cs="Calibri"/>
                <w:color w:val="000000"/>
              </w:rPr>
            </w:pPr>
            <w:r w:rsidRPr="000948D5">
              <w:rPr>
                <w:rFonts w:ascii="Calibri" w:eastAsia="Times New Roman" w:hAnsi="Calibri" w:cs="Calibri"/>
                <w:color w:val="000000"/>
              </w:rPr>
              <w:t>Utility :</w:t>
            </w:r>
          </w:p>
        </w:tc>
        <w:tc>
          <w:tcPr>
            <w:tcW w:w="3327" w:type="dxa"/>
            <w:gridSpan w:val="2"/>
            <w:tcBorders>
              <w:top w:val="single" w:sz="8" w:space="0" w:color="auto"/>
              <w:left w:val="single" w:sz="4" w:space="0" w:color="auto"/>
              <w:bottom w:val="single" w:sz="4" w:space="0" w:color="auto"/>
              <w:right w:val="single" w:sz="8" w:space="0" w:color="000000"/>
            </w:tcBorders>
            <w:shd w:val="clear" w:color="000000" w:fill="DDEBF7"/>
            <w:noWrap/>
            <w:vAlign w:val="bottom"/>
            <w:hideMark/>
          </w:tcPr>
          <w:p w14:paraId="6B33B032" w14:textId="77777777" w:rsidR="000948D5" w:rsidRPr="000948D5" w:rsidRDefault="000948D5" w:rsidP="000948D5">
            <w:pPr>
              <w:spacing w:after="0" w:line="240" w:lineRule="auto"/>
              <w:rPr>
                <w:rFonts w:ascii="Calibri" w:eastAsia="Times New Roman" w:hAnsi="Calibri" w:cs="Calibri"/>
                <w:color w:val="000000"/>
              </w:rPr>
            </w:pPr>
            <w:r w:rsidRPr="000948D5">
              <w:rPr>
                <w:rFonts w:ascii="Calibri" w:eastAsia="Times New Roman" w:hAnsi="Calibri" w:cs="Calibri"/>
                <w:color w:val="000000"/>
              </w:rPr>
              <w:t>EXCELLENT UTILITY</w:t>
            </w:r>
          </w:p>
        </w:tc>
        <w:tc>
          <w:tcPr>
            <w:tcW w:w="1884" w:type="dxa"/>
            <w:tcBorders>
              <w:top w:val="nil"/>
              <w:left w:val="nil"/>
              <w:bottom w:val="nil"/>
              <w:right w:val="nil"/>
            </w:tcBorders>
            <w:shd w:val="clear" w:color="auto" w:fill="auto"/>
            <w:noWrap/>
            <w:vAlign w:val="bottom"/>
            <w:hideMark/>
          </w:tcPr>
          <w:p w14:paraId="38FB545E" w14:textId="77777777" w:rsidR="000948D5" w:rsidRPr="000948D5" w:rsidRDefault="000948D5" w:rsidP="000948D5">
            <w:pPr>
              <w:spacing w:after="0" w:line="240" w:lineRule="auto"/>
              <w:rPr>
                <w:rFonts w:ascii="Calibri" w:eastAsia="Times New Roman" w:hAnsi="Calibri" w:cs="Calibri"/>
                <w:color w:val="000000"/>
              </w:rPr>
            </w:pPr>
          </w:p>
        </w:tc>
        <w:tc>
          <w:tcPr>
            <w:tcW w:w="1831" w:type="dxa"/>
            <w:tcBorders>
              <w:top w:val="nil"/>
              <w:left w:val="nil"/>
              <w:bottom w:val="nil"/>
              <w:right w:val="nil"/>
            </w:tcBorders>
            <w:shd w:val="clear" w:color="auto" w:fill="auto"/>
            <w:noWrap/>
            <w:vAlign w:val="bottom"/>
            <w:hideMark/>
          </w:tcPr>
          <w:p w14:paraId="1CE06AB3" w14:textId="77777777" w:rsidR="000948D5" w:rsidRPr="000948D5" w:rsidRDefault="000948D5" w:rsidP="000948D5">
            <w:pPr>
              <w:spacing w:after="0" w:line="240" w:lineRule="auto"/>
              <w:jc w:val="center"/>
              <w:rPr>
                <w:rFonts w:ascii="Times New Roman" w:eastAsia="Times New Roman" w:hAnsi="Times New Roman" w:cs="Times New Roman"/>
                <w:sz w:val="20"/>
                <w:szCs w:val="20"/>
              </w:rPr>
            </w:pPr>
          </w:p>
        </w:tc>
        <w:tc>
          <w:tcPr>
            <w:tcW w:w="1403" w:type="dxa"/>
            <w:tcBorders>
              <w:top w:val="nil"/>
              <w:left w:val="nil"/>
              <w:bottom w:val="nil"/>
              <w:right w:val="nil"/>
            </w:tcBorders>
            <w:shd w:val="clear" w:color="auto" w:fill="auto"/>
            <w:noWrap/>
            <w:vAlign w:val="bottom"/>
            <w:hideMark/>
          </w:tcPr>
          <w:p w14:paraId="686A129E" w14:textId="77777777" w:rsidR="000948D5" w:rsidRPr="000948D5" w:rsidRDefault="000948D5" w:rsidP="000948D5">
            <w:pPr>
              <w:spacing w:after="0" w:line="240" w:lineRule="auto"/>
              <w:rPr>
                <w:rFonts w:ascii="Times New Roman" w:eastAsia="Times New Roman" w:hAnsi="Times New Roman" w:cs="Times New Roman"/>
                <w:sz w:val="20"/>
                <w:szCs w:val="20"/>
              </w:rPr>
            </w:pPr>
          </w:p>
        </w:tc>
      </w:tr>
      <w:tr w:rsidR="000948D5" w:rsidRPr="000948D5" w14:paraId="3B2E20B2" w14:textId="77777777" w:rsidTr="0073353B">
        <w:trPr>
          <w:trHeight w:val="302"/>
        </w:trPr>
        <w:tc>
          <w:tcPr>
            <w:tcW w:w="1842"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DBD4E67" w14:textId="77777777" w:rsidR="000948D5" w:rsidRPr="000948D5" w:rsidRDefault="000948D5" w:rsidP="000948D5">
            <w:pPr>
              <w:spacing w:after="0" w:line="240" w:lineRule="auto"/>
              <w:jc w:val="center"/>
              <w:rPr>
                <w:rFonts w:ascii="Calibri" w:eastAsia="Times New Roman" w:hAnsi="Calibri" w:cs="Calibri"/>
                <w:color w:val="000000"/>
              </w:rPr>
            </w:pPr>
            <w:r w:rsidRPr="000948D5">
              <w:rPr>
                <w:rFonts w:ascii="Calibri" w:eastAsia="Times New Roman" w:hAnsi="Calibri" w:cs="Calibri"/>
                <w:color w:val="000000"/>
              </w:rPr>
              <w:t>Reporting for year :</w:t>
            </w:r>
          </w:p>
        </w:tc>
        <w:tc>
          <w:tcPr>
            <w:tcW w:w="1301" w:type="dxa"/>
            <w:tcBorders>
              <w:top w:val="nil"/>
              <w:left w:val="nil"/>
              <w:bottom w:val="single" w:sz="4" w:space="0" w:color="auto"/>
              <w:right w:val="single" w:sz="4" w:space="0" w:color="auto"/>
            </w:tcBorders>
            <w:shd w:val="clear" w:color="000000" w:fill="DDEBF7"/>
            <w:noWrap/>
            <w:vAlign w:val="bottom"/>
            <w:hideMark/>
          </w:tcPr>
          <w:p w14:paraId="0275797F" w14:textId="77777777" w:rsidR="000948D5" w:rsidRPr="000948D5" w:rsidRDefault="000948D5" w:rsidP="000948D5">
            <w:pPr>
              <w:spacing w:after="0" w:line="240" w:lineRule="auto"/>
              <w:jc w:val="center"/>
              <w:rPr>
                <w:rFonts w:ascii="Calibri" w:eastAsia="Times New Roman" w:hAnsi="Calibri" w:cs="Calibri"/>
                <w:color w:val="000000"/>
              </w:rPr>
            </w:pPr>
            <w:r w:rsidRPr="000948D5">
              <w:rPr>
                <w:rFonts w:ascii="Calibri" w:eastAsia="Times New Roman" w:hAnsi="Calibri" w:cs="Calibri"/>
                <w:color w:val="000000"/>
              </w:rPr>
              <w:t>2015</w:t>
            </w:r>
          </w:p>
        </w:tc>
        <w:tc>
          <w:tcPr>
            <w:tcW w:w="2026" w:type="dxa"/>
            <w:tcBorders>
              <w:top w:val="nil"/>
              <w:left w:val="nil"/>
              <w:bottom w:val="nil"/>
              <w:right w:val="single" w:sz="8" w:space="0" w:color="auto"/>
            </w:tcBorders>
            <w:shd w:val="clear" w:color="auto" w:fill="auto"/>
            <w:noWrap/>
            <w:vAlign w:val="bottom"/>
            <w:hideMark/>
          </w:tcPr>
          <w:p w14:paraId="6FC2B9D3" w14:textId="77777777" w:rsidR="000948D5" w:rsidRPr="000948D5" w:rsidRDefault="000948D5" w:rsidP="000948D5">
            <w:pPr>
              <w:spacing w:after="0" w:line="240" w:lineRule="auto"/>
              <w:jc w:val="center"/>
              <w:rPr>
                <w:rFonts w:ascii="Calibri" w:eastAsia="Times New Roman" w:hAnsi="Calibri" w:cs="Calibri"/>
                <w:b/>
                <w:bCs/>
                <w:color w:val="000000"/>
              </w:rPr>
            </w:pPr>
            <w:r w:rsidRPr="000948D5">
              <w:rPr>
                <w:rFonts w:ascii="Calibri" w:eastAsia="Times New Roman" w:hAnsi="Calibri" w:cs="Calibri"/>
                <w:b/>
                <w:bCs/>
                <w:color w:val="000000"/>
              </w:rPr>
              <w:t>MWh per Capita</w:t>
            </w:r>
          </w:p>
        </w:tc>
        <w:tc>
          <w:tcPr>
            <w:tcW w:w="1884" w:type="dxa"/>
            <w:tcBorders>
              <w:top w:val="nil"/>
              <w:left w:val="nil"/>
              <w:bottom w:val="nil"/>
              <w:right w:val="nil"/>
            </w:tcBorders>
            <w:shd w:val="clear" w:color="auto" w:fill="auto"/>
            <w:noWrap/>
            <w:vAlign w:val="bottom"/>
            <w:hideMark/>
          </w:tcPr>
          <w:p w14:paraId="1C5FD8CE" w14:textId="77777777" w:rsidR="000948D5" w:rsidRPr="000948D5" w:rsidRDefault="000948D5" w:rsidP="000948D5">
            <w:pPr>
              <w:spacing w:after="0" w:line="240" w:lineRule="auto"/>
              <w:jc w:val="center"/>
              <w:rPr>
                <w:rFonts w:ascii="Calibri" w:eastAsia="Times New Roman" w:hAnsi="Calibri" w:cs="Calibri"/>
                <w:b/>
                <w:bCs/>
                <w:color w:val="000000"/>
              </w:rPr>
            </w:pPr>
          </w:p>
        </w:tc>
        <w:tc>
          <w:tcPr>
            <w:tcW w:w="1831" w:type="dxa"/>
            <w:tcBorders>
              <w:top w:val="nil"/>
              <w:left w:val="nil"/>
              <w:bottom w:val="nil"/>
              <w:right w:val="nil"/>
            </w:tcBorders>
            <w:shd w:val="clear" w:color="auto" w:fill="auto"/>
            <w:noWrap/>
            <w:vAlign w:val="bottom"/>
            <w:hideMark/>
          </w:tcPr>
          <w:p w14:paraId="240D18B3" w14:textId="77777777" w:rsidR="000948D5" w:rsidRPr="000948D5" w:rsidRDefault="000948D5" w:rsidP="000948D5">
            <w:pPr>
              <w:spacing w:after="0" w:line="240" w:lineRule="auto"/>
              <w:jc w:val="center"/>
              <w:rPr>
                <w:rFonts w:ascii="Times New Roman" w:eastAsia="Times New Roman" w:hAnsi="Times New Roman" w:cs="Times New Roman"/>
                <w:sz w:val="20"/>
                <w:szCs w:val="20"/>
              </w:rPr>
            </w:pPr>
          </w:p>
        </w:tc>
        <w:tc>
          <w:tcPr>
            <w:tcW w:w="1403" w:type="dxa"/>
            <w:tcBorders>
              <w:top w:val="nil"/>
              <w:left w:val="nil"/>
              <w:bottom w:val="nil"/>
              <w:right w:val="nil"/>
            </w:tcBorders>
            <w:shd w:val="clear" w:color="auto" w:fill="auto"/>
            <w:noWrap/>
            <w:vAlign w:val="bottom"/>
            <w:hideMark/>
          </w:tcPr>
          <w:p w14:paraId="257957E8" w14:textId="77777777" w:rsidR="000948D5" w:rsidRPr="000948D5" w:rsidRDefault="000948D5" w:rsidP="000948D5">
            <w:pPr>
              <w:spacing w:after="0" w:line="240" w:lineRule="auto"/>
              <w:rPr>
                <w:rFonts w:ascii="Times New Roman" w:eastAsia="Times New Roman" w:hAnsi="Times New Roman" w:cs="Times New Roman"/>
                <w:sz w:val="20"/>
                <w:szCs w:val="20"/>
              </w:rPr>
            </w:pPr>
          </w:p>
        </w:tc>
      </w:tr>
      <w:tr w:rsidR="000948D5" w:rsidRPr="000948D5" w14:paraId="4C12E42B" w14:textId="77777777" w:rsidTr="0073353B">
        <w:trPr>
          <w:trHeight w:val="317"/>
        </w:trPr>
        <w:tc>
          <w:tcPr>
            <w:tcW w:w="1842" w:type="dxa"/>
            <w:gridSpan w:val="2"/>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73A91617" w14:textId="77777777" w:rsidR="000948D5" w:rsidRPr="000948D5" w:rsidRDefault="000948D5" w:rsidP="000948D5">
            <w:pPr>
              <w:spacing w:after="0" w:line="240" w:lineRule="auto"/>
              <w:jc w:val="center"/>
              <w:rPr>
                <w:rFonts w:ascii="Calibri" w:eastAsia="Times New Roman" w:hAnsi="Calibri" w:cs="Calibri"/>
                <w:color w:val="000000"/>
              </w:rPr>
            </w:pPr>
            <w:r w:rsidRPr="000948D5">
              <w:rPr>
                <w:rFonts w:ascii="Calibri" w:eastAsia="Times New Roman" w:hAnsi="Calibri" w:cs="Calibri"/>
                <w:color w:val="000000"/>
              </w:rPr>
              <w:t>Population Served :</w:t>
            </w:r>
          </w:p>
        </w:tc>
        <w:tc>
          <w:tcPr>
            <w:tcW w:w="1301" w:type="dxa"/>
            <w:tcBorders>
              <w:top w:val="nil"/>
              <w:left w:val="nil"/>
              <w:bottom w:val="single" w:sz="8" w:space="0" w:color="auto"/>
              <w:right w:val="single" w:sz="4" w:space="0" w:color="auto"/>
            </w:tcBorders>
            <w:shd w:val="clear" w:color="000000" w:fill="DDEBF7"/>
            <w:noWrap/>
            <w:vAlign w:val="bottom"/>
            <w:hideMark/>
          </w:tcPr>
          <w:p w14:paraId="38C170DC" w14:textId="77777777" w:rsidR="000948D5" w:rsidRPr="000948D5" w:rsidRDefault="000948D5" w:rsidP="000948D5">
            <w:pPr>
              <w:spacing w:after="0" w:line="240" w:lineRule="auto"/>
              <w:jc w:val="center"/>
              <w:rPr>
                <w:rFonts w:ascii="Calibri" w:eastAsia="Times New Roman" w:hAnsi="Calibri" w:cs="Calibri"/>
                <w:color w:val="000000"/>
              </w:rPr>
            </w:pPr>
            <w:r w:rsidRPr="000948D5">
              <w:rPr>
                <w:rFonts w:ascii="Calibri" w:eastAsia="Times New Roman" w:hAnsi="Calibri" w:cs="Calibri"/>
                <w:color w:val="000000"/>
              </w:rPr>
              <w:t xml:space="preserve">   2,080,260 </w:t>
            </w:r>
          </w:p>
        </w:tc>
        <w:tc>
          <w:tcPr>
            <w:tcW w:w="2026" w:type="dxa"/>
            <w:tcBorders>
              <w:top w:val="single" w:sz="4" w:space="0" w:color="auto"/>
              <w:left w:val="nil"/>
              <w:bottom w:val="single" w:sz="8" w:space="0" w:color="auto"/>
              <w:right w:val="single" w:sz="8" w:space="0" w:color="auto"/>
            </w:tcBorders>
            <w:shd w:val="clear" w:color="auto" w:fill="auto"/>
            <w:noWrap/>
            <w:vAlign w:val="center"/>
            <w:hideMark/>
          </w:tcPr>
          <w:p w14:paraId="70136F2D" w14:textId="77777777" w:rsidR="000948D5" w:rsidRPr="000948D5" w:rsidRDefault="000948D5" w:rsidP="000948D5">
            <w:pPr>
              <w:spacing w:after="0" w:line="240" w:lineRule="auto"/>
              <w:rPr>
                <w:rFonts w:ascii="Calibri" w:eastAsia="Times New Roman" w:hAnsi="Calibri" w:cs="Calibri"/>
                <w:b/>
                <w:bCs/>
                <w:color w:val="000000"/>
              </w:rPr>
            </w:pPr>
            <w:r w:rsidRPr="000948D5">
              <w:rPr>
                <w:rFonts w:ascii="Calibri" w:eastAsia="Times New Roman" w:hAnsi="Calibri" w:cs="Calibri"/>
                <w:b/>
                <w:bCs/>
                <w:color w:val="000000"/>
              </w:rPr>
              <w:t xml:space="preserve">                         8.68 </w:t>
            </w:r>
          </w:p>
        </w:tc>
        <w:tc>
          <w:tcPr>
            <w:tcW w:w="1884" w:type="dxa"/>
            <w:tcBorders>
              <w:top w:val="nil"/>
              <w:left w:val="nil"/>
              <w:bottom w:val="nil"/>
              <w:right w:val="nil"/>
            </w:tcBorders>
            <w:shd w:val="clear" w:color="auto" w:fill="auto"/>
            <w:noWrap/>
            <w:vAlign w:val="bottom"/>
            <w:hideMark/>
          </w:tcPr>
          <w:p w14:paraId="349D0796" w14:textId="77777777" w:rsidR="000948D5" w:rsidRPr="000948D5" w:rsidRDefault="000948D5" w:rsidP="000948D5">
            <w:pPr>
              <w:spacing w:after="0" w:line="240" w:lineRule="auto"/>
              <w:rPr>
                <w:rFonts w:ascii="Calibri" w:eastAsia="Times New Roman" w:hAnsi="Calibri" w:cs="Calibri"/>
                <w:b/>
                <w:bCs/>
                <w:color w:val="000000"/>
              </w:rPr>
            </w:pPr>
          </w:p>
        </w:tc>
        <w:tc>
          <w:tcPr>
            <w:tcW w:w="1831" w:type="dxa"/>
            <w:tcBorders>
              <w:top w:val="nil"/>
              <w:left w:val="nil"/>
              <w:bottom w:val="nil"/>
              <w:right w:val="nil"/>
            </w:tcBorders>
            <w:shd w:val="clear" w:color="auto" w:fill="auto"/>
            <w:noWrap/>
            <w:vAlign w:val="bottom"/>
            <w:hideMark/>
          </w:tcPr>
          <w:p w14:paraId="0738D140" w14:textId="77777777" w:rsidR="000948D5" w:rsidRPr="000948D5" w:rsidRDefault="000948D5" w:rsidP="000948D5">
            <w:pPr>
              <w:spacing w:after="0" w:line="240" w:lineRule="auto"/>
              <w:rPr>
                <w:rFonts w:ascii="Times New Roman" w:eastAsia="Times New Roman" w:hAnsi="Times New Roman" w:cs="Times New Roman"/>
                <w:sz w:val="20"/>
                <w:szCs w:val="20"/>
              </w:rPr>
            </w:pPr>
          </w:p>
        </w:tc>
        <w:tc>
          <w:tcPr>
            <w:tcW w:w="1403" w:type="dxa"/>
            <w:tcBorders>
              <w:top w:val="nil"/>
              <w:left w:val="nil"/>
              <w:bottom w:val="nil"/>
              <w:right w:val="nil"/>
            </w:tcBorders>
            <w:shd w:val="clear" w:color="auto" w:fill="auto"/>
            <w:noWrap/>
            <w:vAlign w:val="bottom"/>
            <w:hideMark/>
          </w:tcPr>
          <w:p w14:paraId="29C029DE" w14:textId="77777777" w:rsidR="000948D5" w:rsidRPr="000948D5" w:rsidRDefault="000948D5" w:rsidP="000948D5">
            <w:pPr>
              <w:spacing w:after="0" w:line="240" w:lineRule="auto"/>
              <w:rPr>
                <w:rFonts w:ascii="Times New Roman" w:eastAsia="Times New Roman" w:hAnsi="Times New Roman" w:cs="Times New Roman"/>
                <w:sz w:val="20"/>
                <w:szCs w:val="20"/>
              </w:rPr>
            </w:pPr>
          </w:p>
        </w:tc>
      </w:tr>
      <w:tr w:rsidR="000948D5" w:rsidRPr="000948D5" w14:paraId="62B7368B" w14:textId="77777777" w:rsidTr="0073353B">
        <w:trPr>
          <w:trHeight w:val="302"/>
        </w:trPr>
        <w:tc>
          <w:tcPr>
            <w:tcW w:w="291" w:type="dxa"/>
            <w:tcBorders>
              <w:top w:val="nil"/>
              <w:left w:val="nil"/>
              <w:bottom w:val="nil"/>
              <w:right w:val="nil"/>
            </w:tcBorders>
            <w:shd w:val="clear" w:color="auto" w:fill="auto"/>
            <w:noWrap/>
            <w:vAlign w:val="bottom"/>
            <w:hideMark/>
          </w:tcPr>
          <w:p w14:paraId="0BC81A25" w14:textId="77777777" w:rsidR="000948D5" w:rsidRPr="000948D5" w:rsidRDefault="000948D5" w:rsidP="000948D5">
            <w:pPr>
              <w:spacing w:after="0" w:line="240" w:lineRule="auto"/>
              <w:rPr>
                <w:rFonts w:ascii="Times New Roman" w:eastAsia="Times New Roman" w:hAnsi="Times New Roman" w:cs="Times New Roman"/>
                <w:sz w:val="20"/>
                <w:szCs w:val="20"/>
              </w:rPr>
            </w:pPr>
          </w:p>
        </w:tc>
        <w:tc>
          <w:tcPr>
            <w:tcW w:w="1551" w:type="dxa"/>
            <w:tcBorders>
              <w:top w:val="nil"/>
              <w:left w:val="nil"/>
              <w:bottom w:val="nil"/>
              <w:right w:val="nil"/>
            </w:tcBorders>
            <w:shd w:val="clear" w:color="auto" w:fill="auto"/>
            <w:noWrap/>
            <w:vAlign w:val="bottom"/>
            <w:hideMark/>
          </w:tcPr>
          <w:p w14:paraId="169FACB9" w14:textId="77777777" w:rsidR="000948D5" w:rsidRPr="000948D5" w:rsidRDefault="000948D5" w:rsidP="000948D5">
            <w:pPr>
              <w:spacing w:after="0" w:line="240" w:lineRule="auto"/>
              <w:rPr>
                <w:rFonts w:ascii="Times New Roman" w:eastAsia="Times New Roman" w:hAnsi="Times New Roman" w:cs="Times New Roman"/>
                <w:sz w:val="20"/>
                <w:szCs w:val="20"/>
              </w:rPr>
            </w:pPr>
          </w:p>
        </w:tc>
        <w:tc>
          <w:tcPr>
            <w:tcW w:w="1301" w:type="dxa"/>
            <w:tcBorders>
              <w:top w:val="nil"/>
              <w:left w:val="nil"/>
              <w:bottom w:val="nil"/>
              <w:right w:val="nil"/>
            </w:tcBorders>
            <w:shd w:val="clear" w:color="auto" w:fill="auto"/>
            <w:noWrap/>
            <w:vAlign w:val="bottom"/>
            <w:hideMark/>
          </w:tcPr>
          <w:p w14:paraId="06B2004A" w14:textId="77777777" w:rsidR="000948D5" w:rsidRPr="000948D5" w:rsidRDefault="000948D5" w:rsidP="000948D5">
            <w:pPr>
              <w:spacing w:after="0" w:line="240" w:lineRule="auto"/>
              <w:rPr>
                <w:rFonts w:ascii="Times New Roman" w:eastAsia="Times New Roman" w:hAnsi="Times New Roman" w:cs="Times New Roman"/>
                <w:sz w:val="20"/>
                <w:szCs w:val="20"/>
              </w:rPr>
            </w:pPr>
          </w:p>
        </w:tc>
        <w:tc>
          <w:tcPr>
            <w:tcW w:w="2026" w:type="dxa"/>
            <w:tcBorders>
              <w:top w:val="nil"/>
              <w:left w:val="nil"/>
              <w:bottom w:val="nil"/>
              <w:right w:val="nil"/>
            </w:tcBorders>
            <w:shd w:val="clear" w:color="auto" w:fill="auto"/>
            <w:noWrap/>
            <w:vAlign w:val="bottom"/>
            <w:hideMark/>
          </w:tcPr>
          <w:p w14:paraId="75C1CA81" w14:textId="77777777" w:rsidR="000948D5" w:rsidRPr="000948D5" w:rsidRDefault="000948D5" w:rsidP="000948D5">
            <w:pPr>
              <w:spacing w:after="0" w:line="240" w:lineRule="auto"/>
              <w:rPr>
                <w:rFonts w:ascii="Times New Roman" w:eastAsia="Times New Roman" w:hAnsi="Times New Roman" w:cs="Times New Roman"/>
                <w:sz w:val="20"/>
                <w:szCs w:val="20"/>
              </w:rPr>
            </w:pPr>
          </w:p>
        </w:tc>
        <w:tc>
          <w:tcPr>
            <w:tcW w:w="1884" w:type="dxa"/>
            <w:tcBorders>
              <w:top w:val="nil"/>
              <w:left w:val="nil"/>
              <w:bottom w:val="nil"/>
              <w:right w:val="nil"/>
            </w:tcBorders>
            <w:shd w:val="clear" w:color="auto" w:fill="auto"/>
            <w:noWrap/>
            <w:vAlign w:val="bottom"/>
            <w:hideMark/>
          </w:tcPr>
          <w:p w14:paraId="2682BCD6" w14:textId="77777777" w:rsidR="000948D5" w:rsidRPr="000948D5" w:rsidRDefault="000948D5" w:rsidP="000948D5">
            <w:pPr>
              <w:spacing w:after="0" w:line="240" w:lineRule="auto"/>
              <w:rPr>
                <w:rFonts w:ascii="Times New Roman" w:eastAsia="Times New Roman" w:hAnsi="Times New Roman" w:cs="Times New Roman"/>
                <w:sz w:val="20"/>
                <w:szCs w:val="20"/>
              </w:rPr>
            </w:pPr>
          </w:p>
        </w:tc>
        <w:tc>
          <w:tcPr>
            <w:tcW w:w="1831" w:type="dxa"/>
            <w:tcBorders>
              <w:top w:val="nil"/>
              <w:left w:val="nil"/>
              <w:bottom w:val="nil"/>
              <w:right w:val="nil"/>
            </w:tcBorders>
            <w:shd w:val="clear" w:color="auto" w:fill="auto"/>
            <w:noWrap/>
            <w:vAlign w:val="bottom"/>
            <w:hideMark/>
          </w:tcPr>
          <w:p w14:paraId="00932EE5" w14:textId="77777777" w:rsidR="000948D5" w:rsidRPr="000948D5" w:rsidRDefault="000948D5" w:rsidP="000948D5">
            <w:pPr>
              <w:spacing w:after="0" w:line="240" w:lineRule="auto"/>
              <w:jc w:val="center"/>
              <w:rPr>
                <w:rFonts w:ascii="Times New Roman" w:eastAsia="Times New Roman" w:hAnsi="Times New Roman" w:cs="Times New Roman"/>
                <w:sz w:val="20"/>
                <w:szCs w:val="20"/>
              </w:rPr>
            </w:pPr>
          </w:p>
        </w:tc>
        <w:tc>
          <w:tcPr>
            <w:tcW w:w="1403" w:type="dxa"/>
            <w:tcBorders>
              <w:top w:val="nil"/>
              <w:left w:val="nil"/>
              <w:bottom w:val="nil"/>
              <w:right w:val="nil"/>
            </w:tcBorders>
            <w:shd w:val="clear" w:color="auto" w:fill="auto"/>
            <w:noWrap/>
            <w:vAlign w:val="bottom"/>
            <w:hideMark/>
          </w:tcPr>
          <w:p w14:paraId="297AAFCE" w14:textId="77777777" w:rsidR="000948D5" w:rsidRPr="000948D5" w:rsidRDefault="000948D5" w:rsidP="000948D5">
            <w:pPr>
              <w:spacing w:after="0" w:line="240" w:lineRule="auto"/>
              <w:rPr>
                <w:rFonts w:ascii="Times New Roman" w:eastAsia="Times New Roman" w:hAnsi="Times New Roman" w:cs="Times New Roman"/>
                <w:sz w:val="20"/>
                <w:szCs w:val="20"/>
              </w:rPr>
            </w:pPr>
          </w:p>
        </w:tc>
      </w:tr>
      <w:tr w:rsidR="000948D5" w:rsidRPr="000948D5" w14:paraId="3B3C030A" w14:textId="77777777" w:rsidTr="0073353B">
        <w:trPr>
          <w:trHeight w:val="392"/>
        </w:trPr>
        <w:tc>
          <w:tcPr>
            <w:tcW w:w="291" w:type="dxa"/>
            <w:tcBorders>
              <w:top w:val="nil"/>
              <w:left w:val="nil"/>
              <w:bottom w:val="nil"/>
              <w:right w:val="nil"/>
            </w:tcBorders>
            <w:shd w:val="clear" w:color="auto" w:fill="auto"/>
            <w:noWrap/>
            <w:vAlign w:val="bottom"/>
            <w:hideMark/>
          </w:tcPr>
          <w:p w14:paraId="29B46D7E" w14:textId="77777777" w:rsidR="000948D5" w:rsidRPr="000948D5" w:rsidRDefault="000948D5" w:rsidP="000948D5">
            <w:pPr>
              <w:spacing w:after="0" w:line="240" w:lineRule="auto"/>
              <w:rPr>
                <w:rFonts w:ascii="Times New Roman" w:eastAsia="Times New Roman" w:hAnsi="Times New Roman" w:cs="Times New Roman"/>
                <w:sz w:val="20"/>
                <w:szCs w:val="20"/>
              </w:rPr>
            </w:pPr>
          </w:p>
        </w:tc>
        <w:tc>
          <w:tcPr>
            <w:tcW w:w="4878" w:type="dxa"/>
            <w:gridSpan w:val="3"/>
            <w:tcBorders>
              <w:top w:val="nil"/>
              <w:left w:val="nil"/>
              <w:bottom w:val="nil"/>
              <w:right w:val="nil"/>
            </w:tcBorders>
            <w:shd w:val="clear" w:color="auto" w:fill="auto"/>
            <w:noWrap/>
            <w:vAlign w:val="bottom"/>
            <w:hideMark/>
          </w:tcPr>
          <w:p w14:paraId="09D947A7" w14:textId="77777777" w:rsidR="000948D5" w:rsidRPr="000948D5" w:rsidRDefault="000948D5" w:rsidP="000948D5">
            <w:pPr>
              <w:spacing w:after="0" w:line="240" w:lineRule="auto"/>
              <w:rPr>
                <w:rFonts w:ascii="Calibri" w:eastAsia="Times New Roman" w:hAnsi="Calibri" w:cs="Calibri"/>
                <w:i/>
                <w:iCs/>
                <w:color w:val="000000"/>
                <w:sz w:val="28"/>
                <w:szCs w:val="28"/>
              </w:rPr>
            </w:pPr>
            <w:r w:rsidRPr="000948D5">
              <w:rPr>
                <w:rFonts w:ascii="Calibri" w:eastAsia="Times New Roman" w:hAnsi="Calibri" w:cs="Calibri"/>
                <w:i/>
                <w:iCs/>
                <w:color w:val="000000"/>
                <w:sz w:val="28"/>
                <w:szCs w:val="28"/>
              </w:rPr>
              <w:t>Energy Intensity Metrics</w:t>
            </w:r>
          </w:p>
        </w:tc>
        <w:tc>
          <w:tcPr>
            <w:tcW w:w="1884" w:type="dxa"/>
            <w:tcBorders>
              <w:top w:val="nil"/>
              <w:left w:val="nil"/>
              <w:bottom w:val="nil"/>
              <w:right w:val="nil"/>
            </w:tcBorders>
            <w:shd w:val="clear" w:color="auto" w:fill="auto"/>
            <w:noWrap/>
            <w:vAlign w:val="bottom"/>
            <w:hideMark/>
          </w:tcPr>
          <w:p w14:paraId="6F9E9314" w14:textId="77777777" w:rsidR="000948D5" w:rsidRPr="000948D5" w:rsidRDefault="000948D5" w:rsidP="000948D5">
            <w:pPr>
              <w:spacing w:after="0" w:line="240" w:lineRule="auto"/>
              <w:rPr>
                <w:rFonts w:ascii="Calibri" w:eastAsia="Times New Roman" w:hAnsi="Calibri" w:cs="Calibri"/>
                <w:i/>
                <w:iCs/>
                <w:color w:val="000000"/>
                <w:sz w:val="28"/>
                <w:szCs w:val="28"/>
              </w:rPr>
            </w:pPr>
          </w:p>
        </w:tc>
        <w:tc>
          <w:tcPr>
            <w:tcW w:w="1831" w:type="dxa"/>
            <w:tcBorders>
              <w:top w:val="nil"/>
              <w:left w:val="nil"/>
              <w:bottom w:val="nil"/>
              <w:right w:val="nil"/>
            </w:tcBorders>
            <w:shd w:val="clear" w:color="auto" w:fill="auto"/>
            <w:noWrap/>
            <w:vAlign w:val="bottom"/>
            <w:hideMark/>
          </w:tcPr>
          <w:p w14:paraId="317D560F" w14:textId="77777777" w:rsidR="000948D5" w:rsidRPr="000948D5" w:rsidRDefault="000948D5" w:rsidP="000948D5">
            <w:pPr>
              <w:spacing w:after="0" w:line="240" w:lineRule="auto"/>
              <w:jc w:val="center"/>
              <w:rPr>
                <w:rFonts w:ascii="Times New Roman" w:eastAsia="Times New Roman" w:hAnsi="Times New Roman" w:cs="Times New Roman"/>
                <w:sz w:val="20"/>
                <w:szCs w:val="20"/>
              </w:rPr>
            </w:pPr>
          </w:p>
        </w:tc>
        <w:tc>
          <w:tcPr>
            <w:tcW w:w="1403" w:type="dxa"/>
            <w:tcBorders>
              <w:top w:val="nil"/>
              <w:left w:val="nil"/>
              <w:bottom w:val="nil"/>
              <w:right w:val="nil"/>
            </w:tcBorders>
            <w:shd w:val="clear" w:color="auto" w:fill="auto"/>
            <w:noWrap/>
            <w:vAlign w:val="bottom"/>
            <w:hideMark/>
          </w:tcPr>
          <w:p w14:paraId="305B5797" w14:textId="77777777" w:rsidR="000948D5" w:rsidRPr="000948D5" w:rsidRDefault="000948D5" w:rsidP="000948D5">
            <w:pPr>
              <w:spacing w:after="0" w:line="240" w:lineRule="auto"/>
              <w:rPr>
                <w:rFonts w:ascii="Times New Roman" w:eastAsia="Times New Roman" w:hAnsi="Times New Roman" w:cs="Times New Roman"/>
                <w:sz w:val="20"/>
                <w:szCs w:val="20"/>
              </w:rPr>
            </w:pPr>
          </w:p>
        </w:tc>
      </w:tr>
      <w:tr w:rsidR="000948D5" w:rsidRPr="000948D5" w14:paraId="3C882002" w14:textId="77777777" w:rsidTr="0073353B">
        <w:trPr>
          <w:trHeight w:val="302"/>
        </w:trPr>
        <w:tc>
          <w:tcPr>
            <w:tcW w:w="291" w:type="dxa"/>
            <w:tcBorders>
              <w:top w:val="single" w:sz="8" w:space="0" w:color="auto"/>
              <w:left w:val="single" w:sz="8" w:space="0" w:color="auto"/>
              <w:bottom w:val="nil"/>
              <w:right w:val="nil"/>
            </w:tcBorders>
            <w:shd w:val="clear" w:color="auto" w:fill="auto"/>
            <w:noWrap/>
            <w:vAlign w:val="bottom"/>
            <w:hideMark/>
          </w:tcPr>
          <w:p w14:paraId="084D5F8B" w14:textId="77777777" w:rsidR="000948D5" w:rsidRPr="000948D5" w:rsidRDefault="000948D5" w:rsidP="000948D5">
            <w:pPr>
              <w:spacing w:after="0" w:line="240" w:lineRule="auto"/>
              <w:rPr>
                <w:rFonts w:ascii="Calibri" w:eastAsia="Times New Roman" w:hAnsi="Calibri" w:cs="Calibri"/>
                <w:color w:val="000000"/>
              </w:rPr>
            </w:pPr>
            <w:r w:rsidRPr="000948D5">
              <w:rPr>
                <w:rFonts w:ascii="Calibri" w:eastAsia="Times New Roman" w:hAnsi="Calibri" w:cs="Calibri"/>
                <w:color w:val="000000"/>
              </w:rPr>
              <w:t> </w:t>
            </w:r>
          </w:p>
        </w:tc>
        <w:tc>
          <w:tcPr>
            <w:tcW w:w="1551" w:type="dxa"/>
            <w:tcBorders>
              <w:top w:val="single" w:sz="8" w:space="0" w:color="auto"/>
              <w:left w:val="nil"/>
              <w:bottom w:val="nil"/>
              <w:right w:val="nil"/>
            </w:tcBorders>
            <w:shd w:val="clear" w:color="auto" w:fill="auto"/>
            <w:noWrap/>
            <w:vAlign w:val="bottom"/>
            <w:hideMark/>
          </w:tcPr>
          <w:p w14:paraId="1B5700DC" w14:textId="77777777" w:rsidR="000948D5" w:rsidRPr="000948D5" w:rsidRDefault="000948D5" w:rsidP="000948D5">
            <w:pPr>
              <w:spacing w:after="0" w:line="240" w:lineRule="auto"/>
              <w:rPr>
                <w:rFonts w:ascii="Calibri" w:eastAsia="Times New Roman" w:hAnsi="Calibri" w:cs="Calibri"/>
                <w:color w:val="000000"/>
              </w:rPr>
            </w:pPr>
            <w:r w:rsidRPr="000948D5">
              <w:rPr>
                <w:rFonts w:ascii="Calibri" w:eastAsia="Times New Roman" w:hAnsi="Calibri" w:cs="Calibri"/>
                <w:color w:val="000000"/>
              </w:rPr>
              <w:t> </w:t>
            </w:r>
          </w:p>
        </w:tc>
        <w:tc>
          <w:tcPr>
            <w:tcW w:w="1301" w:type="dxa"/>
            <w:tcBorders>
              <w:top w:val="single" w:sz="8" w:space="0" w:color="auto"/>
              <w:left w:val="nil"/>
              <w:bottom w:val="nil"/>
              <w:right w:val="nil"/>
            </w:tcBorders>
            <w:shd w:val="clear" w:color="auto" w:fill="auto"/>
            <w:noWrap/>
            <w:vAlign w:val="bottom"/>
            <w:hideMark/>
          </w:tcPr>
          <w:p w14:paraId="73C8B596" w14:textId="77777777" w:rsidR="000948D5" w:rsidRPr="000948D5" w:rsidRDefault="000948D5" w:rsidP="000948D5">
            <w:pPr>
              <w:spacing w:after="0" w:line="240" w:lineRule="auto"/>
              <w:rPr>
                <w:rFonts w:ascii="Calibri" w:eastAsia="Times New Roman" w:hAnsi="Calibri" w:cs="Calibri"/>
                <w:color w:val="000000"/>
              </w:rPr>
            </w:pPr>
            <w:r w:rsidRPr="000948D5">
              <w:rPr>
                <w:rFonts w:ascii="Calibri" w:eastAsia="Times New Roman" w:hAnsi="Calibri" w:cs="Calibri"/>
                <w:color w:val="000000"/>
              </w:rPr>
              <w:t> </w:t>
            </w:r>
          </w:p>
        </w:tc>
        <w:tc>
          <w:tcPr>
            <w:tcW w:w="2026" w:type="dxa"/>
            <w:tcBorders>
              <w:top w:val="single" w:sz="8" w:space="0" w:color="auto"/>
              <w:left w:val="nil"/>
              <w:bottom w:val="nil"/>
              <w:right w:val="nil"/>
            </w:tcBorders>
            <w:shd w:val="clear" w:color="auto" w:fill="auto"/>
            <w:noWrap/>
            <w:vAlign w:val="bottom"/>
            <w:hideMark/>
          </w:tcPr>
          <w:p w14:paraId="75EB2823" w14:textId="77777777" w:rsidR="000948D5" w:rsidRPr="000948D5" w:rsidRDefault="000948D5" w:rsidP="000948D5">
            <w:pPr>
              <w:spacing w:after="0" w:line="240" w:lineRule="auto"/>
              <w:rPr>
                <w:rFonts w:ascii="Calibri" w:eastAsia="Times New Roman" w:hAnsi="Calibri" w:cs="Calibri"/>
                <w:color w:val="000000"/>
              </w:rPr>
            </w:pPr>
            <w:r w:rsidRPr="000948D5">
              <w:rPr>
                <w:rFonts w:ascii="Calibri" w:eastAsia="Times New Roman" w:hAnsi="Calibri" w:cs="Calibri"/>
                <w:color w:val="000000"/>
              </w:rPr>
              <w:t> </w:t>
            </w:r>
          </w:p>
        </w:tc>
        <w:tc>
          <w:tcPr>
            <w:tcW w:w="1884" w:type="dxa"/>
            <w:tcBorders>
              <w:top w:val="single" w:sz="8" w:space="0" w:color="auto"/>
              <w:left w:val="nil"/>
              <w:bottom w:val="nil"/>
              <w:right w:val="nil"/>
            </w:tcBorders>
            <w:shd w:val="clear" w:color="auto" w:fill="auto"/>
            <w:noWrap/>
            <w:vAlign w:val="bottom"/>
            <w:hideMark/>
          </w:tcPr>
          <w:p w14:paraId="596FAF3D" w14:textId="77777777" w:rsidR="000948D5" w:rsidRPr="000948D5" w:rsidRDefault="000948D5" w:rsidP="000948D5">
            <w:pPr>
              <w:spacing w:after="0" w:line="240" w:lineRule="auto"/>
              <w:rPr>
                <w:rFonts w:ascii="Calibri" w:eastAsia="Times New Roman" w:hAnsi="Calibri" w:cs="Calibri"/>
                <w:color w:val="000000"/>
              </w:rPr>
            </w:pPr>
            <w:r w:rsidRPr="000948D5">
              <w:rPr>
                <w:rFonts w:ascii="Calibri" w:eastAsia="Times New Roman" w:hAnsi="Calibri" w:cs="Calibri"/>
                <w:color w:val="000000"/>
              </w:rPr>
              <w:t> </w:t>
            </w:r>
          </w:p>
        </w:tc>
        <w:tc>
          <w:tcPr>
            <w:tcW w:w="1831" w:type="dxa"/>
            <w:tcBorders>
              <w:top w:val="single" w:sz="8" w:space="0" w:color="auto"/>
              <w:left w:val="single" w:sz="4" w:space="0" w:color="auto"/>
              <w:bottom w:val="nil"/>
              <w:right w:val="single" w:sz="4" w:space="0" w:color="auto"/>
            </w:tcBorders>
            <w:shd w:val="clear" w:color="auto" w:fill="auto"/>
            <w:noWrap/>
            <w:vAlign w:val="bottom"/>
            <w:hideMark/>
          </w:tcPr>
          <w:p w14:paraId="2CA29FFD" w14:textId="77777777" w:rsidR="000948D5" w:rsidRPr="000948D5" w:rsidRDefault="000948D5" w:rsidP="000948D5">
            <w:pPr>
              <w:spacing w:after="0" w:line="240" w:lineRule="auto"/>
              <w:jc w:val="center"/>
              <w:rPr>
                <w:rFonts w:ascii="Calibri" w:eastAsia="Times New Roman" w:hAnsi="Calibri" w:cs="Calibri"/>
                <w:color w:val="000000"/>
              </w:rPr>
            </w:pPr>
            <w:r w:rsidRPr="000948D5">
              <w:rPr>
                <w:rFonts w:ascii="Calibri" w:eastAsia="Times New Roman" w:hAnsi="Calibri" w:cs="Calibri"/>
                <w:color w:val="000000"/>
              </w:rPr>
              <w:t>Customer</w:t>
            </w:r>
          </w:p>
        </w:tc>
        <w:tc>
          <w:tcPr>
            <w:tcW w:w="1403" w:type="dxa"/>
            <w:tcBorders>
              <w:top w:val="single" w:sz="8" w:space="0" w:color="auto"/>
              <w:left w:val="nil"/>
              <w:bottom w:val="nil"/>
              <w:right w:val="single" w:sz="8" w:space="0" w:color="auto"/>
            </w:tcBorders>
            <w:shd w:val="clear" w:color="auto" w:fill="auto"/>
            <w:noWrap/>
            <w:vAlign w:val="bottom"/>
            <w:hideMark/>
          </w:tcPr>
          <w:p w14:paraId="75E064CE" w14:textId="77777777" w:rsidR="000948D5" w:rsidRPr="000948D5" w:rsidRDefault="000948D5" w:rsidP="000948D5">
            <w:pPr>
              <w:spacing w:after="0" w:line="240" w:lineRule="auto"/>
              <w:jc w:val="center"/>
              <w:rPr>
                <w:rFonts w:ascii="Calibri" w:eastAsia="Times New Roman" w:hAnsi="Calibri" w:cs="Calibri"/>
                <w:b/>
                <w:bCs/>
                <w:color w:val="000000"/>
              </w:rPr>
            </w:pPr>
            <w:r w:rsidRPr="000948D5">
              <w:rPr>
                <w:rFonts w:ascii="Calibri" w:eastAsia="Times New Roman" w:hAnsi="Calibri" w:cs="Calibri"/>
                <w:b/>
                <w:bCs/>
                <w:color w:val="000000"/>
              </w:rPr>
              <w:t>MWH per</w:t>
            </w:r>
          </w:p>
        </w:tc>
      </w:tr>
      <w:tr w:rsidR="000948D5" w:rsidRPr="000948D5" w14:paraId="7E20F9FC" w14:textId="77777777" w:rsidTr="0073353B">
        <w:trPr>
          <w:trHeight w:val="302"/>
        </w:trPr>
        <w:tc>
          <w:tcPr>
            <w:tcW w:w="291" w:type="dxa"/>
            <w:tcBorders>
              <w:top w:val="nil"/>
              <w:left w:val="single" w:sz="8" w:space="0" w:color="auto"/>
              <w:bottom w:val="single" w:sz="4" w:space="0" w:color="auto"/>
              <w:right w:val="nil"/>
            </w:tcBorders>
            <w:shd w:val="clear" w:color="auto" w:fill="auto"/>
            <w:noWrap/>
            <w:vAlign w:val="bottom"/>
            <w:hideMark/>
          </w:tcPr>
          <w:p w14:paraId="4D40B93A" w14:textId="77777777" w:rsidR="000948D5" w:rsidRPr="000948D5" w:rsidRDefault="000948D5" w:rsidP="000948D5">
            <w:pPr>
              <w:spacing w:after="0" w:line="240" w:lineRule="auto"/>
              <w:rPr>
                <w:rFonts w:ascii="Calibri" w:eastAsia="Times New Roman" w:hAnsi="Calibri" w:cs="Calibri"/>
                <w:color w:val="000000"/>
              </w:rPr>
            </w:pPr>
            <w:r w:rsidRPr="000948D5">
              <w:rPr>
                <w:rFonts w:ascii="Calibri" w:eastAsia="Times New Roman" w:hAnsi="Calibri" w:cs="Calibri"/>
                <w:color w:val="000000"/>
              </w:rPr>
              <w:t> </w:t>
            </w:r>
          </w:p>
        </w:tc>
        <w:tc>
          <w:tcPr>
            <w:tcW w:w="1551" w:type="dxa"/>
            <w:tcBorders>
              <w:top w:val="nil"/>
              <w:left w:val="nil"/>
              <w:bottom w:val="single" w:sz="4" w:space="0" w:color="auto"/>
              <w:right w:val="nil"/>
            </w:tcBorders>
            <w:shd w:val="clear" w:color="auto" w:fill="auto"/>
            <w:noWrap/>
            <w:vAlign w:val="bottom"/>
            <w:hideMark/>
          </w:tcPr>
          <w:p w14:paraId="470ED15E" w14:textId="77777777" w:rsidR="000948D5" w:rsidRPr="000948D5" w:rsidRDefault="000948D5" w:rsidP="000948D5">
            <w:pPr>
              <w:spacing w:after="0" w:line="240" w:lineRule="auto"/>
              <w:rPr>
                <w:rFonts w:ascii="Calibri" w:eastAsia="Times New Roman" w:hAnsi="Calibri" w:cs="Calibri"/>
                <w:color w:val="000000"/>
              </w:rPr>
            </w:pPr>
            <w:r w:rsidRPr="000948D5">
              <w:rPr>
                <w:rFonts w:ascii="Calibri" w:eastAsia="Times New Roman" w:hAnsi="Calibri" w:cs="Calibri"/>
                <w:color w:val="000000"/>
              </w:rPr>
              <w:t> </w:t>
            </w:r>
          </w:p>
        </w:tc>
        <w:tc>
          <w:tcPr>
            <w:tcW w:w="1301" w:type="dxa"/>
            <w:tcBorders>
              <w:top w:val="nil"/>
              <w:left w:val="nil"/>
              <w:bottom w:val="single" w:sz="4" w:space="0" w:color="auto"/>
              <w:right w:val="nil"/>
            </w:tcBorders>
            <w:shd w:val="clear" w:color="auto" w:fill="auto"/>
            <w:noWrap/>
            <w:vAlign w:val="bottom"/>
            <w:hideMark/>
          </w:tcPr>
          <w:p w14:paraId="1E82E130" w14:textId="77777777" w:rsidR="000948D5" w:rsidRPr="000948D5" w:rsidRDefault="000948D5" w:rsidP="000948D5">
            <w:pPr>
              <w:spacing w:after="0" w:line="240" w:lineRule="auto"/>
              <w:rPr>
                <w:rFonts w:ascii="Calibri" w:eastAsia="Times New Roman" w:hAnsi="Calibri" w:cs="Calibri"/>
                <w:color w:val="000000"/>
              </w:rPr>
            </w:pPr>
            <w:r w:rsidRPr="000948D5">
              <w:rPr>
                <w:rFonts w:ascii="Calibri" w:eastAsia="Times New Roman" w:hAnsi="Calibri" w:cs="Calibri"/>
                <w:color w:val="000000"/>
              </w:rPr>
              <w:t> </w:t>
            </w:r>
          </w:p>
        </w:tc>
        <w:tc>
          <w:tcPr>
            <w:tcW w:w="2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5A058" w14:textId="77777777" w:rsidR="000948D5" w:rsidRPr="000948D5" w:rsidRDefault="000948D5" w:rsidP="000948D5">
            <w:pPr>
              <w:spacing w:after="0" w:line="240" w:lineRule="auto"/>
              <w:jc w:val="center"/>
              <w:rPr>
                <w:rFonts w:ascii="Calibri" w:eastAsia="Times New Roman" w:hAnsi="Calibri" w:cs="Calibri"/>
                <w:color w:val="000000"/>
              </w:rPr>
            </w:pPr>
            <w:r w:rsidRPr="000948D5">
              <w:rPr>
                <w:rFonts w:ascii="Calibri" w:eastAsia="Times New Roman" w:hAnsi="Calibri" w:cs="Calibri"/>
                <w:color w:val="000000"/>
              </w:rPr>
              <w:t>MWh at Meter</w:t>
            </w:r>
          </w:p>
        </w:tc>
        <w:tc>
          <w:tcPr>
            <w:tcW w:w="1884" w:type="dxa"/>
            <w:tcBorders>
              <w:top w:val="single" w:sz="4" w:space="0" w:color="auto"/>
              <w:left w:val="nil"/>
              <w:bottom w:val="single" w:sz="4" w:space="0" w:color="auto"/>
              <w:right w:val="nil"/>
            </w:tcBorders>
            <w:shd w:val="clear" w:color="auto" w:fill="auto"/>
            <w:noWrap/>
            <w:vAlign w:val="bottom"/>
            <w:hideMark/>
          </w:tcPr>
          <w:p w14:paraId="58E50265" w14:textId="77777777" w:rsidR="000948D5" w:rsidRPr="000948D5" w:rsidRDefault="000948D5" w:rsidP="000948D5">
            <w:pPr>
              <w:spacing w:after="0" w:line="240" w:lineRule="auto"/>
              <w:jc w:val="center"/>
              <w:rPr>
                <w:rFonts w:ascii="Calibri" w:eastAsia="Times New Roman" w:hAnsi="Calibri" w:cs="Calibri"/>
                <w:color w:val="000000"/>
              </w:rPr>
            </w:pPr>
            <w:r w:rsidRPr="000948D5">
              <w:rPr>
                <w:rFonts w:ascii="Calibri" w:eastAsia="Times New Roman" w:hAnsi="Calibri" w:cs="Calibri"/>
                <w:color w:val="000000"/>
              </w:rPr>
              <w:t>MWh Proportion</w:t>
            </w:r>
          </w:p>
        </w:tc>
        <w:tc>
          <w:tcPr>
            <w:tcW w:w="1831" w:type="dxa"/>
            <w:tcBorders>
              <w:top w:val="nil"/>
              <w:left w:val="single" w:sz="4" w:space="0" w:color="auto"/>
              <w:bottom w:val="single" w:sz="4" w:space="0" w:color="auto"/>
              <w:right w:val="single" w:sz="4" w:space="0" w:color="auto"/>
            </w:tcBorders>
            <w:shd w:val="clear" w:color="auto" w:fill="auto"/>
            <w:noWrap/>
            <w:vAlign w:val="bottom"/>
            <w:hideMark/>
          </w:tcPr>
          <w:p w14:paraId="6499BFE5" w14:textId="77777777" w:rsidR="000948D5" w:rsidRPr="000948D5" w:rsidRDefault="000948D5" w:rsidP="000948D5">
            <w:pPr>
              <w:spacing w:after="0" w:line="240" w:lineRule="auto"/>
              <w:jc w:val="center"/>
              <w:rPr>
                <w:rFonts w:ascii="Calibri" w:eastAsia="Times New Roman" w:hAnsi="Calibri" w:cs="Calibri"/>
                <w:color w:val="000000"/>
              </w:rPr>
            </w:pPr>
            <w:r w:rsidRPr="000948D5">
              <w:rPr>
                <w:rFonts w:ascii="Calibri" w:eastAsia="Times New Roman" w:hAnsi="Calibri" w:cs="Calibri"/>
                <w:color w:val="000000"/>
              </w:rPr>
              <w:t>Count</w:t>
            </w:r>
          </w:p>
        </w:tc>
        <w:tc>
          <w:tcPr>
            <w:tcW w:w="1403" w:type="dxa"/>
            <w:tcBorders>
              <w:top w:val="nil"/>
              <w:left w:val="nil"/>
              <w:bottom w:val="single" w:sz="4" w:space="0" w:color="auto"/>
              <w:right w:val="single" w:sz="8" w:space="0" w:color="auto"/>
            </w:tcBorders>
            <w:shd w:val="clear" w:color="auto" w:fill="auto"/>
            <w:noWrap/>
            <w:vAlign w:val="bottom"/>
            <w:hideMark/>
          </w:tcPr>
          <w:p w14:paraId="7963A0E9" w14:textId="77777777" w:rsidR="000948D5" w:rsidRPr="000948D5" w:rsidRDefault="000948D5" w:rsidP="000948D5">
            <w:pPr>
              <w:spacing w:after="0" w:line="240" w:lineRule="auto"/>
              <w:jc w:val="center"/>
              <w:rPr>
                <w:rFonts w:ascii="Calibri" w:eastAsia="Times New Roman" w:hAnsi="Calibri" w:cs="Calibri"/>
                <w:b/>
                <w:bCs/>
                <w:color w:val="000000"/>
              </w:rPr>
            </w:pPr>
            <w:r w:rsidRPr="000948D5">
              <w:rPr>
                <w:rFonts w:ascii="Calibri" w:eastAsia="Times New Roman" w:hAnsi="Calibri" w:cs="Calibri"/>
                <w:b/>
                <w:bCs/>
                <w:color w:val="000000"/>
              </w:rPr>
              <w:t>Customer</w:t>
            </w:r>
          </w:p>
        </w:tc>
      </w:tr>
      <w:tr w:rsidR="000948D5" w:rsidRPr="000948D5" w14:paraId="4ECAE1DE" w14:textId="77777777" w:rsidTr="0073353B">
        <w:trPr>
          <w:trHeight w:val="233"/>
        </w:trPr>
        <w:tc>
          <w:tcPr>
            <w:tcW w:w="3144"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22335C0" w14:textId="77777777" w:rsidR="000948D5" w:rsidRPr="000948D5" w:rsidRDefault="000948D5" w:rsidP="000948D5">
            <w:pPr>
              <w:spacing w:after="0" w:line="240" w:lineRule="auto"/>
              <w:jc w:val="center"/>
              <w:rPr>
                <w:rFonts w:ascii="Calibri" w:eastAsia="Times New Roman" w:hAnsi="Calibri" w:cs="Calibri"/>
                <w:color w:val="000000"/>
              </w:rPr>
            </w:pPr>
            <w:r w:rsidRPr="000948D5">
              <w:rPr>
                <w:rFonts w:ascii="Calibri" w:eastAsia="Times New Roman" w:hAnsi="Calibri" w:cs="Calibri"/>
                <w:color w:val="000000"/>
              </w:rPr>
              <w:t>Residential Customers</w:t>
            </w:r>
          </w:p>
        </w:tc>
        <w:tc>
          <w:tcPr>
            <w:tcW w:w="2026" w:type="dxa"/>
            <w:tcBorders>
              <w:top w:val="nil"/>
              <w:left w:val="nil"/>
              <w:bottom w:val="single" w:sz="4" w:space="0" w:color="auto"/>
              <w:right w:val="single" w:sz="4" w:space="0" w:color="auto"/>
            </w:tcBorders>
            <w:shd w:val="clear" w:color="000000" w:fill="DDEBF7"/>
            <w:noWrap/>
            <w:vAlign w:val="bottom"/>
            <w:hideMark/>
          </w:tcPr>
          <w:p w14:paraId="2BD1F4AC" w14:textId="77777777" w:rsidR="000948D5" w:rsidRPr="000948D5" w:rsidRDefault="000948D5" w:rsidP="000948D5">
            <w:pPr>
              <w:spacing w:after="0" w:line="240" w:lineRule="auto"/>
              <w:rPr>
                <w:rFonts w:ascii="Calibri" w:eastAsia="Times New Roman" w:hAnsi="Calibri" w:cs="Calibri"/>
                <w:color w:val="000000"/>
              </w:rPr>
            </w:pPr>
            <w:r w:rsidRPr="000948D5">
              <w:rPr>
                <w:rFonts w:ascii="Calibri" w:eastAsia="Times New Roman" w:hAnsi="Calibri" w:cs="Calibri"/>
                <w:color w:val="000000"/>
              </w:rPr>
              <w:t xml:space="preserve">              8,321,011 </w:t>
            </w:r>
          </w:p>
        </w:tc>
        <w:tc>
          <w:tcPr>
            <w:tcW w:w="1884" w:type="dxa"/>
            <w:tcBorders>
              <w:top w:val="nil"/>
              <w:left w:val="nil"/>
              <w:bottom w:val="single" w:sz="4" w:space="0" w:color="auto"/>
              <w:right w:val="single" w:sz="4" w:space="0" w:color="auto"/>
            </w:tcBorders>
            <w:shd w:val="clear" w:color="auto" w:fill="auto"/>
            <w:noWrap/>
            <w:vAlign w:val="bottom"/>
            <w:hideMark/>
          </w:tcPr>
          <w:p w14:paraId="30A42FDF" w14:textId="77777777" w:rsidR="000948D5" w:rsidRPr="000948D5" w:rsidRDefault="000948D5" w:rsidP="000948D5">
            <w:pPr>
              <w:spacing w:after="0" w:line="240" w:lineRule="auto"/>
              <w:jc w:val="center"/>
              <w:rPr>
                <w:rFonts w:ascii="Calibri" w:eastAsia="Times New Roman" w:hAnsi="Calibri" w:cs="Calibri"/>
                <w:color w:val="000000"/>
              </w:rPr>
            </w:pPr>
            <w:r w:rsidRPr="000948D5">
              <w:rPr>
                <w:rFonts w:ascii="Calibri" w:eastAsia="Times New Roman" w:hAnsi="Calibri" w:cs="Calibri"/>
                <w:color w:val="000000"/>
              </w:rPr>
              <w:t>46.1%</w:t>
            </w:r>
          </w:p>
        </w:tc>
        <w:tc>
          <w:tcPr>
            <w:tcW w:w="1831" w:type="dxa"/>
            <w:tcBorders>
              <w:top w:val="nil"/>
              <w:left w:val="nil"/>
              <w:bottom w:val="single" w:sz="4" w:space="0" w:color="auto"/>
              <w:right w:val="single" w:sz="4" w:space="0" w:color="auto"/>
            </w:tcBorders>
            <w:shd w:val="clear" w:color="000000" w:fill="DDEBF7"/>
            <w:noWrap/>
            <w:vAlign w:val="bottom"/>
            <w:hideMark/>
          </w:tcPr>
          <w:p w14:paraId="25CD3922" w14:textId="77777777" w:rsidR="000948D5" w:rsidRPr="000948D5" w:rsidRDefault="000948D5" w:rsidP="000948D5">
            <w:pPr>
              <w:spacing w:after="0" w:line="240" w:lineRule="auto"/>
              <w:rPr>
                <w:rFonts w:ascii="Calibri" w:eastAsia="Times New Roman" w:hAnsi="Calibri" w:cs="Calibri"/>
                <w:color w:val="000000"/>
              </w:rPr>
            </w:pPr>
            <w:r w:rsidRPr="000948D5">
              <w:rPr>
                <w:rFonts w:ascii="Calibri" w:eastAsia="Times New Roman" w:hAnsi="Calibri" w:cs="Calibri"/>
                <w:color w:val="000000"/>
              </w:rPr>
              <w:t xml:space="preserve">           693,420 </w:t>
            </w:r>
          </w:p>
        </w:tc>
        <w:tc>
          <w:tcPr>
            <w:tcW w:w="1403" w:type="dxa"/>
            <w:tcBorders>
              <w:top w:val="nil"/>
              <w:left w:val="nil"/>
              <w:bottom w:val="single" w:sz="4" w:space="0" w:color="auto"/>
              <w:right w:val="single" w:sz="8" w:space="0" w:color="auto"/>
            </w:tcBorders>
            <w:shd w:val="clear" w:color="auto" w:fill="auto"/>
            <w:noWrap/>
            <w:vAlign w:val="bottom"/>
            <w:hideMark/>
          </w:tcPr>
          <w:p w14:paraId="4D158CE4" w14:textId="77777777" w:rsidR="000948D5" w:rsidRPr="000948D5" w:rsidRDefault="000948D5" w:rsidP="000948D5">
            <w:pPr>
              <w:spacing w:after="0" w:line="240" w:lineRule="auto"/>
              <w:rPr>
                <w:rFonts w:ascii="Calibri" w:eastAsia="Times New Roman" w:hAnsi="Calibri" w:cs="Calibri"/>
                <w:b/>
                <w:bCs/>
                <w:color w:val="000000"/>
              </w:rPr>
            </w:pPr>
            <w:r w:rsidRPr="000948D5">
              <w:rPr>
                <w:rFonts w:ascii="Calibri" w:eastAsia="Times New Roman" w:hAnsi="Calibri" w:cs="Calibri"/>
                <w:b/>
                <w:bCs/>
                <w:color w:val="000000"/>
              </w:rPr>
              <w:t xml:space="preserve">                    12.0 </w:t>
            </w:r>
          </w:p>
        </w:tc>
      </w:tr>
      <w:tr w:rsidR="000948D5" w:rsidRPr="000948D5" w14:paraId="6250EB90" w14:textId="77777777" w:rsidTr="0073353B">
        <w:trPr>
          <w:trHeight w:val="305"/>
        </w:trPr>
        <w:tc>
          <w:tcPr>
            <w:tcW w:w="3144"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847CFB9" w14:textId="77777777" w:rsidR="000948D5" w:rsidRPr="000948D5" w:rsidRDefault="000948D5" w:rsidP="000948D5">
            <w:pPr>
              <w:spacing w:after="0" w:line="240" w:lineRule="auto"/>
              <w:jc w:val="center"/>
              <w:rPr>
                <w:rFonts w:ascii="Calibri" w:eastAsia="Times New Roman" w:hAnsi="Calibri" w:cs="Calibri"/>
                <w:color w:val="000000"/>
              </w:rPr>
            </w:pPr>
            <w:r w:rsidRPr="000948D5">
              <w:rPr>
                <w:rFonts w:ascii="Calibri" w:eastAsia="Times New Roman" w:hAnsi="Calibri" w:cs="Calibri"/>
                <w:color w:val="000000"/>
              </w:rPr>
              <w:t xml:space="preserve">Commercial Customers </w:t>
            </w:r>
          </w:p>
        </w:tc>
        <w:tc>
          <w:tcPr>
            <w:tcW w:w="2026" w:type="dxa"/>
            <w:tcBorders>
              <w:top w:val="nil"/>
              <w:left w:val="nil"/>
              <w:bottom w:val="single" w:sz="4" w:space="0" w:color="auto"/>
              <w:right w:val="single" w:sz="4" w:space="0" w:color="auto"/>
            </w:tcBorders>
            <w:shd w:val="clear" w:color="000000" w:fill="DDEBF7"/>
            <w:noWrap/>
            <w:vAlign w:val="bottom"/>
            <w:hideMark/>
          </w:tcPr>
          <w:p w14:paraId="55F8D063" w14:textId="77777777" w:rsidR="000948D5" w:rsidRPr="000948D5" w:rsidRDefault="000948D5" w:rsidP="000948D5">
            <w:pPr>
              <w:spacing w:after="0" w:line="240" w:lineRule="auto"/>
              <w:rPr>
                <w:rFonts w:ascii="Calibri" w:eastAsia="Times New Roman" w:hAnsi="Calibri" w:cs="Calibri"/>
                <w:color w:val="000000"/>
              </w:rPr>
            </w:pPr>
            <w:r w:rsidRPr="000948D5">
              <w:rPr>
                <w:rFonts w:ascii="Calibri" w:eastAsia="Times New Roman" w:hAnsi="Calibri" w:cs="Calibri"/>
                <w:color w:val="000000"/>
              </w:rPr>
              <w:t xml:space="preserve">              7,152,138 </w:t>
            </w:r>
          </w:p>
        </w:tc>
        <w:tc>
          <w:tcPr>
            <w:tcW w:w="1884" w:type="dxa"/>
            <w:tcBorders>
              <w:top w:val="nil"/>
              <w:left w:val="nil"/>
              <w:bottom w:val="single" w:sz="4" w:space="0" w:color="auto"/>
              <w:right w:val="single" w:sz="4" w:space="0" w:color="auto"/>
            </w:tcBorders>
            <w:shd w:val="clear" w:color="auto" w:fill="auto"/>
            <w:noWrap/>
            <w:vAlign w:val="bottom"/>
            <w:hideMark/>
          </w:tcPr>
          <w:p w14:paraId="455F3A2F" w14:textId="77777777" w:rsidR="000948D5" w:rsidRPr="000948D5" w:rsidRDefault="000948D5" w:rsidP="000948D5">
            <w:pPr>
              <w:spacing w:after="0" w:line="240" w:lineRule="auto"/>
              <w:jc w:val="center"/>
              <w:rPr>
                <w:rFonts w:ascii="Calibri" w:eastAsia="Times New Roman" w:hAnsi="Calibri" w:cs="Calibri"/>
                <w:color w:val="000000"/>
              </w:rPr>
            </w:pPr>
            <w:r w:rsidRPr="000948D5">
              <w:rPr>
                <w:rFonts w:ascii="Calibri" w:eastAsia="Times New Roman" w:hAnsi="Calibri" w:cs="Calibri"/>
                <w:color w:val="000000"/>
              </w:rPr>
              <w:t>39.6%</w:t>
            </w:r>
          </w:p>
        </w:tc>
        <w:tc>
          <w:tcPr>
            <w:tcW w:w="1831" w:type="dxa"/>
            <w:tcBorders>
              <w:top w:val="nil"/>
              <w:left w:val="nil"/>
              <w:bottom w:val="single" w:sz="4" w:space="0" w:color="auto"/>
              <w:right w:val="single" w:sz="4" w:space="0" w:color="auto"/>
            </w:tcBorders>
            <w:shd w:val="clear" w:color="000000" w:fill="DDEBF7"/>
            <w:noWrap/>
            <w:vAlign w:val="bottom"/>
            <w:hideMark/>
          </w:tcPr>
          <w:p w14:paraId="7147FD34" w14:textId="77777777" w:rsidR="000948D5" w:rsidRPr="000948D5" w:rsidRDefault="000948D5" w:rsidP="000948D5">
            <w:pPr>
              <w:spacing w:after="0" w:line="240" w:lineRule="auto"/>
              <w:rPr>
                <w:rFonts w:ascii="Calibri" w:eastAsia="Times New Roman" w:hAnsi="Calibri" w:cs="Calibri"/>
                <w:color w:val="000000"/>
              </w:rPr>
            </w:pPr>
            <w:r w:rsidRPr="000948D5">
              <w:rPr>
                <w:rFonts w:ascii="Calibri" w:eastAsia="Times New Roman" w:hAnsi="Calibri" w:cs="Calibri"/>
                <w:color w:val="000000"/>
              </w:rPr>
              <w:t xml:space="preserve">             59,601 </w:t>
            </w:r>
          </w:p>
        </w:tc>
        <w:tc>
          <w:tcPr>
            <w:tcW w:w="1403" w:type="dxa"/>
            <w:tcBorders>
              <w:top w:val="nil"/>
              <w:left w:val="nil"/>
              <w:bottom w:val="single" w:sz="4" w:space="0" w:color="auto"/>
              <w:right w:val="single" w:sz="8" w:space="0" w:color="auto"/>
            </w:tcBorders>
            <w:shd w:val="clear" w:color="auto" w:fill="auto"/>
            <w:noWrap/>
            <w:vAlign w:val="bottom"/>
            <w:hideMark/>
          </w:tcPr>
          <w:p w14:paraId="71C9B5D0" w14:textId="77777777" w:rsidR="000948D5" w:rsidRPr="000948D5" w:rsidRDefault="000948D5" w:rsidP="000948D5">
            <w:pPr>
              <w:spacing w:after="0" w:line="240" w:lineRule="auto"/>
              <w:rPr>
                <w:rFonts w:ascii="Calibri" w:eastAsia="Times New Roman" w:hAnsi="Calibri" w:cs="Calibri"/>
                <w:b/>
                <w:bCs/>
                <w:color w:val="000000"/>
              </w:rPr>
            </w:pPr>
            <w:r w:rsidRPr="000948D5">
              <w:rPr>
                <w:rFonts w:ascii="Calibri" w:eastAsia="Times New Roman" w:hAnsi="Calibri" w:cs="Calibri"/>
                <w:b/>
                <w:bCs/>
                <w:color w:val="000000"/>
              </w:rPr>
              <w:t xml:space="preserve">                  120.0 </w:t>
            </w:r>
          </w:p>
        </w:tc>
      </w:tr>
      <w:tr w:rsidR="000948D5" w:rsidRPr="000948D5" w14:paraId="4F07A7D2" w14:textId="77777777" w:rsidTr="0073353B">
        <w:trPr>
          <w:trHeight w:val="302"/>
        </w:trPr>
        <w:tc>
          <w:tcPr>
            <w:tcW w:w="3144"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569EF05" w14:textId="77777777" w:rsidR="000948D5" w:rsidRPr="000948D5" w:rsidRDefault="000948D5" w:rsidP="000948D5">
            <w:pPr>
              <w:spacing w:after="0" w:line="240" w:lineRule="auto"/>
              <w:jc w:val="center"/>
              <w:rPr>
                <w:rFonts w:ascii="Calibri" w:eastAsia="Times New Roman" w:hAnsi="Calibri" w:cs="Calibri"/>
                <w:color w:val="000000"/>
              </w:rPr>
            </w:pPr>
            <w:r w:rsidRPr="000948D5">
              <w:rPr>
                <w:rFonts w:ascii="Calibri" w:eastAsia="Times New Roman" w:hAnsi="Calibri" w:cs="Calibri"/>
                <w:color w:val="000000"/>
              </w:rPr>
              <w:t xml:space="preserve">Industrial Customers </w:t>
            </w:r>
          </w:p>
        </w:tc>
        <w:tc>
          <w:tcPr>
            <w:tcW w:w="2026" w:type="dxa"/>
            <w:tcBorders>
              <w:top w:val="nil"/>
              <w:left w:val="nil"/>
              <w:bottom w:val="single" w:sz="4" w:space="0" w:color="auto"/>
              <w:right w:val="single" w:sz="4" w:space="0" w:color="auto"/>
            </w:tcBorders>
            <w:shd w:val="clear" w:color="000000" w:fill="DDEBF7"/>
            <w:noWrap/>
            <w:vAlign w:val="bottom"/>
            <w:hideMark/>
          </w:tcPr>
          <w:p w14:paraId="5C036862" w14:textId="77777777" w:rsidR="000948D5" w:rsidRPr="000948D5" w:rsidRDefault="000948D5" w:rsidP="000948D5">
            <w:pPr>
              <w:spacing w:after="0" w:line="240" w:lineRule="auto"/>
              <w:rPr>
                <w:rFonts w:ascii="Calibri" w:eastAsia="Times New Roman" w:hAnsi="Calibri" w:cs="Calibri"/>
                <w:color w:val="000000"/>
              </w:rPr>
            </w:pPr>
            <w:r w:rsidRPr="000948D5">
              <w:rPr>
                <w:rFonts w:ascii="Calibri" w:eastAsia="Times New Roman" w:hAnsi="Calibri" w:cs="Calibri"/>
                <w:color w:val="000000"/>
              </w:rPr>
              <w:t xml:space="preserve">              2,575,602 </w:t>
            </w:r>
          </w:p>
        </w:tc>
        <w:tc>
          <w:tcPr>
            <w:tcW w:w="1884" w:type="dxa"/>
            <w:tcBorders>
              <w:top w:val="nil"/>
              <w:left w:val="nil"/>
              <w:bottom w:val="single" w:sz="4" w:space="0" w:color="auto"/>
              <w:right w:val="single" w:sz="4" w:space="0" w:color="auto"/>
            </w:tcBorders>
            <w:shd w:val="clear" w:color="auto" w:fill="auto"/>
            <w:noWrap/>
            <w:vAlign w:val="bottom"/>
            <w:hideMark/>
          </w:tcPr>
          <w:p w14:paraId="09C86214" w14:textId="77777777" w:rsidR="000948D5" w:rsidRPr="000948D5" w:rsidRDefault="000948D5" w:rsidP="000948D5">
            <w:pPr>
              <w:spacing w:after="0" w:line="240" w:lineRule="auto"/>
              <w:jc w:val="center"/>
              <w:rPr>
                <w:rFonts w:ascii="Calibri" w:eastAsia="Times New Roman" w:hAnsi="Calibri" w:cs="Calibri"/>
                <w:color w:val="000000"/>
              </w:rPr>
            </w:pPr>
            <w:r w:rsidRPr="000948D5">
              <w:rPr>
                <w:rFonts w:ascii="Calibri" w:eastAsia="Times New Roman" w:hAnsi="Calibri" w:cs="Calibri"/>
                <w:color w:val="000000"/>
              </w:rPr>
              <w:t>14.3%</w:t>
            </w:r>
          </w:p>
        </w:tc>
        <w:tc>
          <w:tcPr>
            <w:tcW w:w="1831" w:type="dxa"/>
            <w:tcBorders>
              <w:top w:val="nil"/>
              <w:left w:val="nil"/>
              <w:bottom w:val="nil"/>
              <w:right w:val="nil"/>
            </w:tcBorders>
            <w:shd w:val="clear" w:color="auto" w:fill="auto"/>
            <w:noWrap/>
            <w:vAlign w:val="bottom"/>
            <w:hideMark/>
          </w:tcPr>
          <w:p w14:paraId="67675103" w14:textId="77777777" w:rsidR="000948D5" w:rsidRPr="000948D5" w:rsidRDefault="000948D5" w:rsidP="000948D5">
            <w:pPr>
              <w:spacing w:after="0" w:line="240" w:lineRule="auto"/>
              <w:jc w:val="center"/>
              <w:rPr>
                <w:rFonts w:ascii="Calibri" w:eastAsia="Times New Roman" w:hAnsi="Calibri" w:cs="Calibri"/>
                <w:color w:val="000000"/>
              </w:rPr>
            </w:pPr>
          </w:p>
        </w:tc>
        <w:tc>
          <w:tcPr>
            <w:tcW w:w="1403" w:type="dxa"/>
            <w:tcBorders>
              <w:top w:val="nil"/>
              <w:left w:val="nil"/>
              <w:bottom w:val="nil"/>
              <w:right w:val="single" w:sz="8" w:space="0" w:color="auto"/>
            </w:tcBorders>
            <w:shd w:val="clear" w:color="auto" w:fill="auto"/>
            <w:noWrap/>
            <w:vAlign w:val="bottom"/>
            <w:hideMark/>
          </w:tcPr>
          <w:p w14:paraId="019BBF54" w14:textId="77777777" w:rsidR="000948D5" w:rsidRPr="000948D5" w:rsidRDefault="000948D5" w:rsidP="000948D5">
            <w:pPr>
              <w:spacing w:after="0" w:line="240" w:lineRule="auto"/>
              <w:rPr>
                <w:rFonts w:ascii="Calibri" w:eastAsia="Times New Roman" w:hAnsi="Calibri" w:cs="Calibri"/>
                <w:color w:val="000000"/>
              </w:rPr>
            </w:pPr>
            <w:r w:rsidRPr="000948D5">
              <w:rPr>
                <w:rFonts w:ascii="Calibri" w:eastAsia="Times New Roman" w:hAnsi="Calibri" w:cs="Calibri"/>
                <w:color w:val="000000"/>
              </w:rPr>
              <w:t> </w:t>
            </w:r>
          </w:p>
        </w:tc>
      </w:tr>
      <w:tr w:rsidR="000948D5" w:rsidRPr="000948D5" w14:paraId="7178F899" w14:textId="77777777" w:rsidTr="0073353B">
        <w:trPr>
          <w:trHeight w:val="317"/>
        </w:trPr>
        <w:tc>
          <w:tcPr>
            <w:tcW w:w="291" w:type="dxa"/>
            <w:tcBorders>
              <w:top w:val="nil"/>
              <w:left w:val="single" w:sz="8" w:space="0" w:color="auto"/>
              <w:bottom w:val="single" w:sz="8" w:space="0" w:color="auto"/>
              <w:right w:val="nil"/>
            </w:tcBorders>
            <w:shd w:val="clear" w:color="auto" w:fill="auto"/>
            <w:noWrap/>
            <w:vAlign w:val="bottom"/>
            <w:hideMark/>
          </w:tcPr>
          <w:p w14:paraId="73BE06DE" w14:textId="77777777" w:rsidR="000948D5" w:rsidRPr="000948D5" w:rsidRDefault="000948D5" w:rsidP="000948D5">
            <w:pPr>
              <w:spacing w:after="0" w:line="240" w:lineRule="auto"/>
              <w:rPr>
                <w:rFonts w:ascii="Calibri" w:eastAsia="Times New Roman" w:hAnsi="Calibri" w:cs="Calibri"/>
                <w:color w:val="000000"/>
              </w:rPr>
            </w:pPr>
            <w:r w:rsidRPr="000948D5">
              <w:rPr>
                <w:rFonts w:ascii="Calibri" w:eastAsia="Times New Roman" w:hAnsi="Calibri" w:cs="Calibri"/>
                <w:color w:val="000000"/>
              </w:rPr>
              <w:t> </w:t>
            </w:r>
          </w:p>
        </w:tc>
        <w:tc>
          <w:tcPr>
            <w:tcW w:w="2852" w:type="dxa"/>
            <w:gridSpan w:val="2"/>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5C1A674F" w14:textId="77777777" w:rsidR="000948D5" w:rsidRPr="000948D5" w:rsidRDefault="000948D5" w:rsidP="000948D5">
            <w:pPr>
              <w:spacing w:after="0" w:line="240" w:lineRule="auto"/>
              <w:jc w:val="center"/>
              <w:rPr>
                <w:rFonts w:ascii="Calibri" w:eastAsia="Times New Roman" w:hAnsi="Calibri" w:cs="Calibri"/>
                <w:color w:val="000000"/>
              </w:rPr>
            </w:pPr>
            <w:r w:rsidRPr="000948D5">
              <w:rPr>
                <w:rFonts w:ascii="Calibri" w:eastAsia="Times New Roman" w:hAnsi="Calibri" w:cs="Calibri"/>
                <w:color w:val="000000"/>
              </w:rPr>
              <w:t>Total Load Served</w:t>
            </w:r>
          </w:p>
        </w:tc>
        <w:tc>
          <w:tcPr>
            <w:tcW w:w="2026" w:type="dxa"/>
            <w:tcBorders>
              <w:top w:val="nil"/>
              <w:left w:val="nil"/>
              <w:bottom w:val="single" w:sz="8" w:space="0" w:color="auto"/>
              <w:right w:val="single" w:sz="4" w:space="0" w:color="auto"/>
            </w:tcBorders>
            <w:shd w:val="clear" w:color="auto" w:fill="auto"/>
            <w:noWrap/>
            <w:vAlign w:val="bottom"/>
            <w:hideMark/>
          </w:tcPr>
          <w:p w14:paraId="7BFA3ADB" w14:textId="77777777" w:rsidR="000948D5" w:rsidRPr="000948D5" w:rsidRDefault="000948D5" w:rsidP="000948D5">
            <w:pPr>
              <w:spacing w:after="0" w:line="240" w:lineRule="auto"/>
              <w:rPr>
                <w:rFonts w:ascii="Calibri" w:eastAsia="Times New Roman" w:hAnsi="Calibri" w:cs="Calibri"/>
                <w:color w:val="000000"/>
              </w:rPr>
            </w:pPr>
            <w:r w:rsidRPr="000948D5">
              <w:rPr>
                <w:rFonts w:ascii="Calibri" w:eastAsia="Times New Roman" w:hAnsi="Calibri" w:cs="Calibri"/>
                <w:color w:val="000000"/>
              </w:rPr>
              <w:t xml:space="preserve">            18,048,751 </w:t>
            </w:r>
          </w:p>
        </w:tc>
        <w:tc>
          <w:tcPr>
            <w:tcW w:w="1884" w:type="dxa"/>
            <w:tcBorders>
              <w:top w:val="nil"/>
              <w:left w:val="nil"/>
              <w:bottom w:val="single" w:sz="8" w:space="0" w:color="auto"/>
              <w:right w:val="nil"/>
            </w:tcBorders>
            <w:shd w:val="clear" w:color="auto" w:fill="auto"/>
            <w:noWrap/>
            <w:vAlign w:val="bottom"/>
            <w:hideMark/>
          </w:tcPr>
          <w:p w14:paraId="49B0D8BF" w14:textId="77777777" w:rsidR="000948D5" w:rsidRPr="000948D5" w:rsidRDefault="000948D5" w:rsidP="000948D5">
            <w:pPr>
              <w:spacing w:after="0" w:line="240" w:lineRule="auto"/>
              <w:rPr>
                <w:rFonts w:ascii="Calibri" w:eastAsia="Times New Roman" w:hAnsi="Calibri" w:cs="Calibri"/>
                <w:color w:val="000000"/>
              </w:rPr>
            </w:pPr>
            <w:r w:rsidRPr="000948D5">
              <w:rPr>
                <w:rFonts w:ascii="Calibri" w:eastAsia="Times New Roman" w:hAnsi="Calibri" w:cs="Calibri"/>
                <w:color w:val="000000"/>
              </w:rPr>
              <w:t> </w:t>
            </w:r>
          </w:p>
        </w:tc>
        <w:tc>
          <w:tcPr>
            <w:tcW w:w="1831" w:type="dxa"/>
            <w:tcBorders>
              <w:top w:val="nil"/>
              <w:left w:val="nil"/>
              <w:bottom w:val="single" w:sz="8" w:space="0" w:color="auto"/>
              <w:right w:val="nil"/>
            </w:tcBorders>
            <w:shd w:val="clear" w:color="auto" w:fill="auto"/>
            <w:noWrap/>
            <w:vAlign w:val="bottom"/>
            <w:hideMark/>
          </w:tcPr>
          <w:p w14:paraId="2077F486" w14:textId="77777777" w:rsidR="000948D5" w:rsidRPr="000948D5" w:rsidRDefault="000948D5" w:rsidP="000948D5">
            <w:pPr>
              <w:spacing w:after="0" w:line="240" w:lineRule="auto"/>
              <w:rPr>
                <w:rFonts w:ascii="Calibri" w:eastAsia="Times New Roman" w:hAnsi="Calibri" w:cs="Calibri"/>
                <w:color w:val="000000"/>
              </w:rPr>
            </w:pPr>
            <w:r w:rsidRPr="000948D5">
              <w:rPr>
                <w:rFonts w:ascii="Calibri" w:eastAsia="Times New Roman" w:hAnsi="Calibri" w:cs="Calibri"/>
                <w:color w:val="000000"/>
              </w:rPr>
              <w:t> </w:t>
            </w:r>
          </w:p>
        </w:tc>
        <w:tc>
          <w:tcPr>
            <w:tcW w:w="1403" w:type="dxa"/>
            <w:tcBorders>
              <w:top w:val="nil"/>
              <w:left w:val="nil"/>
              <w:bottom w:val="single" w:sz="8" w:space="0" w:color="auto"/>
              <w:right w:val="single" w:sz="8" w:space="0" w:color="auto"/>
            </w:tcBorders>
            <w:shd w:val="clear" w:color="auto" w:fill="auto"/>
            <w:noWrap/>
            <w:vAlign w:val="bottom"/>
            <w:hideMark/>
          </w:tcPr>
          <w:p w14:paraId="34EC8A0E" w14:textId="77777777" w:rsidR="000948D5" w:rsidRPr="000948D5" w:rsidRDefault="000948D5" w:rsidP="000948D5">
            <w:pPr>
              <w:spacing w:after="0" w:line="240" w:lineRule="auto"/>
              <w:rPr>
                <w:rFonts w:ascii="Calibri" w:eastAsia="Times New Roman" w:hAnsi="Calibri" w:cs="Calibri"/>
                <w:color w:val="000000"/>
              </w:rPr>
            </w:pPr>
            <w:r w:rsidRPr="000948D5">
              <w:rPr>
                <w:rFonts w:ascii="Calibri" w:eastAsia="Times New Roman" w:hAnsi="Calibri" w:cs="Calibri"/>
                <w:color w:val="000000"/>
              </w:rPr>
              <w:t> </w:t>
            </w:r>
          </w:p>
        </w:tc>
      </w:tr>
      <w:tr w:rsidR="000948D5" w:rsidRPr="000948D5" w14:paraId="751295E5" w14:textId="77777777" w:rsidTr="0073353B">
        <w:trPr>
          <w:trHeight w:val="302"/>
        </w:trPr>
        <w:tc>
          <w:tcPr>
            <w:tcW w:w="291" w:type="dxa"/>
            <w:tcBorders>
              <w:top w:val="nil"/>
              <w:left w:val="nil"/>
              <w:bottom w:val="nil"/>
              <w:right w:val="nil"/>
            </w:tcBorders>
            <w:shd w:val="clear" w:color="auto" w:fill="auto"/>
            <w:noWrap/>
            <w:vAlign w:val="bottom"/>
            <w:hideMark/>
          </w:tcPr>
          <w:p w14:paraId="48E60AA8" w14:textId="77777777" w:rsidR="000948D5" w:rsidRPr="000948D5" w:rsidRDefault="000948D5" w:rsidP="000948D5">
            <w:pPr>
              <w:spacing w:after="0" w:line="240" w:lineRule="auto"/>
              <w:rPr>
                <w:rFonts w:ascii="Calibri" w:eastAsia="Times New Roman" w:hAnsi="Calibri" w:cs="Calibri"/>
                <w:color w:val="000000"/>
              </w:rPr>
            </w:pPr>
          </w:p>
        </w:tc>
        <w:tc>
          <w:tcPr>
            <w:tcW w:w="1551" w:type="dxa"/>
            <w:tcBorders>
              <w:top w:val="nil"/>
              <w:left w:val="nil"/>
              <w:bottom w:val="nil"/>
              <w:right w:val="nil"/>
            </w:tcBorders>
            <w:shd w:val="clear" w:color="auto" w:fill="auto"/>
            <w:noWrap/>
            <w:vAlign w:val="bottom"/>
            <w:hideMark/>
          </w:tcPr>
          <w:p w14:paraId="3C339949" w14:textId="77777777" w:rsidR="000948D5" w:rsidRPr="000948D5" w:rsidRDefault="000948D5" w:rsidP="000948D5">
            <w:pPr>
              <w:spacing w:after="0" w:line="240" w:lineRule="auto"/>
              <w:rPr>
                <w:rFonts w:ascii="Times New Roman" w:eastAsia="Times New Roman" w:hAnsi="Times New Roman" w:cs="Times New Roman"/>
                <w:sz w:val="20"/>
                <w:szCs w:val="20"/>
              </w:rPr>
            </w:pPr>
          </w:p>
        </w:tc>
        <w:tc>
          <w:tcPr>
            <w:tcW w:w="1301" w:type="dxa"/>
            <w:tcBorders>
              <w:top w:val="nil"/>
              <w:left w:val="nil"/>
              <w:bottom w:val="nil"/>
              <w:right w:val="nil"/>
            </w:tcBorders>
            <w:shd w:val="clear" w:color="auto" w:fill="auto"/>
            <w:noWrap/>
            <w:vAlign w:val="bottom"/>
            <w:hideMark/>
          </w:tcPr>
          <w:p w14:paraId="228C5F96" w14:textId="77777777" w:rsidR="000948D5" w:rsidRPr="000948D5" w:rsidRDefault="000948D5" w:rsidP="000948D5">
            <w:pPr>
              <w:spacing w:after="0" w:line="240" w:lineRule="auto"/>
              <w:rPr>
                <w:rFonts w:ascii="Times New Roman" w:eastAsia="Times New Roman" w:hAnsi="Times New Roman" w:cs="Times New Roman"/>
                <w:sz w:val="20"/>
                <w:szCs w:val="20"/>
              </w:rPr>
            </w:pPr>
          </w:p>
        </w:tc>
        <w:tc>
          <w:tcPr>
            <w:tcW w:w="2026" w:type="dxa"/>
            <w:tcBorders>
              <w:top w:val="nil"/>
              <w:left w:val="nil"/>
              <w:bottom w:val="nil"/>
              <w:right w:val="nil"/>
            </w:tcBorders>
            <w:shd w:val="clear" w:color="auto" w:fill="auto"/>
            <w:noWrap/>
            <w:vAlign w:val="bottom"/>
            <w:hideMark/>
          </w:tcPr>
          <w:p w14:paraId="7E3BBDB4" w14:textId="77777777" w:rsidR="000948D5" w:rsidRPr="000948D5" w:rsidRDefault="000948D5" w:rsidP="000948D5">
            <w:pPr>
              <w:spacing w:after="0" w:line="240" w:lineRule="auto"/>
              <w:rPr>
                <w:rFonts w:ascii="Times New Roman" w:eastAsia="Times New Roman" w:hAnsi="Times New Roman" w:cs="Times New Roman"/>
                <w:sz w:val="20"/>
                <w:szCs w:val="20"/>
              </w:rPr>
            </w:pPr>
          </w:p>
        </w:tc>
        <w:tc>
          <w:tcPr>
            <w:tcW w:w="1884" w:type="dxa"/>
            <w:tcBorders>
              <w:top w:val="nil"/>
              <w:left w:val="nil"/>
              <w:bottom w:val="nil"/>
              <w:right w:val="nil"/>
            </w:tcBorders>
            <w:shd w:val="clear" w:color="auto" w:fill="auto"/>
            <w:noWrap/>
            <w:vAlign w:val="bottom"/>
            <w:hideMark/>
          </w:tcPr>
          <w:p w14:paraId="54E995C7" w14:textId="77777777" w:rsidR="000948D5" w:rsidRPr="000948D5" w:rsidRDefault="000948D5" w:rsidP="000948D5">
            <w:pPr>
              <w:spacing w:after="0" w:line="240" w:lineRule="auto"/>
              <w:rPr>
                <w:rFonts w:ascii="Times New Roman" w:eastAsia="Times New Roman" w:hAnsi="Times New Roman" w:cs="Times New Roman"/>
                <w:sz w:val="20"/>
                <w:szCs w:val="20"/>
              </w:rPr>
            </w:pPr>
          </w:p>
        </w:tc>
        <w:tc>
          <w:tcPr>
            <w:tcW w:w="1831" w:type="dxa"/>
            <w:tcBorders>
              <w:top w:val="nil"/>
              <w:left w:val="nil"/>
              <w:bottom w:val="nil"/>
              <w:right w:val="nil"/>
            </w:tcBorders>
            <w:shd w:val="clear" w:color="auto" w:fill="auto"/>
            <w:noWrap/>
            <w:vAlign w:val="bottom"/>
            <w:hideMark/>
          </w:tcPr>
          <w:p w14:paraId="2023E902" w14:textId="77777777" w:rsidR="000948D5" w:rsidRPr="000948D5" w:rsidRDefault="000948D5" w:rsidP="000948D5">
            <w:pPr>
              <w:spacing w:after="0" w:line="240" w:lineRule="auto"/>
              <w:rPr>
                <w:rFonts w:ascii="Times New Roman" w:eastAsia="Times New Roman" w:hAnsi="Times New Roman" w:cs="Times New Roman"/>
                <w:sz w:val="20"/>
                <w:szCs w:val="20"/>
              </w:rPr>
            </w:pPr>
          </w:p>
        </w:tc>
        <w:tc>
          <w:tcPr>
            <w:tcW w:w="1403" w:type="dxa"/>
            <w:tcBorders>
              <w:top w:val="nil"/>
              <w:left w:val="nil"/>
              <w:bottom w:val="nil"/>
              <w:right w:val="nil"/>
            </w:tcBorders>
            <w:shd w:val="clear" w:color="auto" w:fill="auto"/>
            <w:noWrap/>
            <w:vAlign w:val="bottom"/>
            <w:hideMark/>
          </w:tcPr>
          <w:p w14:paraId="1CAEB2EB" w14:textId="77777777" w:rsidR="000948D5" w:rsidRPr="000948D5" w:rsidRDefault="000948D5" w:rsidP="000948D5">
            <w:pPr>
              <w:spacing w:after="0" w:line="240" w:lineRule="auto"/>
              <w:rPr>
                <w:rFonts w:ascii="Times New Roman" w:eastAsia="Times New Roman" w:hAnsi="Times New Roman" w:cs="Times New Roman"/>
                <w:sz w:val="20"/>
                <w:szCs w:val="20"/>
              </w:rPr>
            </w:pPr>
          </w:p>
        </w:tc>
      </w:tr>
      <w:tr w:rsidR="000948D5" w:rsidRPr="000948D5" w14:paraId="2F73639A" w14:textId="77777777" w:rsidTr="0073353B">
        <w:trPr>
          <w:trHeight w:val="392"/>
        </w:trPr>
        <w:tc>
          <w:tcPr>
            <w:tcW w:w="291" w:type="dxa"/>
            <w:tcBorders>
              <w:top w:val="nil"/>
              <w:left w:val="nil"/>
              <w:bottom w:val="nil"/>
              <w:right w:val="nil"/>
            </w:tcBorders>
            <w:shd w:val="clear" w:color="auto" w:fill="auto"/>
            <w:noWrap/>
            <w:vAlign w:val="bottom"/>
            <w:hideMark/>
          </w:tcPr>
          <w:p w14:paraId="650D58B1" w14:textId="77777777" w:rsidR="000948D5" w:rsidRPr="000948D5" w:rsidRDefault="000948D5" w:rsidP="000948D5">
            <w:pPr>
              <w:spacing w:after="0" w:line="240" w:lineRule="auto"/>
              <w:rPr>
                <w:rFonts w:ascii="Times New Roman" w:eastAsia="Times New Roman" w:hAnsi="Times New Roman" w:cs="Times New Roman"/>
                <w:sz w:val="20"/>
                <w:szCs w:val="20"/>
              </w:rPr>
            </w:pPr>
          </w:p>
        </w:tc>
        <w:tc>
          <w:tcPr>
            <w:tcW w:w="4878" w:type="dxa"/>
            <w:gridSpan w:val="3"/>
            <w:tcBorders>
              <w:top w:val="nil"/>
              <w:left w:val="nil"/>
              <w:bottom w:val="nil"/>
              <w:right w:val="nil"/>
            </w:tcBorders>
            <w:shd w:val="clear" w:color="auto" w:fill="auto"/>
            <w:noWrap/>
            <w:vAlign w:val="bottom"/>
            <w:hideMark/>
          </w:tcPr>
          <w:p w14:paraId="4C106AB9" w14:textId="77777777" w:rsidR="000948D5" w:rsidRPr="000948D5" w:rsidRDefault="000948D5" w:rsidP="000948D5">
            <w:pPr>
              <w:spacing w:after="0" w:line="240" w:lineRule="auto"/>
              <w:rPr>
                <w:rFonts w:ascii="Calibri" w:eastAsia="Times New Roman" w:hAnsi="Calibri" w:cs="Calibri"/>
                <w:i/>
                <w:iCs/>
                <w:color w:val="000000"/>
                <w:sz w:val="28"/>
                <w:szCs w:val="28"/>
              </w:rPr>
            </w:pPr>
            <w:r w:rsidRPr="000948D5">
              <w:rPr>
                <w:rFonts w:ascii="Calibri" w:eastAsia="Times New Roman" w:hAnsi="Calibri" w:cs="Calibri"/>
                <w:i/>
                <w:iCs/>
                <w:color w:val="000000"/>
                <w:sz w:val="28"/>
                <w:szCs w:val="28"/>
              </w:rPr>
              <w:t>Emissions Intensity Metrics</w:t>
            </w:r>
          </w:p>
        </w:tc>
        <w:tc>
          <w:tcPr>
            <w:tcW w:w="1884" w:type="dxa"/>
            <w:tcBorders>
              <w:top w:val="nil"/>
              <w:left w:val="nil"/>
              <w:bottom w:val="nil"/>
              <w:right w:val="nil"/>
            </w:tcBorders>
            <w:shd w:val="clear" w:color="auto" w:fill="auto"/>
            <w:noWrap/>
            <w:vAlign w:val="bottom"/>
            <w:hideMark/>
          </w:tcPr>
          <w:p w14:paraId="2CDB0EAE" w14:textId="77777777" w:rsidR="000948D5" w:rsidRPr="000948D5" w:rsidRDefault="000948D5" w:rsidP="000948D5">
            <w:pPr>
              <w:spacing w:after="0" w:line="240" w:lineRule="auto"/>
              <w:rPr>
                <w:rFonts w:ascii="Calibri" w:eastAsia="Times New Roman" w:hAnsi="Calibri" w:cs="Calibri"/>
                <w:i/>
                <w:iCs/>
                <w:color w:val="000000"/>
                <w:sz w:val="28"/>
                <w:szCs w:val="28"/>
              </w:rPr>
            </w:pPr>
          </w:p>
        </w:tc>
        <w:tc>
          <w:tcPr>
            <w:tcW w:w="1831" w:type="dxa"/>
            <w:tcBorders>
              <w:top w:val="nil"/>
              <w:left w:val="nil"/>
              <w:bottom w:val="nil"/>
              <w:right w:val="nil"/>
            </w:tcBorders>
            <w:shd w:val="clear" w:color="auto" w:fill="auto"/>
            <w:noWrap/>
            <w:vAlign w:val="bottom"/>
            <w:hideMark/>
          </w:tcPr>
          <w:p w14:paraId="6ACEEA06" w14:textId="77777777" w:rsidR="000948D5" w:rsidRPr="000948D5" w:rsidRDefault="000948D5" w:rsidP="000948D5">
            <w:pPr>
              <w:spacing w:after="0" w:line="240" w:lineRule="auto"/>
              <w:rPr>
                <w:rFonts w:ascii="Times New Roman" w:eastAsia="Times New Roman" w:hAnsi="Times New Roman" w:cs="Times New Roman"/>
                <w:sz w:val="20"/>
                <w:szCs w:val="20"/>
              </w:rPr>
            </w:pPr>
          </w:p>
        </w:tc>
        <w:tc>
          <w:tcPr>
            <w:tcW w:w="1403" w:type="dxa"/>
            <w:tcBorders>
              <w:top w:val="nil"/>
              <w:left w:val="nil"/>
              <w:bottom w:val="nil"/>
              <w:right w:val="nil"/>
            </w:tcBorders>
            <w:shd w:val="clear" w:color="auto" w:fill="auto"/>
            <w:noWrap/>
            <w:vAlign w:val="bottom"/>
            <w:hideMark/>
          </w:tcPr>
          <w:p w14:paraId="1EF4C697" w14:textId="77777777" w:rsidR="000948D5" w:rsidRPr="000948D5" w:rsidRDefault="000948D5" w:rsidP="000948D5">
            <w:pPr>
              <w:spacing w:after="0" w:line="240" w:lineRule="auto"/>
              <w:rPr>
                <w:rFonts w:ascii="Times New Roman" w:eastAsia="Times New Roman" w:hAnsi="Times New Roman" w:cs="Times New Roman"/>
                <w:sz w:val="20"/>
                <w:szCs w:val="20"/>
              </w:rPr>
            </w:pPr>
          </w:p>
        </w:tc>
      </w:tr>
      <w:tr w:rsidR="000948D5" w:rsidRPr="000948D5" w14:paraId="69910505" w14:textId="77777777" w:rsidTr="0073353B">
        <w:trPr>
          <w:trHeight w:val="302"/>
        </w:trPr>
        <w:tc>
          <w:tcPr>
            <w:tcW w:w="291" w:type="dxa"/>
            <w:tcBorders>
              <w:top w:val="single" w:sz="8" w:space="0" w:color="auto"/>
              <w:left w:val="single" w:sz="8" w:space="0" w:color="auto"/>
              <w:bottom w:val="nil"/>
              <w:right w:val="nil"/>
            </w:tcBorders>
            <w:shd w:val="clear" w:color="auto" w:fill="auto"/>
            <w:noWrap/>
            <w:vAlign w:val="bottom"/>
            <w:hideMark/>
          </w:tcPr>
          <w:p w14:paraId="78C0CF20" w14:textId="77777777" w:rsidR="000948D5" w:rsidRPr="000948D5" w:rsidRDefault="000948D5" w:rsidP="000948D5">
            <w:pPr>
              <w:spacing w:after="0" w:line="240" w:lineRule="auto"/>
              <w:rPr>
                <w:rFonts w:ascii="Calibri" w:eastAsia="Times New Roman" w:hAnsi="Calibri" w:cs="Calibri"/>
                <w:color w:val="000000"/>
              </w:rPr>
            </w:pPr>
            <w:r w:rsidRPr="000948D5">
              <w:rPr>
                <w:rFonts w:ascii="Calibri" w:eastAsia="Times New Roman" w:hAnsi="Calibri" w:cs="Calibri"/>
                <w:color w:val="000000"/>
              </w:rPr>
              <w:t> </w:t>
            </w:r>
          </w:p>
        </w:tc>
        <w:tc>
          <w:tcPr>
            <w:tcW w:w="1551" w:type="dxa"/>
            <w:tcBorders>
              <w:top w:val="single" w:sz="8" w:space="0" w:color="auto"/>
              <w:left w:val="nil"/>
              <w:bottom w:val="nil"/>
              <w:right w:val="nil"/>
            </w:tcBorders>
            <w:shd w:val="clear" w:color="auto" w:fill="auto"/>
            <w:noWrap/>
            <w:vAlign w:val="bottom"/>
            <w:hideMark/>
          </w:tcPr>
          <w:p w14:paraId="17D70A12" w14:textId="77777777" w:rsidR="000948D5" w:rsidRPr="000948D5" w:rsidRDefault="000948D5" w:rsidP="000948D5">
            <w:pPr>
              <w:spacing w:after="0" w:line="240" w:lineRule="auto"/>
              <w:rPr>
                <w:rFonts w:ascii="Calibri" w:eastAsia="Times New Roman" w:hAnsi="Calibri" w:cs="Calibri"/>
                <w:color w:val="000000"/>
              </w:rPr>
            </w:pPr>
            <w:r w:rsidRPr="000948D5">
              <w:rPr>
                <w:rFonts w:ascii="Calibri" w:eastAsia="Times New Roman" w:hAnsi="Calibri" w:cs="Calibri"/>
                <w:color w:val="000000"/>
              </w:rPr>
              <w:t> </w:t>
            </w:r>
          </w:p>
        </w:tc>
        <w:tc>
          <w:tcPr>
            <w:tcW w:w="1301" w:type="dxa"/>
            <w:tcBorders>
              <w:top w:val="single" w:sz="8" w:space="0" w:color="auto"/>
              <w:left w:val="nil"/>
              <w:bottom w:val="nil"/>
              <w:right w:val="nil"/>
            </w:tcBorders>
            <w:shd w:val="clear" w:color="auto" w:fill="auto"/>
            <w:noWrap/>
            <w:vAlign w:val="bottom"/>
            <w:hideMark/>
          </w:tcPr>
          <w:p w14:paraId="2FAA095D" w14:textId="77777777" w:rsidR="000948D5" w:rsidRPr="000948D5" w:rsidRDefault="000948D5" w:rsidP="000948D5">
            <w:pPr>
              <w:spacing w:after="0" w:line="240" w:lineRule="auto"/>
              <w:rPr>
                <w:rFonts w:ascii="Calibri" w:eastAsia="Times New Roman" w:hAnsi="Calibri" w:cs="Calibri"/>
                <w:color w:val="000000"/>
              </w:rPr>
            </w:pPr>
            <w:r w:rsidRPr="000948D5">
              <w:rPr>
                <w:rFonts w:ascii="Calibri" w:eastAsia="Times New Roman" w:hAnsi="Calibri" w:cs="Calibri"/>
                <w:color w:val="000000"/>
              </w:rPr>
              <w:t> </w:t>
            </w:r>
          </w:p>
        </w:tc>
        <w:tc>
          <w:tcPr>
            <w:tcW w:w="2026" w:type="dxa"/>
            <w:tcBorders>
              <w:top w:val="single" w:sz="8" w:space="0" w:color="auto"/>
              <w:left w:val="nil"/>
              <w:bottom w:val="nil"/>
              <w:right w:val="nil"/>
            </w:tcBorders>
            <w:shd w:val="clear" w:color="auto" w:fill="auto"/>
            <w:noWrap/>
            <w:vAlign w:val="bottom"/>
            <w:hideMark/>
          </w:tcPr>
          <w:p w14:paraId="293610CC" w14:textId="77777777" w:rsidR="000948D5" w:rsidRPr="000948D5" w:rsidRDefault="000948D5" w:rsidP="000948D5">
            <w:pPr>
              <w:spacing w:after="0" w:line="240" w:lineRule="auto"/>
              <w:rPr>
                <w:rFonts w:ascii="Calibri" w:eastAsia="Times New Roman" w:hAnsi="Calibri" w:cs="Calibri"/>
                <w:color w:val="000000"/>
              </w:rPr>
            </w:pPr>
            <w:r w:rsidRPr="000948D5">
              <w:rPr>
                <w:rFonts w:ascii="Calibri" w:eastAsia="Times New Roman" w:hAnsi="Calibri" w:cs="Calibri"/>
                <w:color w:val="000000"/>
              </w:rPr>
              <w:t> </w:t>
            </w:r>
          </w:p>
        </w:tc>
        <w:tc>
          <w:tcPr>
            <w:tcW w:w="1884" w:type="dxa"/>
            <w:tcBorders>
              <w:top w:val="single" w:sz="8" w:space="0" w:color="auto"/>
              <w:left w:val="single" w:sz="4" w:space="0" w:color="auto"/>
              <w:bottom w:val="nil"/>
              <w:right w:val="single" w:sz="4" w:space="0" w:color="auto"/>
            </w:tcBorders>
            <w:shd w:val="clear" w:color="auto" w:fill="auto"/>
            <w:noWrap/>
            <w:vAlign w:val="bottom"/>
            <w:hideMark/>
          </w:tcPr>
          <w:p w14:paraId="1A2F3E0D" w14:textId="77777777" w:rsidR="000948D5" w:rsidRPr="000948D5" w:rsidRDefault="000948D5" w:rsidP="000948D5">
            <w:pPr>
              <w:spacing w:after="0" w:line="240" w:lineRule="auto"/>
              <w:jc w:val="center"/>
              <w:rPr>
                <w:rFonts w:ascii="Calibri" w:eastAsia="Times New Roman" w:hAnsi="Calibri" w:cs="Calibri"/>
                <w:color w:val="000000"/>
              </w:rPr>
            </w:pPr>
            <w:r w:rsidRPr="000948D5">
              <w:rPr>
                <w:rFonts w:ascii="Calibri" w:eastAsia="Times New Roman" w:hAnsi="Calibri" w:cs="Calibri"/>
                <w:color w:val="000000"/>
              </w:rPr>
              <w:t>Percent of</w:t>
            </w:r>
          </w:p>
        </w:tc>
        <w:tc>
          <w:tcPr>
            <w:tcW w:w="1831" w:type="dxa"/>
            <w:tcBorders>
              <w:top w:val="single" w:sz="8" w:space="0" w:color="auto"/>
              <w:left w:val="nil"/>
              <w:bottom w:val="nil"/>
              <w:right w:val="single" w:sz="4" w:space="0" w:color="auto"/>
            </w:tcBorders>
            <w:shd w:val="clear" w:color="auto" w:fill="auto"/>
            <w:noWrap/>
            <w:vAlign w:val="bottom"/>
            <w:hideMark/>
          </w:tcPr>
          <w:p w14:paraId="216C2755" w14:textId="77777777" w:rsidR="000948D5" w:rsidRPr="000948D5" w:rsidRDefault="000948D5" w:rsidP="000948D5">
            <w:pPr>
              <w:spacing w:after="0" w:line="240" w:lineRule="auto"/>
              <w:jc w:val="center"/>
              <w:rPr>
                <w:rFonts w:ascii="Calibri" w:eastAsia="Times New Roman" w:hAnsi="Calibri" w:cs="Calibri"/>
                <w:b/>
                <w:bCs/>
                <w:color w:val="000000"/>
              </w:rPr>
            </w:pPr>
            <w:r w:rsidRPr="000948D5">
              <w:rPr>
                <w:rFonts w:ascii="Calibri" w:eastAsia="Times New Roman" w:hAnsi="Calibri" w:cs="Calibri"/>
                <w:b/>
                <w:bCs/>
                <w:color w:val="000000"/>
              </w:rPr>
              <w:t xml:space="preserve">Short </w:t>
            </w:r>
          </w:p>
        </w:tc>
        <w:tc>
          <w:tcPr>
            <w:tcW w:w="1403" w:type="dxa"/>
            <w:tcBorders>
              <w:top w:val="single" w:sz="8" w:space="0" w:color="auto"/>
              <w:left w:val="nil"/>
              <w:bottom w:val="nil"/>
              <w:right w:val="single" w:sz="8" w:space="0" w:color="auto"/>
            </w:tcBorders>
            <w:shd w:val="clear" w:color="auto" w:fill="auto"/>
            <w:noWrap/>
            <w:vAlign w:val="bottom"/>
            <w:hideMark/>
          </w:tcPr>
          <w:p w14:paraId="4D2D9A9B" w14:textId="77777777" w:rsidR="000948D5" w:rsidRPr="000948D5" w:rsidRDefault="000948D5" w:rsidP="000948D5">
            <w:pPr>
              <w:spacing w:after="0" w:line="240" w:lineRule="auto"/>
              <w:rPr>
                <w:rFonts w:ascii="Calibri" w:eastAsia="Times New Roman" w:hAnsi="Calibri" w:cs="Calibri"/>
                <w:color w:val="000000"/>
              </w:rPr>
            </w:pPr>
            <w:r w:rsidRPr="000948D5">
              <w:rPr>
                <w:rFonts w:ascii="Calibri" w:eastAsia="Times New Roman" w:hAnsi="Calibri" w:cs="Calibri"/>
                <w:color w:val="000000"/>
              </w:rPr>
              <w:t> </w:t>
            </w:r>
          </w:p>
        </w:tc>
      </w:tr>
      <w:tr w:rsidR="000948D5" w:rsidRPr="000948D5" w14:paraId="1000C12C" w14:textId="77777777" w:rsidTr="0073353B">
        <w:trPr>
          <w:trHeight w:val="362"/>
        </w:trPr>
        <w:tc>
          <w:tcPr>
            <w:tcW w:w="291" w:type="dxa"/>
            <w:tcBorders>
              <w:top w:val="nil"/>
              <w:left w:val="single" w:sz="8" w:space="0" w:color="auto"/>
              <w:bottom w:val="nil"/>
              <w:right w:val="nil"/>
            </w:tcBorders>
            <w:shd w:val="clear" w:color="auto" w:fill="auto"/>
            <w:noWrap/>
            <w:vAlign w:val="bottom"/>
            <w:hideMark/>
          </w:tcPr>
          <w:p w14:paraId="7B7A936A" w14:textId="77777777" w:rsidR="000948D5" w:rsidRPr="000948D5" w:rsidRDefault="000948D5" w:rsidP="000948D5">
            <w:pPr>
              <w:spacing w:after="0" w:line="240" w:lineRule="auto"/>
              <w:rPr>
                <w:rFonts w:ascii="Calibri" w:eastAsia="Times New Roman" w:hAnsi="Calibri" w:cs="Calibri"/>
                <w:color w:val="000000"/>
              </w:rPr>
            </w:pPr>
            <w:r w:rsidRPr="000948D5">
              <w:rPr>
                <w:rFonts w:ascii="Calibri" w:eastAsia="Times New Roman" w:hAnsi="Calibri" w:cs="Calibri"/>
                <w:color w:val="000000"/>
              </w:rPr>
              <w:t> </w:t>
            </w:r>
          </w:p>
        </w:tc>
        <w:tc>
          <w:tcPr>
            <w:tcW w:w="1551" w:type="dxa"/>
            <w:tcBorders>
              <w:top w:val="nil"/>
              <w:left w:val="nil"/>
              <w:bottom w:val="nil"/>
              <w:right w:val="nil"/>
            </w:tcBorders>
            <w:shd w:val="clear" w:color="auto" w:fill="auto"/>
            <w:noWrap/>
            <w:vAlign w:val="bottom"/>
            <w:hideMark/>
          </w:tcPr>
          <w:p w14:paraId="28763A5A" w14:textId="77777777" w:rsidR="000948D5" w:rsidRPr="000948D5" w:rsidRDefault="000948D5" w:rsidP="000948D5">
            <w:pPr>
              <w:spacing w:after="0" w:line="240" w:lineRule="auto"/>
              <w:rPr>
                <w:rFonts w:ascii="Calibri" w:eastAsia="Times New Roman" w:hAnsi="Calibri" w:cs="Calibri"/>
                <w:color w:val="000000"/>
              </w:rPr>
            </w:pPr>
          </w:p>
        </w:tc>
        <w:tc>
          <w:tcPr>
            <w:tcW w:w="1301" w:type="dxa"/>
            <w:tcBorders>
              <w:top w:val="nil"/>
              <w:left w:val="nil"/>
              <w:bottom w:val="nil"/>
              <w:right w:val="nil"/>
            </w:tcBorders>
            <w:shd w:val="clear" w:color="auto" w:fill="auto"/>
            <w:noWrap/>
            <w:vAlign w:val="bottom"/>
            <w:hideMark/>
          </w:tcPr>
          <w:p w14:paraId="5AA95773" w14:textId="77777777" w:rsidR="000948D5" w:rsidRPr="000948D5" w:rsidRDefault="000948D5" w:rsidP="000948D5">
            <w:pPr>
              <w:spacing w:after="0" w:line="240" w:lineRule="auto"/>
              <w:rPr>
                <w:rFonts w:ascii="Times New Roman" w:eastAsia="Times New Roman" w:hAnsi="Times New Roman" w:cs="Times New Roman"/>
                <w:sz w:val="20"/>
                <w:szCs w:val="20"/>
              </w:rPr>
            </w:pPr>
          </w:p>
        </w:tc>
        <w:tc>
          <w:tcPr>
            <w:tcW w:w="2026" w:type="dxa"/>
            <w:tcBorders>
              <w:top w:val="single" w:sz="4" w:space="0" w:color="auto"/>
              <w:left w:val="single" w:sz="4" w:space="0" w:color="auto"/>
              <w:bottom w:val="single" w:sz="4" w:space="0" w:color="auto"/>
              <w:right w:val="nil"/>
            </w:tcBorders>
            <w:shd w:val="clear" w:color="auto" w:fill="auto"/>
            <w:noWrap/>
            <w:vAlign w:val="bottom"/>
            <w:hideMark/>
          </w:tcPr>
          <w:p w14:paraId="2D8CBEEE" w14:textId="77777777" w:rsidR="000948D5" w:rsidRPr="000948D5" w:rsidRDefault="000948D5" w:rsidP="000948D5">
            <w:pPr>
              <w:spacing w:after="0" w:line="240" w:lineRule="auto"/>
              <w:jc w:val="center"/>
              <w:rPr>
                <w:rFonts w:ascii="Calibri" w:eastAsia="Times New Roman" w:hAnsi="Calibri" w:cs="Calibri"/>
                <w:color w:val="000000"/>
              </w:rPr>
            </w:pPr>
            <w:r w:rsidRPr="000948D5">
              <w:rPr>
                <w:rFonts w:ascii="Calibri" w:eastAsia="Times New Roman" w:hAnsi="Calibri" w:cs="Calibri"/>
                <w:color w:val="000000"/>
              </w:rPr>
              <w:t>Busbar MWh</w:t>
            </w:r>
          </w:p>
        </w:tc>
        <w:tc>
          <w:tcPr>
            <w:tcW w:w="1884" w:type="dxa"/>
            <w:tcBorders>
              <w:top w:val="nil"/>
              <w:left w:val="single" w:sz="4" w:space="0" w:color="auto"/>
              <w:bottom w:val="single" w:sz="4" w:space="0" w:color="auto"/>
              <w:right w:val="single" w:sz="4" w:space="0" w:color="auto"/>
            </w:tcBorders>
            <w:shd w:val="clear" w:color="auto" w:fill="auto"/>
            <w:noWrap/>
            <w:vAlign w:val="bottom"/>
            <w:hideMark/>
          </w:tcPr>
          <w:p w14:paraId="0B85765F" w14:textId="77777777" w:rsidR="000948D5" w:rsidRPr="000948D5" w:rsidRDefault="000948D5" w:rsidP="000948D5">
            <w:pPr>
              <w:spacing w:after="0" w:line="240" w:lineRule="auto"/>
              <w:jc w:val="center"/>
              <w:rPr>
                <w:rFonts w:ascii="Calibri" w:eastAsia="Times New Roman" w:hAnsi="Calibri" w:cs="Calibri"/>
                <w:color w:val="000000"/>
              </w:rPr>
            </w:pPr>
            <w:r w:rsidRPr="000948D5">
              <w:rPr>
                <w:rFonts w:ascii="Calibri" w:eastAsia="Times New Roman" w:hAnsi="Calibri" w:cs="Calibri"/>
                <w:color w:val="000000"/>
              </w:rPr>
              <w:t>Total Load</w:t>
            </w:r>
          </w:p>
        </w:tc>
        <w:tc>
          <w:tcPr>
            <w:tcW w:w="1831" w:type="dxa"/>
            <w:tcBorders>
              <w:top w:val="nil"/>
              <w:left w:val="nil"/>
              <w:bottom w:val="single" w:sz="4" w:space="0" w:color="auto"/>
              <w:right w:val="single" w:sz="4" w:space="0" w:color="auto"/>
            </w:tcBorders>
            <w:shd w:val="clear" w:color="auto" w:fill="auto"/>
            <w:noWrap/>
            <w:vAlign w:val="bottom"/>
            <w:hideMark/>
          </w:tcPr>
          <w:p w14:paraId="1A1AE00C" w14:textId="77777777" w:rsidR="000948D5" w:rsidRPr="000948D5" w:rsidRDefault="000948D5" w:rsidP="000948D5">
            <w:pPr>
              <w:spacing w:after="0" w:line="240" w:lineRule="auto"/>
              <w:jc w:val="center"/>
              <w:rPr>
                <w:rFonts w:ascii="Calibri" w:eastAsia="Times New Roman" w:hAnsi="Calibri" w:cs="Calibri"/>
                <w:b/>
                <w:bCs/>
                <w:color w:val="000000"/>
              </w:rPr>
            </w:pPr>
            <w:r w:rsidRPr="000948D5">
              <w:rPr>
                <w:rFonts w:ascii="Calibri" w:eastAsia="Times New Roman" w:hAnsi="Calibri" w:cs="Calibri"/>
                <w:b/>
                <w:bCs/>
                <w:color w:val="000000"/>
              </w:rPr>
              <w:t>Tons CO</w:t>
            </w:r>
            <w:r w:rsidRPr="000948D5">
              <w:rPr>
                <w:rFonts w:ascii="Calibri" w:eastAsia="Times New Roman" w:hAnsi="Calibri" w:cs="Calibri"/>
                <w:b/>
                <w:bCs/>
                <w:color w:val="000000"/>
                <w:vertAlign w:val="subscript"/>
              </w:rPr>
              <w:t>2</w:t>
            </w:r>
          </w:p>
        </w:tc>
        <w:tc>
          <w:tcPr>
            <w:tcW w:w="1403" w:type="dxa"/>
            <w:tcBorders>
              <w:top w:val="nil"/>
              <w:left w:val="nil"/>
              <w:bottom w:val="nil"/>
              <w:right w:val="single" w:sz="8" w:space="0" w:color="auto"/>
            </w:tcBorders>
            <w:shd w:val="clear" w:color="auto" w:fill="auto"/>
            <w:noWrap/>
            <w:vAlign w:val="bottom"/>
            <w:hideMark/>
          </w:tcPr>
          <w:p w14:paraId="1411F56B" w14:textId="77777777" w:rsidR="000948D5" w:rsidRPr="000948D5" w:rsidRDefault="000948D5" w:rsidP="000948D5">
            <w:pPr>
              <w:spacing w:after="0" w:line="240" w:lineRule="auto"/>
              <w:rPr>
                <w:rFonts w:ascii="Calibri" w:eastAsia="Times New Roman" w:hAnsi="Calibri" w:cs="Calibri"/>
                <w:color w:val="000000"/>
              </w:rPr>
            </w:pPr>
            <w:r w:rsidRPr="000948D5">
              <w:rPr>
                <w:rFonts w:ascii="Calibri" w:eastAsia="Times New Roman" w:hAnsi="Calibri" w:cs="Calibri"/>
                <w:color w:val="000000"/>
              </w:rPr>
              <w:t> </w:t>
            </w:r>
          </w:p>
        </w:tc>
      </w:tr>
      <w:tr w:rsidR="000948D5" w:rsidRPr="000948D5" w14:paraId="146387DC" w14:textId="77777777" w:rsidTr="0073353B">
        <w:trPr>
          <w:trHeight w:val="317"/>
        </w:trPr>
        <w:tc>
          <w:tcPr>
            <w:tcW w:w="3144"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7FF6A69" w14:textId="77777777" w:rsidR="000948D5" w:rsidRPr="000948D5" w:rsidRDefault="000948D5" w:rsidP="000948D5">
            <w:pPr>
              <w:spacing w:after="0" w:line="240" w:lineRule="auto"/>
              <w:jc w:val="center"/>
              <w:rPr>
                <w:rFonts w:ascii="Calibri" w:eastAsia="Times New Roman" w:hAnsi="Calibri" w:cs="Calibri"/>
                <w:color w:val="000000"/>
              </w:rPr>
            </w:pPr>
            <w:r w:rsidRPr="000948D5">
              <w:rPr>
                <w:rFonts w:ascii="Calibri" w:eastAsia="Times New Roman" w:hAnsi="Calibri" w:cs="Calibri"/>
                <w:color w:val="000000"/>
              </w:rPr>
              <w:t>Known Resources Serving WA</w:t>
            </w:r>
          </w:p>
        </w:tc>
        <w:tc>
          <w:tcPr>
            <w:tcW w:w="2026" w:type="dxa"/>
            <w:tcBorders>
              <w:top w:val="nil"/>
              <w:left w:val="nil"/>
              <w:bottom w:val="single" w:sz="4" w:space="0" w:color="auto"/>
              <w:right w:val="single" w:sz="4" w:space="0" w:color="auto"/>
            </w:tcBorders>
            <w:shd w:val="clear" w:color="auto" w:fill="auto"/>
            <w:noWrap/>
            <w:vAlign w:val="bottom"/>
            <w:hideMark/>
          </w:tcPr>
          <w:p w14:paraId="6CA2052D" w14:textId="77777777" w:rsidR="000948D5" w:rsidRPr="000948D5" w:rsidRDefault="000948D5" w:rsidP="000948D5">
            <w:pPr>
              <w:spacing w:after="0" w:line="240" w:lineRule="auto"/>
              <w:rPr>
                <w:rFonts w:ascii="Calibri" w:eastAsia="Times New Roman" w:hAnsi="Calibri" w:cs="Calibri"/>
                <w:color w:val="000000"/>
              </w:rPr>
            </w:pPr>
            <w:r w:rsidRPr="000948D5">
              <w:rPr>
                <w:rFonts w:ascii="Calibri" w:eastAsia="Times New Roman" w:hAnsi="Calibri" w:cs="Calibri"/>
                <w:color w:val="000000"/>
              </w:rPr>
              <w:t xml:space="preserve">            17,864,735 </w:t>
            </w:r>
          </w:p>
        </w:tc>
        <w:tc>
          <w:tcPr>
            <w:tcW w:w="1884" w:type="dxa"/>
            <w:tcBorders>
              <w:top w:val="nil"/>
              <w:left w:val="nil"/>
              <w:bottom w:val="single" w:sz="4" w:space="0" w:color="auto"/>
              <w:right w:val="single" w:sz="4" w:space="0" w:color="auto"/>
            </w:tcBorders>
            <w:shd w:val="clear" w:color="auto" w:fill="auto"/>
            <w:noWrap/>
            <w:vAlign w:val="bottom"/>
            <w:hideMark/>
          </w:tcPr>
          <w:p w14:paraId="1EAD70AF" w14:textId="77777777" w:rsidR="000948D5" w:rsidRPr="000948D5" w:rsidRDefault="000948D5" w:rsidP="000948D5">
            <w:pPr>
              <w:spacing w:after="0" w:line="240" w:lineRule="auto"/>
              <w:jc w:val="center"/>
              <w:rPr>
                <w:rFonts w:ascii="Calibri" w:eastAsia="Times New Roman" w:hAnsi="Calibri" w:cs="Calibri"/>
                <w:color w:val="000000"/>
              </w:rPr>
            </w:pPr>
            <w:r w:rsidRPr="000948D5">
              <w:rPr>
                <w:rFonts w:ascii="Calibri" w:eastAsia="Times New Roman" w:hAnsi="Calibri" w:cs="Calibri"/>
                <w:color w:val="000000"/>
              </w:rPr>
              <w:t>95.8%</w:t>
            </w:r>
          </w:p>
        </w:tc>
        <w:tc>
          <w:tcPr>
            <w:tcW w:w="1831" w:type="dxa"/>
            <w:tcBorders>
              <w:top w:val="nil"/>
              <w:left w:val="nil"/>
              <w:bottom w:val="single" w:sz="4" w:space="0" w:color="auto"/>
              <w:right w:val="single" w:sz="4" w:space="0" w:color="auto"/>
            </w:tcBorders>
            <w:shd w:val="clear" w:color="auto" w:fill="auto"/>
            <w:noWrap/>
            <w:vAlign w:val="bottom"/>
            <w:hideMark/>
          </w:tcPr>
          <w:p w14:paraId="7EC89B40" w14:textId="77777777" w:rsidR="000948D5" w:rsidRPr="000948D5" w:rsidRDefault="000948D5" w:rsidP="000948D5">
            <w:pPr>
              <w:spacing w:after="0" w:line="240" w:lineRule="auto"/>
              <w:rPr>
                <w:rFonts w:ascii="Calibri" w:eastAsia="Times New Roman" w:hAnsi="Calibri" w:cs="Calibri"/>
                <w:color w:val="000000"/>
              </w:rPr>
            </w:pPr>
            <w:r w:rsidRPr="000948D5">
              <w:rPr>
                <w:rFonts w:ascii="Calibri" w:eastAsia="Times New Roman" w:hAnsi="Calibri" w:cs="Calibri"/>
                <w:color w:val="000000"/>
              </w:rPr>
              <w:t xml:space="preserve">       3,007,133 </w:t>
            </w:r>
          </w:p>
        </w:tc>
        <w:tc>
          <w:tcPr>
            <w:tcW w:w="1403" w:type="dxa"/>
            <w:tcBorders>
              <w:top w:val="nil"/>
              <w:left w:val="nil"/>
              <w:bottom w:val="nil"/>
              <w:right w:val="single" w:sz="8" w:space="0" w:color="auto"/>
            </w:tcBorders>
            <w:shd w:val="clear" w:color="auto" w:fill="auto"/>
            <w:noWrap/>
            <w:vAlign w:val="bottom"/>
            <w:hideMark/>
          </w:tcPr>
          <w:p w14:paraId="70F8D07F" w14:textId="77777777" w:rsidR="000948D5" w:rsidRPr="000948D5" w:rsidRDefault="000948D5" w:rsidP="000948D5">
            <w:pPr>
              <w:spacing w:after="0" w:line="240" w:lineRule="auto"/>
              <w:rPr>
                <w:rFonts w:ascii="Calibri" w:eastAsia="Times New Roman" w:hAnsi="Calibri" w:cs="Calibri"/>
                <w:color w:val="000000"/>
              </w:rPr>
            </w:pPr>
            <w:r w:rsidRPr="000948D5">
              <w:rPr>
                <w:rFonts w:ascii="Calibri" w:eastAsia="Times New Roman" w:hAnsi="Calibri" w:cs="Calibri"/>
                <w:color w:val="000000"/>
              </w:rPr>
              <w:t> </w:t>
            </w:r>
          </w:p>
        </w:tc>
      </w:tr>
      <w:tr w:rsidR="000948D5" w:rsidRPr="000948D5" w14:paraId="7F5E238E" w14:textId="77777777" w:rsidTr="0073353B">
        <w:trPr>
          <w:trHeight w:val="362"/>
        </w:trPr>
        <w:tc>
          <w:tcPr>
            <w:tcW w:w="3144"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95FAFCE" w14:textId="77777777" w:rsidR="000948D5" w:rsidRPr="000948D5" w:rsidRDefault="000948D5" w:rsidP="000948D5">
            <w:pPr>
              <w:spacing w:after="0" w:line="240" w:lineRule="auto"/>
              <w:jc w:val="center"/>
              <w:rPr>
                <w:rFonts w:ascii="Calibri" w:eastAsia="Times New Roman" w:hAnsi="Calibri" w:cs="Calibri"/>
                <w:color w:val="000000"/>
              </w:rPr>
            </w:pPr>
            <w:r w:rsidRPr="000948D5">
              <w:rPr>
                <w:rFonts w:ascii="Calibri" w:eastAsia="Times New Roman" w:hAnsi="Calibri" w:cs="Calibri"/>
                <w:color w:val="000000"/>
              </w:rPr>
              <w:t>Unknown Resources Serving WA</w:t>
            </w:r>
          </w:p>
        </w:tc>
        <w:tc>
          <w:tcPr>
            <w:tcW w:w="2026" w:type="dxa"/>
            <w:tcBorders>
              <w:top w:val="nil"/>
              <w:left w:val="nil"/>
              <w:bottom w:val="single" w:sz="4" w:space="0" w:color="auto"/>
              <w:right w:val="single" w:sz="4" w:space="0" w:color="auto"/>
            </w:tcBorders>
            <w:shd w:val="clear" w:color="auto" w:fill="auto"/>
            <w:noWrap/>
            <w:vAlign w:val="bottom"/>
            <w:hideMark/>
          </w:tcPr>
          <w:p w14:paraId="76E8441B" w14:textId="77777777" w:rsidR="000948D5" w:rsidRPr="000948D5" w:rsidRDefault="000948D5" w:rsidP="000948D5">
            <w:pPr>
              <w:spacing w:after="0" w:line="240" w:lineRule="auto"/>
              <w:rPr>
                <w:rFonts w:ascii="Calibri" w:eastAsia="Times New Roman" w:hAnsi="Calibri" w:cs="Calibri"/>
                <w:b/>
                <w:bCs/>
                <w:color w:val="000000"/>
              </w:rPr>
            </w:pPr>
            <w:r w:rsidRPr="000948D5">
              <w:rPr>
                <w:rFonts w:ascii="Calibri" w:eastAsia="Times New Roman" w:hAnsi="Calibri" w:cs="Calibri"/>
                <w:b/>
                <w:bCs/>
                <w:color w:val="000000"/>
              </w:rPr>
              <w:t xml:space="preserve">                  788,297 </w:t>
            </w:r>
          </w:p>
        </w:tc>
        <w:tc>
          <w:tcPr>
            <w:tcW w:w="1884" w:type="dxa"/>
            <w:tcBorders>
              <w:top w:val="nil"/>
              <w:left w:val="nil"/>
              <w:bottom w:val="single" w:sz="4" w:space="0" w:color="auto"/>
              <w:right w:val="single" w:sz="4" w:space="0" w:color="auto"/>
            </w:tcBorders>
            <w:shd w:val="clear" w:color="auto" w:fill="auto"/>
            <w:noWrap/>
            <w:vAlign w:val="bottom"/>
            <w:hideMark/>
          </w:tcPr>
          <w:p w14:paraId="4789AA95" w14:textId="77777777" w:rsidR="000948D5" w:rsidRPr="000948D5" w:rsidRDefault="000948D5" w:rsidP="000948D5">
            <w:pPr>
              <w:spacing w:after="0" w:line="240" w:lineRule="auto"/>
              <w:jc w:val="center"/>
              <w:rPr>
                <w:rFonts w:ascii="Calibri" w:eastAsia="Times New Roman" w:hAnsi="Calibri" w:cs="Calibri"/>
                <w:b/>
                <w:bCs/>
                <w:color w:val="000000"/>
              </w:rPr>
            </w:pPr>
            <w:r w:rsidRPr="000948D5">
              <w:rPr>
                <w:rFonts w:ascii="Calibri" w:eastAsia="Times New Roman" w:hAnsi="Calibri" w:cs="Calibri"/>
                <w:b/>
                <w:bCs/>
                <w:color w:val="000000"/>
              </w:rPr>
              <w:t>4.2%</w:t>
            </w:r>
          </w:p>
        </w:tc>
        <w:tc>
          <w:tcPr>
            <w:tcW w:w="1831" w:type="dxa"/>
            <w:tcBorders>
              <w:top w:val="nil"/>
              <w:left w:val="nil"/>
              <w:bottom w:val="single" w:sz="4" w:space="0" w:color="auto"/>
              <w:right w:val="nil"/>
            </w:tcBorders>
            <w:shd w:val="clear" w:color="auto" w:fill="auto"/>
            <w:noWrap/>
            <w:vAlign w:val="bottom"/>
            <w:hideMark/>
          </w:tcPr>
          <w:p w14:paraId="0761E9D4" w14:textId="77777777" w:rsidR="000948D5" w:rsidRPr="000948D5" w:rsidRDefault="000948D5" w:rsidP="000948D5">
            <w:pPr>
              <w:spacing w:after="0" w:line="240" w:lineRule="auto"/>
              <w:rPr>
                <w:rFonts w:ascii="Calibri" w:eastAsia="Times New Roman" w:hAnsi="Calibri" w:cs="Calibri"/>
                <w:b/>
                <w:bCs/>
                <w:color w:val="000000"/>
              </w:rPr>
            </w:pPr>
            <w:r w:rsidRPr="000948D5">
              <w:rPr>
                <w:rFonts w:ascii="Calibri" w:eastAsia="Times New Roman" w:hAnsi="Calibri" w:cs="Calibri"/>
                <w:b/>
                <w:bCs/>
                <w:color w:val="000000"/>
              </w:rPr>
              <w:t xml:space="preserve">           274,327 </w:t>
            </w:r>
          </w:p>
        </w:tc>
        <w:tc>
          <w:tcPr>
            <w:tcW w:w="140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254195F" w14:textId="77777777" w:rsidR="000948D5" w:rsidRPr="000948D5" w:rsidRDefault="000948D5" w:rsidP="000948D5">
            <w:pPr>
              <w:spacing w:after="0" w:line="240" w:lineRule="auto"/>
              <w:jc w:val="center"/>
              <w:rPr>
                <w:rFonts w:ascii="Calibri" w:eastAsia="Times New Roman" w:hAnsi="Calibri" w:cs="Calibri"/>
                <w:b/>
                <w:bCs/>
                <w:color w:val="000000"/>
              </w:rPr>
            </w:pPr>
            <w:r w:rsidRPr="000948D5">
              <w:rPr>
                <w:rFonts w:ascii="Calibri" w:eastAsia="Times New Roman" w:hAnsi="Calibri" w:cs="Calibri"/>
                <w:b/>
                <w:bCs/>
                <w:color w:val="000000"/>
              </w:rPr>
              <w:t>% of 1990 CO</w:t>
            </w:r>
            <w:r w:rsidRPr="000948D5">
              <w:rPr>
                <w:rFonts w:ascii="Calibri" w:eastAsia="Times New Roman" w:hAnsi="Calibri" w:cs="Calibri"/>
                <w:b/>
                <w:bCs/>
                <w:color w:val="000000"/>
                <w:vertAlign w:val="subscript"/>
              </w:rPr>
              <w:t>2</w:t>
            </w:r>
          </w:p>
        </w:tc>
      </w:tr>
      <w:tr w:rsidR="000948D5" w:rsidRPr="000948D5" w14:paraId="24C80B84" w14:textId="77777777" w:rsidTr="0073353B">
        <w:trPr>
          <w:trHeight w:val="377"/>
        </w:trPr>
        <w:tc>
          <w:tcPr>
            <w:tcW w:w="291" w:type="dxa"/>
            <w:tcBorders>
              <w:top w:val="nil"/>
              <w:left w:val="single" w:sz="8" w:space="0" w:color="auto"/>
              <w:bottom w:val="single" w:sz="8" w:space="0" w:color="auto"/>
              <w:right w:val="nil"/>
            </w:tcBorders>
            <w:shd w:val="clear" w:color="auto" w:fill="auto"/>
            <w:noWrap/>
            <w:vAlign w:val="bottom"/>
            <w:hideMark/>
          </w:tcPr>
          <w:p w14:paraId="5986FAD1" w14:textId="77777777" w:rsidR="000948D5" w:rsidRPr="000948D5" w:rsidRDefault="000948D5" w:rsidP="000948D5">
            <w:pPr>
              <w:spacing w:after="0" w:line="240" w:lineRule="auto"/>
              <w:rPr>
                <w:rFonts w:ascii="Calibri" w:eastAsia="Times New Roman" w:hAnsi="Calibri" w:cs="Calibri"/>
                <w:color w:val="000000"/>
              </w:rPr>
            </w:pPr>
            <w:r w:rsidRPr="000948D5">
              <w:rPr>
                <w:rFonts w:ascii="Calibri" w:eastAsia="Times New Roman" w:hAnsi="Calibri" w:cs="Calibri"/>
                <w:color w:val="000000"/>
              </w:rPr>
              <w:t> </w:t>
            </w:r>
          </w:p>
        </w:tc>
        <w:tc>
          <w:tcPr>
            <w:tcW w:w="1551" w:type="dxa"/>
            <w:tcBorders>
              <w:top w:val="nil"/>
              <w:left w:val="nil"/>
              <w:bottom w:val="single" w:sz="8" w:space="0" w:color="auto"/>
              <w:right w:val="nil"/>
            </w:tcBorders>
            <w:shd w:val="clear" w:color="auto" w:fill="auto"/>
            <w:noWrap/>
            <w:vAlign w:val="bottom"/>
            <w:hideMark/>
          </w:tcPr>
          <w:p w14:paraId="2A51040F" w14:textId="77777777" w:rsidR="000948D5" w:rsidRPr="000948D5" w:rsidRDefault="000948D5" w:rsidP="000948D5">
            <w:pPr>
              <w:spacing w:after="0" w:line="240" w:lineRule="auto"/>
              <w:rPr>
                <w:rFonts w:ascii="Calibri" w:eastAsia="Times New Roman" w:hAnsi="Calibri" w:cs="Calibri"/>
                <w:color w:val="000000"/>
              </w:rPr>
            </w:pPr>
            <w:r w:rsidRPr="000948D5">
              <w:rPr>
                <w:rFonts w:ascii="Calibri" w:eastAsia="Times New Roman" w:hAnsi="Calibri" w:cs="Calibri"/>
                <w:color w:val="000000"/>
              </w:rPr>
              <w:t> </w:t>
            </w:r>
          </w:p>
        </w:tc>
        <w:tc>
          <w:tcPr>
            <w:tcW w:w="1301" w:type="dxa"/>
            <w:tcBorders>
              <w:top w:val="nil"/>
              <w:left w:val="nil"/>
              <w:bottom w:val="single" w:sz="8" w:space="0" w:color="auto"/>
              <w:right w:val="nil"/>
            </w:tcBorders>
            <w:shd w:val="clear" w:color="auto" w:fill="auto"/>
            <w:noWrap/>
            <w:vAlign w:val="bottom"/>
            <w:hideMark/>
          </w:tcPr>
          <w:p w14:paraId="01158F04" w14:textId="77777777" w:rsidR="000948D5" w:rsidRPr="000948D5" w:rsidRDefault="000948D5" w:rsidP="000948D5">
            <w:pPr>
              <w:spacing w:after="0" w:line="240" w:lineRule="auto"/>
              <w:rPr>
                <w:rFonts w:ascii="Calibri" w:eastAsia="Times New Roman" w:hAnsi="Calibri" w:cs="Calibri"/>
                <w:color w:val="000000"/>
              </w:rPr>
            </w:pPr>
            <w:r w:rsidRPr="000948D5">
              <w:rPr>
                <w:rFonts w:ascii="Calibri" w:eastAsia="Times New Roman" w:hAnsi="Calibri" w:cs="Calibri"/>
                <w:color w:val="000000"/>
              </w:rPr>
              <w:t> </w:t>
            </w:r>
          </w:p>
        </w:tc>
        <w:tc>
          <w:tcPr>
            <w:tcW w:w="2026" w:type="dxa"/>
            <w:tcBorders>
              <w:top w:val="nil"/>
              <w:left w:val="single" w:sz="4" w:space="0" w:color="auto"/>
              <w:bottom w:val="single" w:sz="8" w:space="0" w:color="auto"/>
              <w:right w:val="nil"/>
            </w:tcBorders>
            <w:shd w:val="clear" w:color="auto" w:fill="auto"/>
            <w:noWrap/>
            <w:vAlign w:val="bottom"/>
            <w:hideMark/>
          </w:tcPr>
          <w:p w14:paraId="331C3E95" w14:textId="77777777" w:rsidR="000948D5" w:rsidRPr="000948D5" w:rsidRDefault="000948D5" w:rsidP="000948D5">
            <w:pPr>
              <w:spacing w:after="0" w:line="240" w:lineRule="auto"/>
              <w:jc w:val="right"/>
              <w:rPr>
                <w:rFonts w:ascii="Calibri" w:eastAsia="Times New Roman" w:hAnsi="Calibri" w:cs="Calibri"/>
                <w:color w:val="000000"/>
              </w:rPr>
            </w:pPr>
            <w:r w:rsidRPr="000948D5">
              <w:rPr>
                <w:rFonts w:ascii="Calibri" w:eastAsia="Times New Roman" w:hAnsi="Calibri" w:cs="Calibri"/>
                <w:color w:val="000000"/>
              </w:rPr>
              <w:t>2015</w:t>
            </w:r>
          </w:p>
        </w:tc>
        <w:tc>
          <w:tcPr>
            <w:tcW w:w="1884" w:type="dxa"/>
            <w:tcBorders>
              <w:top w:val="nil"/>
              <w:left w:val="nil"/>
              <w:bottom w:val="single" w:sz="8" w:space="0" w:color="auto"/>
              <w:right w:val="nil"/>
            </w:tcBorders>
            <w:shd w:val="clear" w:color="auto" w:fill="auto"/>
            <w:noWrap/>
            <w:vAlign w:val="bottom"/>
            <w:hideMark/>
          </w:tcPr>
          <w:p w14:paraId="5D99A176" w14:textId="77777777" w:rsidR="000948D5" w:rsidRPr="000948D5" w:rsidRDefault="000948D5" w:rsidP="000948D5">
            <w:pPr>
              <w:spacing w:after="0" w:line="240" w:lineRule="auto"/>
              <w:rPr>
                <w:rFonts w:ascii="Calibri" w:eastAsia="Times New Roman" w:hAnsi="Calibri" w:cs="Calibri"/>
                <w:color w:val="000000"/>
              </w:rPr>
            </w:pPr>
            <w:r w:rsidRPr="000948D5">
              <w:rPr>
                <w:rFonts w:ascii="Calibri" w:eastAsia="Times New Roman" w:hAnsi="Calibri" w:cs="Calibri"/>
                <w:color w:val="000000"/>
              </w:rPr>
              <w:t>Tons CO</w:t>
            </w:r>
            <w:r w:rsidRPr="000948D5">
              <w:rPr>
                <w:rFonts w:ascii="Calibri" w:eastAsia="Times New Roman" w:hAnsi="Calibri" w:cs="Calibri"/>
                <w:color w:val="000000"/>
                <w:vertAlign w:val="subscript"/>
              </w:rPr>
              <w:t>2</w:t>
            </w:r>
          </w:p>
        </w:tc>
        <w:tc>
          <w:tcPr>
            <w:tcW w:w="1831" w:type="dxa"/>
            <w:tcBorders>
              <w:top w:val="nil"/>
              <w:left w:val="single" w:sz="4" w:space="0" w:color="auto"/>
              <w:bottom w:val="single" w:sz="8" w:space="0" w:color="auto"/>
              <w:right w:val="nil"/>
            </w:tcBorders>
            <w:shd w:val="clear" w:color="auto" w:fill="auto"/>
            <w:noWrap/>
            <w:vAlign w:val="bottom"/>
            <w:hideMark/>
          </w:tcPr>
          <w:p w14:paraId="69D40E35" w14:textId="77777777" w:rsidR="000948D5" w:rsidRPr="000948D5" w:rsidRDefault="000948D5" w:rsidP="000948D5">
            <w:pPr>
              <w:spacing w:after="0" w:line="240" w:lineRule="auto"/>
              <w:rPr>
                <w:rFonts w:ascii="Calibri" w:eastAsia="Times New Roman" w:hAnsi="Calibri" w:cs="Calibri"/>
                <w:b/>
                <w:bCs/>
                <w:color w:val="000000"/>
              </w:rPr>
            </w:pPr>
            <w:r w:rsidRPr="000948D5">
              <w:rPr>
                <w:rFonts w:ascii="Calibri" w:eastAsia="Times New Roman" w:hAnsi="Calibri" w:cs="Calibri"/>
                <w:b/>
                <w:bCs/>
                <w:color w:val="000000"/>
              </w:rPr>
              <w:t xml:space="preserve">       3,281,460 </w:t>
            </w:r>
          </w:p>
        </w:tc>
        <w:tc>
          <w:tcPr>
            <w:tcW w:w="1403" w:type="dxa"/>
            <w:tcBorders>
              <w:top w:val="nil"/>
              <w:left w:val="single" w:sz="8" w:space="0" w:color="auto"/>
              <w:bottom w:val="single" w:sz="8" w:space="0" w:color="auto"/>
              <w:right w:val="single" w:sz="8" w:space="0" w:color="auto"/>
            </w:tcBorders>
            <w:shd w:val="clear" w:color="auto" w:fill="auto"/>
            <w:noWrap/>
            <w:vAlign w:val="bottom"/>
            <w:hideMark/>
          </w:tcPr>
          <w:p w14:paraId="073203CA" w14:textId="77777777" w:rsidR="000948D5" w:rsidRPr="000948D5" w:rsidRDefault="000948D5" w:rsidP="000948D5">
            <w:pPr>
              <w:spacing w:after="0" w:line="240" w:lineRule="auto"/>
              <w:jc w:val="center"/>
              <w:rPr>
                <w:rFonts w:ascii="Calibri" w:eastAsia="Times New Roman" w:hAnsi="Calibri" w:cs="Calibri"/>
                <w:b/>
                <w:bCs/>
                <w:color w:val="000000"/>
              </w:rPr>
            </w:pPr>
            <w:r w:rsidRPr="000948D5">
              <w:rPr>
                <w:rFonts w:ascii="Calibri" w:eastAsia="Times New Roman" w:hAnsi="Calibri" w:cs="Calibri"/>
                <w:b/>
                <w:bCs/>
                <w:color w:val="000000"/>
              </w:rPr>
              <w:t>112.2%</w:t>
            </w:r>
          </w:p>
        </w:tc>
      </w:tr>
      <w:tr w:rsidR="000948D5" w:rsidRPr="000948D5" w14:paraId="02FA9DCB" w14:textId="77777777" w:rsidTr="0073353B">
        <w:trPr>
          <w:trHeight w:val="302"/>
        </w:trPr>
        <w:tc>
          <w:tcPr>
            <w:tcW w:w="291" w:type="dxa"/>
            <w:tcBorders>
              <w:top w:val="nil"/>
              <w:left w:val="nil"/>
              <w:bottom w:val="nil"/>
              <w:right w:val="nil"/>
            </w:tcBorders>
            <w:shd w:val="clear" w:color="auto" w:fill="auto"/>
            <w:noWrap/>
            <w:vAlign w:val="bottom"/>
            <w:hideMark/>
          </w:tcPr>
          <w:p w14:paraId="296E8419" w14:textId="77777777" w:rsidR="000948D5" w:rsidRPr="000948D5" w:rsidRDefault="000948D5" w:rsidP="000948D5">
            <w:pPr>
              <w:spacing w:after="0" w:line="240" w:lineRule="auto"/>
              <w:jc w:val="center"/>
              <w:rPr>
                <w:rFonts w:ascii="Calibri" w:eastAsia="Times New Roman" w:hAnsi="Calibri" w:cs="Calibri"/>
                <w:b/>
                <w:bCs/>
                <w:color w:val="000000"/>
              </w:rPr>
            </w:pPr>
          </w:p>
        </w:tc>
        <w:tc>
          <w:tcPr>
            <w:tcW w:w="1551" w:type="dxa"/>
            <w:tcBorders>
              <w:top w:val="nil"/>
              <w:left w:val="nil"/>
              <w:bottom w:val="nil"/>
              <w:right w:val="nil"/>
            </w:tcBorders>
            <w:shd w:val="clear" w:color="auto" w:fill="auto"/>
            <w:noWrap/>
            <w:vAlign w:val="bottom"/>
            <w:hideMark/>
          </w:tcPr>
          <w:p w14:paraId="0FCE6EF4" w14:textId="77777777" w:rsidR="000948D5" w:rsidRPr="000948D5" w:rsidRDefault="000948D5" w:rsidP="000948D5">
            <w:pPr>
              <w:spacing w:after="0" w:line="240" w:lineRule="auto"/>
              <w:rPr>
                <w:rFonts w:ascii="Times New Roman" w:eastAsia="Times New Roman" w:hAnsi="Times New Roman" w:cs="Times New Roman"/>
                <w:sz w:val="20"/>
                <w:szCs w:val="20"/>
              </w:rPr>
            </w:pPr>
          </w:p>
        </w:tc>
        <w:tc>
          <w:tcPr>
            <w:tcW w:w="1301" w:type="dxa"/>
            <w:tcBorders>
              <w:top w:val="nil"/>
              <w:left w:val="nil"/>
              <w:bottom w:val="nil"/>
              <w:right w:val="nil"/>
            </w:tcBorders>
            <w:shd w:val="clear" w:color="auto" w:fill="auto"/>
            <w:noWrap/>
            <w:vAlign w:val="bottom"/>
            <w:hideMark/>
          </w:tcPr>
          <w:p w14:paraId="7D833F22" w14:textId="77777777" w:rsidR="000948D5" w:rsidRPr="000948D5" w:rsidRDefault="000948D5" w:rsidP="000948D5">
            <w:pPr>
              <w:spacing w:after="0" w:line="240" w:lineRule="auto"/>
              <w:rPr>
                <w:rFonts w:ascii="Times New Roman" w:eastAsia="Times New Roman" w:hAnsi="Times New Roman" w:cs="Times New Roman"/>
                <w:sz w:val="20"/>
                <w:szCs w:val="20"/>
              </w:rPr>
            </w:pPr>
          </w:p>
        </w:tc>
        <w:tc>
          <w:tcPr>
            <w:tcW w:w="2026" w:type="dxa"/>
            <w:tcBorders>
              <w:top w:val="nil"/>
              <w:left w:val="nil"/>
              <w:bottom w:val="nil"/>
              <w:right w:val="nil"/>
            </w:tcBorders>
            <w:shd w:val="clear" w:color="auto" w:fill="auto"/>
            <w:noWrap/>
            <w:vAlign w:val="bottom"/>
            <w:hideMark/>
          </w:tcPr>
          <w:p w14:paraId="2F19F9E8" w14:textId="77777777" w:rsidR="000948D5" w:rsidRPr="000948D5" w:rsidRDefault="000948D5" w:rsidP="000948D5">
            <w:pPr>
              <w:spacing w:after="0" w:line="240" w:lineRule="auto"/>
              <w:rPr>
                <w:rFonts w:ascii="Times New Roman" w:eastAsia="Times New Roman" w:hAnsi="Times New Roman" w:cs="Times New Roman"/>
                <w:sz w:val="20"/>
                <w:szCs w:val="20"/>
              </w:rPr>
            </w:pPr>
          </w:p>
        </w:tc>
        <w:tc>
          <w:tcPr>
            <w:tcW w:w="1884" w:type="dxa"/>
            <w:tcBorders>
              <w:top w:val="nil"/>
              <w:left w:val="nil"/>
              <w:bottom w:val="nil"/>
              <w:right w:val="nil"/>
            </w:tcBorders>
            <w:shd w:val="clear" w:color="auto" w:fill="auto"/>
            <w:noWrap/>
            <w:vAlign w:val="bottom"/>
            <w:hideMark/>
          </w:tcPr>
          <w:p w14:paraId="12950B2E" w14:textId="77777777" w:rsidR="000948D5" w:rsidRPr="000948D5" w:rsidRDefault="000948D5" w:rsidP="000948D5">
            <w:pPr>
              <w:spacing w:after="0" w:line="240" w:lineRule="auto"/>
              <w:rPr>
                <w:rFonts w:ascii="Times New Roman" w:eastAsia="Times New Roman" w:hAnsi="Times New Roman" w:cs="Times New Roman"/>
                <w:sz w:val="20"/>
                <w:szCs w:val="20"/>
              </w:rPr>
            </w:pPr>
          </w:p>
        </w:tc>
        <w:tc>
          <w:tcPr>
            <w:tcW w:w="1831" w:type="dxa"/>
            <w:tcBorders>
              <w:top w:val="nil"/>
              <w:left w:val="nil"/>
              <w:bottom w:val="nil"/>
              <w:right w:val="nil"/>
            </w:tcBorders>
            <w:shd w:val="clear" w:color="auto" w:fill="auto"/>
            <w:noWrap/>
            <w:vAlign w:val="bottom"/>
            <w:hideMark/>
          </w:tcPr>
          <w:p w14:paraId="7ADAABA4" w14:textId="77777777" w:rsidR="000948D5" w:rsidRPr="000948D5" w:rsidRDefault="000948D5" w:rsidP="000948D5">
            <w:pPr>
              <w:spacing w:after="0" w:line="240" w:lineRule="auto"/>
              <w:rPr>
                <w:rFonts w:ascii="Times New Roman" w:eastAsia="Times New Roman" w:hAnsi="Times New Roman" w:cs="Times New Roman"/>
                <w:sz w:val="20"/>
                <w:szCs w:val="20"/>
              </w:rPr>
            </w:pPr>
          </w:p>
        </w:tc>
        <w:tc>
          <w:tcPr>
            <w:tcW w:w="1403" w:type="dxa"/>
            <w:tcBorders>
              <w:top w:val="nil"/>
              <w:left w:val="nil"/>
              <w:bottom w:val="nil"/>
              <w:right w:val="nil"/>
            </w:tcBorders>
            <w:shd w:val="clear" w:color="auto" w:fill="auto"/>
            <w:noWrap/>
            <w:vAlign w:val="bottom"/>
            <w:hideMark/>
          </w:tcPr>
          <w:p w14:paraId="31F79ACE" w14:textId="77777777" w:rsidR="000948D5" w:rsidRPr="000948D5" w:rsidRDefault="000948D5" w:rsidP="000948D5">
            <w:pPr>
              <w:spacing w:after="0" w:line="240" w:lineRule="auto"/>
              <w:rPr>
                <w:rFonts w:ascii="Times New Roman" w:eastAsia="Times New Roman" w:hAnsi="Times New Roman" w:cs="Times New Roman"/>
                <w:sz w:val="20"/>
                <w:szCs w:val="20"/>
              </w:rPr>
            </w:pPr>
          </w:p>
        </w:tc>
      </w:tr>
      <w:tr w:rsidR="000948D5" w:rsidRPr="000948D5" w14:paraId="0B0EEA5B" w14:textId="77777777" w:rsidTr="0073353B">
        <w:trPr>
          <w:trHeight w:val="362"/>
        </w:trPr>
        <w:tc>
          <w:tcPr>
            <w:tcW w:w="291" w:type="dxa"/>
            <w:tcBorders>
              <w:top w:val="nil"/>
              <w:left w:val="nil"/>
              <w:bottom w:val="nil"/>
              <w:right w:val="nil"/>
            </w:tcBorders>
            <w:shd w:val="clear" w:color="auto" w:fill="auto"/>
            <w:noWrap/>
            <w:vAlign w:val="bottom"/>
            <w:hideMark/>
          </w:tcPr>
          <w:p w14:paraId="638416C3" w14:textId="77777777" w:rsidR="000948D5" w:rsidRPr="000948D5" w:rsidRDefault="000948D5" w:rsidP="000948D5">
            <w:pPr>
              <w:spacing w:after="0" w:line="240" w:lineRule="auto"/>
              <w:rPr>
                <w:rFonts w:ascii="Times New Roman" w:eastAsia="Times New Roman" w:hAnsi="Times New Roman" w:cs="Times New Roman"/>
                <w:sz w:val="20"/>
                <w:szCs w:val="20"/>
              </w:rPr>
            </w:pPr>
          </w:p>
        </w:tc>
        <w:tc>
          <w:tcPr>
            <w:tcW w:w="1551" w:type="dxa"/>
            <w:tcBorders>
              <w:top w:val="nil"/>
              <w:left w:val="nil"/>
              <w:bottom w:val="nil"/>
              <w:right w:val="nil"/>
            </w:tcBorders>
            <w:shd w:val="clear" w:color="auto" w:fill="auto"/>
            <w:noWrap/>
            <w:vAlign w:val="bottom"/>
            <w:hideMark/>
          </w:tcPr>
          <w:p w14:paraId="5D6A2283" w14:textId="77777777" w:rsidR="000948D5" w:rsidRPr="000948D5" w:rsidRDefault="000948D5" w:rsidP="000948D5">
            <w:pPr>
              <w:spacing w:after="0" w:line="240" w:lineRule="auto"/>
              <w:rPr>
                <w:rFonts w:ascii="Times New Roman" w:eastAsia="Times New Roman" w:hAnsi="Times New Roman" w:cs="Times New Roman"/>
                <w:sz w:val="20"/>
                <w:szCs w:val="20"/>
              </w:rPr>
            </w:pPr>
          </w:p>
        </w:tc>
        <w:tc>
          <w:tcPr>
            <w:tcW w:w="1301" w:type="dxa"/>
            <w:tcBorders>
              <w:top w:val="nil"/>
              <w:left w:val="nil"/>
              <w:bottom w:val="nil"/>
              <w:right w:val="nil"/>
            </w:tcBorders>
            <w:shd w:val="clear" w:color="auto" w:fill="auto"/>
            <w:noWrap/>
            <w:vAlign w:val="bottom"/>
            <w:hideMark/>
          </w:tcPr>
          <w:p w14:paraId="4BBAED1B" w14:textId="77777777" w:rsidR="000948D5" w:rsidRPr="000948D5" w:rsidRDefault="000948D5" w:rsidP="000948D5">
            <w:pPr>
              <w:spacing w:after="0" w:line="240" w:lineRule="auto"/>
              <w:rPr>
                <w:rFonts w:ascii="Times New Roman" w:eastAsia="Times New Roman" w:hAnsi="Times New Roman" w:cs="Times New Roman"/>
                <w:sz w:val="20"/>
                <w:szCs w:val="20"/>
              </w:rPr>
            </w:pPr>
          </w:p>
        </w:tc>
        <w:tc>
          <w:tcPr>
            <w:tcW w:w="2026" w:type="dxa"/>
            <w:tcBorders>
              <w:top w:val="nil"/>
              <w:left w:val="nil"/>
              <w:bottom w:val="nil"/>
              <w:right w:val="nil"/>
            </w:tcBorders>
            <w:shd w:val="clear" w:color="auto" w:fill="auto"/>
            <w:noWrap/>
            <w:vAlign w:val="bottom"/>
            <w:hideMark/>
          </w:tcPr>
          <w:p w14:paraId="5D2705C4" w14:textId="77777777" w:rsidR="000948D5" w:rsidRPr="000948D5" w:rsidRDefault="000948D5" w:rsidP="000948D5">
            <w:pPr>
              <w:spacing w:after="0" w:line="240" w:lineRule="auto"/>
              <w:rPr>
                <w:rFonts w:ascii="Times New Roman" w:eastAsia="Times New Roman" w:hAnsi="Times New Roman" w:cs="Times New Roman"/>
                <w:sz w:val="20"/>
                <w:szCs w:val="20"/>
              </w:rPr>
            </w:pPr>
          </w:p>
        </w:tc>
        <w:tc>
          <w:tcPr>
            <w:tcW w:w="1884" w:type="dxa"/>
            <w:tcBorders>
              <w:top w:val="nil"/>
              <w:left w:val="nil"/>
              <w:bottom w:val="nil"/>
              <w:right w:val="nil"/>
            </w:tcBorders>
            <w:shd w:val="clear" w:color="auto" w:fill="auto"/>
            <w:noWrap/>
            <w:vAlign w:val="bottom"/>
            <w:hideMark/>
          </w:tcPr>
          <w:p w14:paraId="3D150BB1" w14:textId="77777777" w:rsidR="000948D5" w:rsidRPr="000948D5" w:rsidRDefault="000948D5" w:rsidP="000948D5">
            <w:pPr>
              <w:spacing w:after="0" w:line="240" w:lineRule="auto"/>
              <w:rPr>
                <w:rFonts w:ascii="Times New Roman" w:eastAsia="Times New Roman" w:hAnsi="Times New Roman" w:cs="Times New Roman"/>
                <w:sz w:val="20"/>
                <w:szCs w:val="20"/>
              </w:rPr>
            </w:pPr>
          </w:p>
        </w:tc>
        <w:tc>
          <w:tcPr>
            <w:tcW w:w="1831" w:type="dxa"/>
            <w:tcBorders>
              <w:top w:val="nil"/>
              <w:left w:val="nil"/>
              <w:bottom w:val="nil"/>
              <w:right w:val="nil"/>
            </w:tcBorders>
            <w:shd w:val="clear" w:color="auto" w:fill="auto"/>
            <w:noWrap/>
            <w:vAlign w:val="bottom"/>
            <w:hideMark/>
          </w:tcPr>
          <w:p w14:paraId="6B6E56D2" w14:textId="77777777" w:rsidR="000948D5" w:rsidRPr="000948D5" w:rsidRDefault="000948D5" w:rsidP="000948D5">
            <w:pPr>
              <w:spacing w:after="0" w:line="240" w:lineRule="auto"/>
              <w:jc w:val="right"/>
              <w:rPr>
                <w:rFonts w:ascii="Calibri" w:eastAsia="Times New Roman" w:hAnsi="Calibri" w:cs="Calibri"/>
                <w:color w:val="000000"/>
              </w:rPr>
            </w:pPr>
            <w:r w:rsidRPr="000948D5">
              <w:rPr>
                <w:rFonts w:ascii="Calibri" w:eastAsia="Times New Roman" w:hAnsi="Calibri" w:cs="Calibri"/>
                <w:color w:val="000000"/>
              </w:rPr>
              <w:t>1990 Short Tons CO</w:t>
            </w:r>
            <w:r w:rsidRPr="000948D5">
              <w:rPr>
                <w:rFonts w:ascii="Calibri" w:eastAsia="Times New Roman" w:hAnsi="Calibri" w:cs="Calibri"/>
                <w:color w:val="000000"/>
                <w:vertAlign w:val="subscript"/>
              </w:rPr>
              <w:t>2</w:t>
            </w:r>
          </w:p>
        </w:tc>
        <w:tc>
          <w:tcPr>
            <w:tcW w:w="1403"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305A81C" w14:textId="77777777" w:rsidR="000948D5" w:rsidRPr="000948D5" w:rsidRDefault="000948D5" w:rsidP="000948D5">
            <w:pPr>
              <w:spacing w:after="0" w:line="240" w:lineRule="auto"/>
              <w:rPr>
                <w:rFonts w:ascii="Calibri" w:eastAsia="Times New Roman" w:hAnsi="Calibri" w:cs="Calibri"/>
                <w:color w:val="000000"/>
              </w:rPr>
            </w:pPr>
            <w:r w:rsidRPr="000948D5">
              <w:rPr>
                <w:rFonts w:ascii="Calibri" w:eastAsia="Times New Roman" w:hAnsi="Calibri" w:cs="Calibri"/>
                <w:color w:val="000000"/>
              </w:rPr>
              <w:t xml:space="preserve">         2,925,551 </w:t>
            </w:r>
          </w:p>
        </w:tc>
      </w:tr>
    </w:tbl>
    <w:p w14:paraId="58900212" w14:textId="77777777" w:rsidR="00535A87" w:rsidRDefault="00535A87" w:rsidP="00825C12">
      <w:pPr>
        <w:spacing w:after="0"/>
        <w:rPr>
          <w:rFonts w:ascii="Garamond" w:hAnsi="Garamond"/>
          <w:sz w:val="24"/>
          <w:szCs w:val="24"/>
        </w:rPr>
      </w:pPr>
    </w:p>
    <w:p w14:paraId="27AC4CAD" w14:textId="77777777" w:rsidR="00535A87" w:rsidRDefault="00535A87" w:rsidP="00825C12">
      <w:pPr>
        <w:spacing w:after="0"/>
        <w:rPr>
          <w:rFonts w:ascii="Garamond" w:hAnsi="Garamond"/>
          <w:sz w:val="24"/>
          <w:szCs w:val="24"/>
        </w:rPr>
      </w:pPr>
    </w:p>
    <w:p w14:paraId="11BBEFAF" w14:textId="09571599" w:rsidR="008939B8" w:rsidRPr="00923BAC" w:rsidRDefault="009B4FBE" w:rsidP="00825C12">
      <w:pPr>
        <w:spacing w:after="0"/>
        <w:rPr>
          <w:rFonts w:ascii="Garamond" w:hAnsi="Garamond"/>
          <w:sz w:val="24"/>
          <w:szCs w:val="24"/>
        </w:rPr>
      </w:pPr>
      <w:r w:rsidRPr="00923BAC">
        <w:rPr>
          <w:rFonts w:ascii="Garamond" w:hAnsi="Garamond"/>
          <w:sz w:val="24"/>
          <w:szCs w:val="24"/>
        </w:rPr>
        <w:t>The following text provides an outline of how the energy and emissions report may be efficiently organized.</w:t>
      </w:r>
    </w:p>
    <w:p w14:paraId="71E6D8B3" w14:textId="77777777" w:rsidR="00B82170" w:rsidRPr="00923BAC" w:rsidRDefault="00B82170" w:rsidP="00825C12">
      <w:pPr>
        <w:spacing w:after="0"/>
        <w:rPr>
          <w:rFonts w:ascii="Garamond" w:hAnsi="Garamond"/>
          <w:sz w:val="24"/>
          <w:szCs w:val="24"/>
        </w:rPr>
      </w:pPr>
    </w:p>
    <w:p w14:paraId="401439D9" w14:textId="77777777" w:rsidR="008939B8" w:rsidRPr="00923BAC" w:rsidRDefault="009B4FBE" w:rsidP="009B4FBE">
      <w:pPr>
        <w:pStyle w:val="ListParagraph"/>
        <w:numPr>
          <w:ilvl w:val="0"/>
          <w:numId w:val="6"/>
        </w:numPr>
        <w:spacing w:after="0"/>
        <w:rPr>
          <w:rFonts w:ascii="Garamond" w:hAnsi="Garamond"/>
          <w:sz w:val="24"/>
          <w:szCs w:val="24"/>
        </w:rPr>
      </w:pPr>
      <w:r w:rsidRPr="00923BAC">
        <w:rPr>
          <w:rFonts w:ascii="Garamond" w:hAnsi="Garamond"/>
          <w:sz w:val="24"/>
          <w:szCs w:val="24"/>
        </w:rPr>
        <w:t>Executive Summary</w:t>
      </w:r>
    </w:p>
    <w:p w14:paraId="62FC062F" w14:textId="77777777" w:rsidR="00825C12" w:rsidRPr="00923BAC" w:rsidRDefault="006706AA" w:rsidP="009B4FBE">
      <w:pPr>
        <w:pStyle w:val="ListParagraph"/>
        <w:numPr>
          <w:ilvl w:val="0"/>
          <w:numId w:val="6"/>
        </w:numPr>
        <w:spacing w:after="0"/>
        <w:rPr>
          <w:rFonts w:ascii="Garamond" w:hAnsi="Garamond"/>
          <w:sz w:val="24"/>
          <w:szCs w:val="24"/>
        </w:rPr>
      </w:pPr>
      <w:r w:rsidRPr="00923BAC">
        <w:rPr>
          <w:rFonts w:ascii="Garamond" w:hAnsi="Garamond"/>
          <w:sz w:val="24"/>
          <w:szCs w:val="24"/>
        </w:rPr>
        <w:t>Prior 10</w:t>
      </w:r>
      <w:r w:rsidR="00825C12" w:rsidRPr="00923BAC">
        <w:rPr>
          <w:rFonts w:ascii="Garamond" w:hAnsi="Garamond"/>
          <w:sz w:val="24"/>
          <w:szCs w:val="24"/>
        </w:rPr>
        <w:t xml:space="preserve">-year </w:t>
      </w:r>
      <w:r w:rsidRPr="00923BAC">
        <w:rPr>
          <w:rFonts w:ascii="Garamond" w:hAnsi="Garamond"/>
          <w:sz w:val="24"/>
          <w:szCs w:val="24"/>
        </w:rPr>
        <w:t xml:space="preserve">annual </w:t>
      </w:r>
      <w:r w:rsidR="00825C12" w:rsidRPr="00923BAC">
        <w:rPr>
          <w:rFonts w:ascii="Garamond" w:hAnsi="Garamond"/>
          <w:sz w:val="24"/>
          <w:szCs w:val="24"/>
        </w:rPr>
        <w:t>metrics for all generating resources serving Washington customers:</w:t>
      </w:r>
    </w:p>
    <w:p w14:paraId="7986166F" w14:textId="77777777" w:rsidR="00825C12" w:rsidRPr="00923BAC" w:rsidRDefault="00825C12" w:rsidP="00825C12">
      <w:pPr>
        <w:pStyle w:val="ListParagraph"/>
        <w:numPr>
          <w:ilvl w:val="0"/>
          <w:numId w:val="5"/>
        </w:numPr>
        <w:rPr>
          <w:rFonts w:ascii="Garamond" w:hAnsi="Garamond"/>
          <w:sz w:val="24"/>
          <w:szCs w:val="24"/>
        </w:rPr>
      </w:pPr>
      <w:r w:rsidRPr="00923BAC">
        <w:rPr>
          <w:rFonts w:ascii="Garamond" w:hAnsi="Garamond"/>
          <w:sz w:val="24"/>
          <w:szCs w:val="24"/>
        </w:rPr>
        <w:t>Average MWh per residential customer</w:t>
      </w:r>
    </w:p>
    <w:p w14:paraId="2817869A" w14:textId="77777777" w:rsidR="00825C12" w:rsidRPr="00923BAC" w:rsidRDefault="00825C12" w:rsidP="00825C12">
      <w:pPr>
        <w:pStyle w:val="ListParagraph"/>
        <w:numPr>
          <w:ilvl w:val="0"/>
          <w:numId w:val="5"/>
        </w:numPr>
        <w:rPr>
          <w:rFonts w:ascii="Garamond" w:hAnsi="Garamond"/>
          <w:sz w:val="24"/>
          <w:szCs w:val="24"/>
        </w:rPr>
      </w:pPr>
      <w:r w:rsidRPr="00923BAC">
        <w:rPr>
          <w:rFonts w:ascii="Garamond" w:hAnsi="Garamond"/>
          <w:sz w:val="24"/>
          <w:szCs w:val="24"/>
        </w:rPr>
        <w:t>Average MWh per commercial customer</w:t>
      </w:r>
    </w:p>
    <w:p w14:paraId="2993998A" w14:textId="77777777" w:rsidR="00825C12" w:rsidRPr="00923BAC" w:rsidRDefault="008939B8" w:rsidP="00825C12">
      <w:pPr>
        <w:pStyle w:val="ListParagraph"/>
        <w:numPr>
          <w:ilvl w:val="0"/>
          <w:numId w:val="5"/>
        </w:numPr>
        <w:rPr>
          <w:rFonts w:ascii="Garamond" w:hAnsi="Garamond"/>
          <w:sz w:val="24"/>
          <w:szCs w:val="24"/>
        </w:rPr>
      </w:pPr>
      <w:r w:rsidRPr="00923BAC">
        <w:rPr>
          <w:rFonts w:ascii="Garamond" w:hAnsi="Garamond"/>
          <w:sz w:val="24"/>
          <w:szCs w:val="24"/>
        </w:rPr>
        <w:t>MWh</w:t>
      </w:r>
      <w:r w:rsidR="00825C12" w:rsidRPr="00923BAC">
        <w:rPr>
          <w:rFonts w:ascii="Garamond" w:hAnsi="Garamond"/>
          <w:sz w:val="24"/>
          <w:szCs w:val="24"/>
        </w:rPr>
        <w:t xml:space="preserve"> per capita</w:t>
      </w:r>
    </w:p>
    <w:p w14:paraId="1E760393" w14:textId="06BE8EF2" w:rsidR="00825C12" w:rsidRPr="00923BAC" w:rsidRDefault="00825C12" w:rsidP="00825C12">
      <w:pPr>
        <w:pStyle w:val="ListParagraph"/>
        <w:numPr>
          <w:ilvl w:val="0"/>
          <w:numId w:val="5"/>
        </w:numPr>
        <w:rPr>
          <w:rFonts w:ascii="Garamond" w:hAnsi="Garamond"/>
          <w:sz w:val="24"/>
          <w:szCs w:val="24"/>
        </w:rPr>
      </w:pPr>
      <w:r w:rsidRPr="00923BAC">
        <w:rPr>
          <w:rFonts w:ascii="Garamond" w:hAnsi="Garamond"/>
          <w:sz w:val="24"/>
          <w:szCs w:val="24"/>
        </w:rPr>
        <w:t>Annual CO</w:t>
      </w:r>
      <w:r w:rsidRPr="00923BAC">
        <w:rPr>
          <w:rFonts w:ascii="Garamond" w:hAnsi="Garamond"/>
          <w:sz w:val="24"/>
          <w:szCs w:val="24"/>
          <w:vertAlign w:val="subscript"/>
        </w:rPr>
        <w:t xml:space="preserve">2 </w:t>
      </w:r>
      <w:r w:rsidR="00E1275E">
        <w:rPr>
          <w:rFonts w:ascii="Garamond" w:hAnsi="Garamond"/>
          <w:sz w:val="24"/>
          <w:szCs w:val="24"/>
        </w:rPr>
        <w:t>emissions (</w:t>
      </w:r>
      <w:r w:rsidRPr="00923BAC">
        <w:rPr>
          <w:rFonts w:ascii="Garamond" w:hAnsi="Garamond"/>
          <w:sz w:val="24"/>
          <w:szCs w:val="24"/>
        </w:rPr>
        <w:t>short tons)</w:t>
      </w:r>
    </w:p>
    <w:p w14:paraId="3073D9F9" w14:textId="77777777" w:rsidR="00825C12" w:rsidRPr="00923BAC" w:rsidRDefault="00825C12" w:rsidP="00825C12">
      <w:pPr>
        <w:pStyle w:val="ListParagraph"/>
        <w:numPr>
          <w:ilvl w:val="0"/>
          <w:numId w:val="5"/>
        </w:numPr>
        <w:rPr>
          <w:rFonts w:ascii="Garamond" w:hAnsi="Garamond"/>
          <w:sz w:val="24"/>
          <w:szCs w:val="24"/>
        </w:rPr>
      </w:pPr>
      <w:r w:rsidRPr="00923BAC">
        <w:rPr>
          <w:rFonts w:ascii="Garamond" w:hAnsi="Garamond"/>
          <w:sz w:val="24"/>
          <w:szCs w:val="24"/>
        </w:rPr>
        <w:t>Ratios of Annual CO</w:t>
      </w:r>
      <w:r w:rsidRPr="00923BAC">
        <w:rPr>
          <w:rFonts w:ascii="Garamond" w:hAnsi="Garamond"/>
          <w:sz w:val="24"/>
          <w:szCs w:val="24"/>
          <w:vertAlign w:val="subscript"/>
        </w:rPr>
        <w:t xml:space="preserve">2 </w:t>
      </w:r>
      <w:r w:rsidRPr="00923BAC">
        <w:rPr>
          <w:rFonts w:ascii="Garamond" w:hAnsi="Garamond"/>
          <w:sz w:val="24"/>
          <w:szCs w:val="24"/>
        </w:rPr>
        <w:t>emissions to CO</w:t>
      </w:r>
      <w:r w:rsidRPr="00923BAC">
        <w:rPr>
          <w:rFonts w:ascii="Garamond" w:hAnsi="Garamond"/>
          <w:sz w:val="24"/>
          <w:szCs w:val="24"/>
          <w:vertAlign w:val="subscript"/>
        </w:rPr>
        <w:t xml:space="preserve">2 </w:t>
      </w:r>
      <w:r w:rsidRPr="00923BAC">
        <w:rPr>
          <w:rFonts w:ascii="Garamond" w:hAnsi="Garamond"/>
          <w:sz w:val="24"/>
          <w:szCs w:val="24"/>
        </w:rPr>
        <w:t>emissions in 1990</w:t>
      </w:r>
    </w:p>
    <w:p w14:paraId="677DE871" w14:textId="6BDE3FCA" w:rsidR="00470F1D" w:rsidRPr="00923BAC" w:rsidRDefault="006760FE" w:rsidP="00470F1D">
      <w:pPr>
        <w:pStyle w:val="ListParagraph"/>
        <w:ind w:left="1080" w:firstLine="360"/>
        <w:rPr>
          <w:rFonts w:ascii="Garamond" w:hAnsi="Garamond"/>
          <w:b/>
          <w:i/>
          <w:sz w:val="24"/>
          <w:szCs w:val="24"/>
        </w:rPr>
      </w:pPr>
      <w:r>
        <w:rPr>
          <w:rFonts w:ascii="Garamond" w:hAnsi="Garamond"/>
          <w:b/>
          <w:i/>
          <w:sz w:val="24"/>
          <w:szCs w:val="24"/>
        </w:rPr>
        <w:t>Subtotal Metrics</w:t>
      </w:r>
      <w:r w:rsidR="006706AA" w:rsidRPr="00923BAC">
        <w:rPr>
          <w:rFonts w:ascii="Garamond" w:hAnsi="Garamond"/>
          <w:b/>
          <w:i/>
          <w:sz w:val="24"/>
          <w:szCs w:val="24"/>
        </w:rPr>
        <w:t xml:space="preserve"> </w:t>
      </w:r>
      <w:r>
        <w:rPr>
          <w:rFonts w:ascii="Garamond" w:hAnsi="Garamond"/>
          <w:b/>
          <w:i/>
          <w:sz w:val="24"/>
          <w:szCs w:val="24"/>
        </w:rPr>
        <w:t>-</w:t>
      </w:r>
      <w:r w:rsidR="006706AA" w:rsidRPr="00923BAC">
        <w:rPr>
          <w:rFonts w:ascii="Garamond" w:hAnsi="Garamond"/>
          <w:b/>
          <w:i/>
          <w:sz w:val="24"/>
          <w:szCs w:val="24"/>
        </w:rPr>
        <w:t xml:space="preserve"> Energy and Emissions from </w:t>
      </w:r>
      <w:r w:rsidR="00470F1D" w:rsidRPr="00923BAC">
        <w:rPr>
          <w:rFonts w:ascii="Garamond" w:hAnsi="Garamond"/>
          <w:b/>
          <w:i/>
          <w:sz w:val="24"/>
          <w:szCs w:val="24"/>
        </w:rPr>
        <w:t>Unknown Generation Sources</w:t>
      </w:r>
    </w:p>
    <w:p w14:paraId="644B1FB9" w14:textId="2F1C8ED1" w:rsidR="008939B8" w:rsidRPr="00923BAC" w:rsidRDefault="008939B8" w:rsidP="006706AA">
      <w:pPr>
        <w:pStyle w:val="ListParagraph"/>
        <w:numPr>
          <w:ilvl w:val="0"/>
          <w:numId w:val="7"/>
        </w:numPr>
        <w:rPr>
          <w:rFonts w:ascii="Garamond" w:hAnsi="Garamond"/>
          <w:sz w:val="24"/>
          <w:szCs w:val="24"/>
        </w:rPr>
      </w:pPr>
      <w:r w:rsidRPr="00923BAC">
        <w:rPr>
          <w:rFonts w:ascii="Garamond" w:hAnsi="Garamond"/>
          <w:sz w:val="24"/>
          <w:szCs w:val="24"/>
        </w:rPr>
        <w:t>Annual CO</w:t>
      </w:r>
      <w:r w:rsidRPr="00923BAC">
        <w:rPr>
          <w:rFonts w:ascii="Garamond" w:hAnsi="Garamond"/>
          <w:sz w:val="24"/>
          <w:szCs w:val="24"/>
          <w:vertAlign w:val="subscript"/>
        </w:rPr>
        <w:t xml:space="preserve">2 </w:t>
      </w:r>
      <w:r w:rsidRPr="00923BAC">
        <w:rPr>
          <w:rFonts w:ascii="Garamond" w:hAnsi="Garamond"/>
          <w:sz w:val="24"/>
          <w:szCs w:val="24"/>
        </w:rPr>
        <w:t xml:space="preserve">emissions </w:t>
      </w:r>
      <w:r w:rsidR="00E1275E">
        <w:rPr>
          <w:rFonts w:ascii="Garamond" w:hAnsi="Garamond"/>
          <w:sz w:val="24"/>
          <w:szCs w:val="24"/>
        </w:rPr>
        <w:t>(</w:t>
      </w:r>
      <w:r w:rsidRPr="00923BAC">
        <w:rPr>
          <w:rFonts w:ascii="Garamond" w:hAnsi="Garamond"/>
          <w:sz w:val="24"/>
          <w:szCs w:val="24"/>
        </w:rPr>
        <w:t>short tons) from unknown generation sources</w:t>
      </w:r>
    </w:p>
    <w:p w14:paraId="310CF2E5" w14:textId="77777777" w:rsidR="008939B8" w:rsidRPr="00923BAC" w:rsidRDefault="008939B8" w:rsidP="006706AA">
      <w:pPr>
        <w:pStyle w:val="ListParagraph"/>
        <w:numPr>
          <w:ilvl w:val="0"/>
          <w:numId w:val="7"/>
        </w:numPr>
        <w:rPr>
          <w:rFonts w:ascii="Garamond" w:hAnsi="Garamond"/>
          <w:sz w:val="24"/>
          <w:szCs w:val="24"/>
        </w:rPr>
      </w:pPr>
      <w:r w:rsidRPr="00923BAC">
        <w:rPr>
          <w:rFonts w:ascii="Garamond" w:hAnsi="Garamond"/>
          <w:sz w:val="24"/>
          <w:szCs w:val="24"/>
        </w:rPr>
        <w:t>Annual MWh delivered to retail customers from unknown generation sources</w:t>
      </w:r>
    </w:p>
    <w:p w14:paraId="58CF0A3D" w14:textId="77777777" w:rsidR="009B4FBE" w:rsidRPr="00923BAC" w:rsidRDefault="00825C12" w:rsidP="006706AA">
      <w:pPr>
        <w:pStyle w:val="ListParagraph"/>
        <w:numPr>
          <w:ilvl w:val="0"/>
          <w:numId w:val="7"/>
        </w:numPr>
        <w:rPr>
          <w:rFonts w:ascii="Garamond" w:hAnsi="Garamond"/>
          <w:sz w:val="24"/>
          <w:szCs w:val="24"/>
        </w:rPr>
      </w:pPr>
      <w:r w:rsidRPr="00923BAC">
        <w:rPr>
          <w:rFonts w:ascii="Garamond" w:hAnsi="Garamond"/>
          <w:sz w:val="24"/>
          <w:szCs w:val="24"/>
        </w:rPr>
        <w:t xml:space="preserve">Percentage of load </w:t>
      </w:r>
      <w:r w:rsidR="008939B8" w:rsidRPr="00923BAC">
        <w:rPr>
          <w:rFonts w:ascii="Garamond" w:hAnsi="Garamond"/>
          <w:sz w:val="24"/>
          <w:szCs w:val="24"/>
        </w:rPr>
        <w:t xml:space="preserve">served </w:t>
      </w:r>
      <w:r w:rsidRPr="00923BAC">
        <w:rPr>
          <w:rFonts w:ascii="Garamond" w:hAnsi="Garamond"/>
          <w:sz w:val="24"/>
          <w:szCs w:val="24"/>
        </w:rPr>
        <w:t>by unknown generation sources</w:t>
      </w:r>
    </w:p>
    <w:p w14:paraId="19C8B834" w14:textId="77777777" w:rsidR="009B4FBE" w:rsidRDefault="009B4FBE" w:rsidP="009B4FBE">
      <w:pPr>
        <w:pStyle w:val="ListParagraph"/>
        <w:numPr>
          <w:ilvl w:val="0"/>
          <w:numId w:val="6"/>
        </w:numPr>
        <w:rPr>
          <w:rFonts w:ascii="Garamond" w:hAnsi="Garamond"/>
          <w:sz w:val="24"/>
          <w:szCs w:val="24"/>
        </w:rPr>
      </w:pPr>
      <w:r w:rsidRPr="00923BAC">
        <w:rPr>
          <w:rFonts w:ascii="Garamond" w:hAnsi="Garamond"/>
          <w:sz w:val="24"/>
          <w:szCs w:val="24"/>
        </w:rPr>
        <w:t>Trend analysis narrative and graphics</w:t>
      </w:r>
    </w:p>
    <w:p w14:paraId="2C2FEDE2" w14:textId="52621E65" w:rsidR="00923BAC" w:rsidRDefault="00923BAC" w:rsidP="009B4FBE">
      <w:pPr>
        <w:pStyle w:val="ListParagraph"/>
        <w:numPr>
          <w:ilvl w:val="0"/>
          <w:numId w:val="6"/>
        </w:numPr>
        <w:rPr>
          <w:rFonts w:ascii="Garamond" w:hAnsi="Garamond"/>
          <w:sz w:val="24"/>
          <w:szCs w:val="24"/>
        </w:rPr>
      </w:pPr>
      <w:r>
        <w:rPr>
          <w:rFonts w:ascii="Garamond" w:hAnsi="Garamond"/>
          <w:sz w:val="24"/>
          <w:szCs w:val="24"/>
        </w:rPr>
        <w:t>Appendi</w:t>
      </w:r>
      <w:r w:rsidR="003B2517">
        <w:rPr>
          <w:rFonts w:ascii="Garamond" w:hAnsi="Garamond"/>
          <w:sz w:val="24"/>
          <w:szCs w:val="24"/>
        </w:rPr>
        <w:t>ces</w:t>
      </w:r>
      <w:r>
        <w:rPr>
          <w:rFonts w:ascii="Garamond" w:hAnsi="Garamond"/>
          <w:sz w:val="24"/>
          <w:szCs w:val="24"/>
        </w:rPr>
        <w:t xml:space="preserve"> – </w:t>
      </w:r>
      <w:r w:rsidR="003B2517">
        <w:rPr>
          <w:rFonts w:ascii="Garamond" w:hAnsi="Garamond"/>
          <w:sz w:val="24"/>
          <w:szCs w:val="24"/>
        </w:rPr>
        <w:t>i</w:t>
      </w:r>
      <w:r>
        <w:rPr>
          <w:rFonts w:ascii="Garamond" w:hAnsi="Garamond"/>
          <w:sz w:val="24"/>
          <w:szCs w:val="24"/>
        </w:rPr>
        <w:t xml:space="preserve">nformation </w:t>
      </w:r>
      <w:r w:rsidR="003B2517">
        <w:rPr>
          <w:rFonts w:ascii="Garamond" w:hAnsi="Garamond"/>
          <w:sz w:val="24"/>
          <w:szCs w:val="24"/>
        </w:rPr>
        <w:t>s</w:t>
      </w:r>
      <w:r>
        <w:rPr>
          <w:rFonts w:ascii="Garamond" w:hAnsi="Garamond"/>
          <w:sz w:val="24"/>
          <w:szCs w:val="24"/>
        </w:rPr>
        <w:t xml:space="preserve">ources, </w:t>
      </w:r>
      <w:r w:rsidR="003B2517">
        <w:rPr>
          <w:rFonts w:ascii="Garamond" w:hAnsi="Garamond"/>
          <w:sz w:val="24"/>
          <w:szCs w:val="24"/>
        </w:rPr>
        <w:t>m</w:t>
      </w:r>
      <w:r>
        <w:rPr>
          <w:rFonts w:ascii="Garamond" w:hAnsi="Garamond"/>
          <w:sz w:val="24"/>
          <w:szCs w:val="24"/>
        </w:rPr>
        <w:t xml:space="preserve">etrics </w:t>
      </w:r>
      <w:r w:rsidR="003B2517">
        <w:rPr>
          <w:rFonts w:ascii="Garamond" w:hAnsi="Garamond"/>
          <w:sz w:val="24"/>
          <w:szCs w:val="24"/>
        </w:rPr>
        <w:t>calculation m</w:t>
      </w:r>
      <w:r>
        <w:rPr>
          <w:rFonts w:ascii="Garamond" w:hAnsi="Garamond"/>
          <w:sz w:val="24"/>
          <w:szCs w:val="24"/>
        </w:rPr>
        <w:t>ethodology</w:t>
      </w:r>
      <w:r w:rsidR="00E1275E">
        <w:rPr>
          <w:rFonts w:ascii="Garamond" w:hAnsi="Garamond"/>
          <w:sz w:val="24"/>
          <w:szCs w:val="24"/>
        </w:rPr>
        <w:t>, f</w:t>
      </w:r>
      <w:r>
        <w:rPr>
          <w:rFonts w:ascii="Garamond" w:hAnsi="Garamond"/>
          <w:sz w:val="24"/>
          <w:szCs w:val="24"/>
        </w:rPr>
        <w:t>ormula</w:t>
      </w:r>
      <w:r w:rsidR="006760FE">
        <w:rPr>
          <w:rFonts w:ascii="Garamond" w:hAnsi="Garamond"/>
          <w:sz w:val="24"/>
          <w:szCs w:val="24"/>
        </w:rPr>
        <w:t>s</w:t>
      </w:r>
      <w:r w:rsidR="00E1275E">
        <w:rPr>
          <w:rFonts w:ascii="Garamond" w:hAnsi="Garamond"/>
          <w:sz w:val="24"/>
          <w:szCs w:val="24"/>
        </w:rPr>
        <w:t xml:space="preserve"> explanations, and other supporting documentation</w:t>
      </w:r>
    </w:p>
    <w:p w14:paraId="4826C70B" w14:textId="77777777" w:rsidR="00776D95" w:rsidRPr="00776D95" w:rsidRDefault="00776D95" w:rsidP="00776D95">
      <w:pPr>
        <w:rPr>
          <w:rFonts w:ascii="Garamond" w:hAnsi="Garamond"/>
          <w:sz w:val="24"/>
          <w:szCs w:val="24"/>
        </w:rPr>
      </w:pPr>
    </w:p>
    <w:p w14:paraId="444F67E6" w14:textId="77777777" w:rsidR="009B4FBE" w:rsidRPr="00923BAC" w:rsidRDefault="009B4FBE" w:rsidP="009B4FBE">
      <w:pPr>
        <w:spacing w:after="120"/>
        <w:rPr>
          <w:rFonts w:ascii="Garamond" w:hAnsi="Garamond"/>
          <w:b/>
          <w:sz w:val="32"/>
          <w:szCs w:val="32"/>
        </w:rPr>
      </w:pPr>
      <w:r w:rsidRPr="00923BAC">
        <w:rPr>
          <w:rFonts w:ascii="Garamond" w:hAnsi="Garamond"/>
          <w:b/>
          <w:sz w:val="32"/>
          <w:szCs w:val="32"/>
        </w:rPr>
        <w:lastRenderedPageBreak/>
        <w:t>Unknown Generation Emissions</w:t>
      </w:r>
      <w:r w:rsidR="00470F1D" w:rsidRPr="00923BAC">
        <w:rPr>
          <w:rFonts w:ascii="Garamond" w:hAnsi="Garamond"/>
          <w:b/>
          <w:sz w:val="32"/>
          <w:szCs w:val="32"/>
        </w:rPr>
        <w:t xml:space="preserve"> and</w:t>
      </w:r>
      <w:r w:rsidRPr="00923BAC">
        <w:rPr>
          <w:rFonts w:ascii="Garamond" w:hAnsi="Garamond"/>
          <w:b/>
          <w:sz w:val="32"/>
          <w:szCs w:val="32"/>
        </w:rPr>
        <w:t xml:space="preserve"> Trend Analysis</w:t>
      </w:r>
    </w:p>
    <w:p w14:paraId="3551C78F" w14:textId="50CA0F6E" w:rsidR="008939B8" w:rsidRPr="00923BAC" w:rsidRDefault="008939B8" w:rsidP="008939B8">
      <w:pPr>
        <w:rPr>
          <w:rFonts w:ascii="Garamond" w:hAnsi="Garamond"/>
          <w:sz w:val="24"/>
          <w:szCs w:val="24"/>
        </w:rPr>
      </w:pPr>
      <w:r w:rsidRPr="00923BAC">
        <w:rPr>
          <w:rFonts w:ascii="Garamond" w:hAnsi="Garamond"/>
          <w:sz w:val="24"/>
          <w:szCs w:val="24"/>
        </w:rPr>
        <w:t>The unknown generation sources emissions must be based on the WA Dept. of Commerce net</w:t>
      </w:r>
      <w:r w:rsidR="00BF2021" w:rsidRPr="00923BAC">
        <w:rPr>
          <w:rFonts w:ascii="Garamond" w:hAnsi="Garamond"/>
          <w:sz w:val="24"/>
          <w:szCs w:val="24"/>
        </w:rPr>
        <w:t>-</w:t>
      </w:r>
      <w:r w:rsidRPr="00923BAC">
        <w:rPr>
          <w:rFonts w:ascii="Garamond" w:hAnsi="Garamond"/>
          <w:sz w:val="24"/>
          <w:szCs w:val="24"/>
        </w:rPr>
        <w:t>system mix (spot market) associated with the corresponding generation year.</w:t>
      </w:r>
    </w:p>
    <w:p w14:paraId="1AEEB41C" w14:textId="5DCFA2D1" w:rsidR="00427878" w:rsidRDefault="000948D5" w:rsidP="008939B8">
      <w:pPr>
        <w:rPr>
          <w:rFonts w:ascii="Garamond" w:hAnsi="Garamond"/>
          <w:sz w:val="24"/>
          <w:szCs w:val="24"/>
        </w:rPr>
      </w:pPr>
      <w:r>
        <w:rPr>
          <w:rFonts w:ascii="Garamond" w:hAnsi="Garamond"/>
          <w:sz w:val="24"/>
          <w:szCs w:val="24"/>
        </w:rPr>
        <w:t>In addition to the requirement to report the value of the metrics for the past ten years, the report must also</w:t>
      </w:r>
      <w:r w:rsidR="008939B8" w:rsidRPr="00923BAC">
        <w:rPr>
          <w:rFonts w:ascii="Garamond" w:hAnsi="Garamond"/>
          <w:sz w:val="24"/>
          <w:szCs w:val="24"/>
        </w:rPr>
        <w:t xml:space="preserve"> include a narrative</w:t>
      </w:r>
      <w:r w:rsidR="00427878">
        <w:rPr>
          <w:rFonts w:ascii="Garamond" w:hAnsi="Garamond"/>
          <w:sz w:val="24"/>
          <w:szCs w:val="24"/>
        </w:rPr>
        <w:t xml:space="preserve"> describing </w:t>
      </w:r>
      <w:r>
        <w:rPr>
          <w:rFonts w:ascii="Garamond" w:hAnsi="Garamond"/>
          <w:sz w:val="24"/>
          <w:szCs w:val="24"/>
        </w:rPr>
        <w:t>the</w:t>
      </w:r>
      <w:r w:rsidR="008939B8" w:rsidRPr="00923BAC">
        <w:rPr>
          <w:rFonts w:ascii="Garamond" w:hAnsi="Garamond"/>
          <w:sz w:val="24"/>
          <w:szCs w:val="24"/>
        </w:rPr>
        <w:t xml:space="preserve"> </w:t>
      </w:r>
      <w:r w:rsidR="006706AA" w:rsidRPr="00923BAC">
        <w:rPr>
          <w:rFonts w:ascii="Garamond" w:hAnsi="Garamond"/>
          <w:sz w:val="24"/>
          <w:szCs w:val="24"/>
        </w:rPr>
        <w:t>analysis</w:t>
      </w:r>
      <w:r w:rsidR="00E1275E">
        <w:rPr>
          <w:rFonts w:ascii="Garamond" w:hAnsi="Garamond"/>
          <w:sz w:val="24"/>
          <w:szCs w:val="24"/>
        </w:rPr>
        <w:t xml:space="preserve"> and findings</w:t>
      </w:r>
      <w:r w:rsidR="00427878">
        <w:rPr>
          <w:rFonts w:ascii="Garamond" w:hAnsi="Garamond"/>
          <w:sz w:val="24"/>
          <w:szCs w:val="24"/>
        </w:rPr>
        <w:t>,</w:t>
      </w:r>
      <w:r w:rsidR="006706AA" w:rsidRPr="00923BAC">
        <w:rPr>
          <w:rFonts w:ascii="Garamond" w:hAnsi="Garamond"/>
          <w:sz w:val="24"/>
          <w:szCs w:val="24"/>
        </w:rPr>
        <w:t xml:space="preserve"> </w:t>
      </w:r>
      <w:r w:rsidR="008939B8" w:rsidRPr="00923BAC">
        <w:rPr>
          <w:rFonts w:ascii="Garamond" w:hAnsi="Garamond"/>
          <w:sz w:val="24"/>
          <w:szCs w:val="24"/>
        </w:rPr>
        <w:t xml:space="preserve">and accompanying graphics </w:t>
      </w:r>
      <w:r w:rsidR="00427878">
        <w:rPr>
          <w:rFonts w:ascii="Garamond" w:hAnsi="Garamond"/>
          <w:sz w:val="24"/>
          <w:szCs w:val="24"/>
        </w:rPr>
        <w:t>of 10-year</w:t>
      </w:r>
      <w:r w:rsidR="006706AA" w:rsidRPr="00923BAC">
        <w:rPr>
          <w:rFonts w:ascii="Garamond" w:hAnsi="Garamond"/>
          <w:sz w:val="24"/>
          <w:szCs w:val="24"/>
        </w:rPr>
        <w:t xml:space="preserve"> trends</w:t>
      </w:r>
      <w:r w:rsidR="00427878">
        <w:rPr>
          <w:rFonts w:ascii="Garamond" w:hAnsi="Garamond"/>
          <w:sz w:val="24"/>
          <w:szCs w:val="24"/>
        </w:rPr>
        <w:t xml:space="preserve"> in the metrics and</w:t>
      </w:r>
      <w:r w:rsidR="006706AA" w:rsidRPr="00923BAC">
        <w:rPr>
          <w:rFonts w:ascii="Garamond" w:hAnsi="Garamond"/>
          <w:sz w:val="24"/>
          <w:szCs w:val="24"/>
        </w:rPr>
        <w:t xml:space="preserve"> </w:t>
      </w:r>
      <w:r w:rsidR="008939B8" w:rsidRPr="00923BAC">
        <w:rPr>
          <w:rFonts w:ascii="Garamond" w:hAnsi="Garamond"/>
          <w:sz w:val="24"/>
          <w:szCs w:val="24"/>
        </w:rPr>
        <w:t>likely causes of change</w:t>
      </w:r>
      <w:r w:rsidR="006706AA" w:rsidRPr="00923BAC">
        <w:rPr>
          <w:rFonts w:ascii="Garamond" w:hAnsi="Garamond"/>
          <w:sz w:val="24"/>
          <w:szCs w:val="24"/>
        </w:rPr>
        <w:t>s,</w:t>
      </w:r>
      <w:r w:rsidR="008939B8" w:rsidRPr="00923BAC">
        <w:rPr>
          <w:rFonts w:ascii="Garamond" w:hAnsi="Garamond"/>
          <w:sz w:val="24"/>
          <w:szCs w:val="24"/>
        </w:rPr>
        <w:t xml:space="preserve"> or lack of changes</w:t>
      </w:r>
      <w:r w:rsidR="006706AA" w:rsidRPr="00923BAC">
        <w:rPr>
          <w:rFonts w:ascii="Garamond" w:hAnsi="Garamond"/>
          <w:sz w:val="24"/>
          <w:szCs w:val="24"/>
        </w:rPr>
        <w:t>,</w:t>
      </w:r>
      <w:r w:rsidR="00427878">
        <w:rPr>
          <w:rFonts w:ascii="Garamond" w:hAnsi="Garamond"/>
          <w:sz w:val="24"/>
          <w:szCs w:val="24"/>
        </w:rPr>
        <w:t xml:space="preserve"> in the metrics over time</w:t>
      </w:r>
      <w:r w:rsidR="008939B8" w:rsidRPr="00923BAC">
        <w:rPr>
          <w:rFonts w:ascii="Garamond" w:hAnsi="Garamond"/>
          <w:sz w:val="24"/>
          <w:szCs w:val="24"/>
        </w:rPr>
        <w:t>.</w:t>
      </w:r>
      <w:r w:rsidR="006760FE">
        <w:rPr>
          <w:rFonts w:ascii="Garamond" w:hAnsi="Garamond"/>
          <w:sz w:val="24"/>
          <w:szCs w:val="24"/>
        </w:rPr>
        <w:t xml:space="preserve">  </w:t>
      </w:r>
    </w:p>
    <w:p w14:paraId="1D618D19" w14:textId="05D8451A" w:rsidR="008939B8" w:rsidRPr="00923BAC" w:rsidRDefault="000944AB" w:rsidP="008939B8">
      <w:pPr>
        <w:rPr>
          <w:rFonts w:ascii="Garamond" w:hAnsi="Garamond"/>
          <w:sz w:val="24"/>
          <w:szCs w:val="24"/>
        </w:rPr>
      </w:pPr>
      <w:r>
        <w:rPr>
          <w:rFonts w:ascii="Garamond" w:hAnsi="Garamond"/>
          <w:sz w:val="24"/>
          <w:szCs w:val="24"/>
        </w:rPr>
        <w:t>F</w:t>
      </w:r>
      <w:r w:rsidR="006760FE">
        <w:rPr>
          <w:rFonts w:ascii="Garamond" w:hAnsi="Garamond"/>
          <w:sz w:val="24"/>
          <w:szCs w:val="24"/>
        </w:rPr>
        <w:t xml:space="preserve">ormulas </w:t>
      </w:r>
      <w:r>
        <w:rPr>
          <w:rFonts w:ascii="Garamond" w:hAnsi="Garamond"/>
          <w:sz w:val="24"/>
          <w:szCs w:val="24"/>
        </w:rPr>
        <w:t xml:space="preserve">may be included in the body of the report.  For clarity, formulas </w:t>
      </w:r>
      <w:r w:rsidR="006760FE">
        <w:rPr>
          <w:rFonts w:ascii="Garamond" w:hAnsi="Garamond"/>
          <w:sz w:val="24"/>
          <w:szCs w:val="24"/>
        </w:rPr>
        <w:t xml:space="preserve">should be accompanied by narrative explanations including all </w:t>
      </w:r>
      <w:r w:rsidR="003B2517">
        <w:rPr>
          <w:rFonts w:ascii="Garamond" w:hAnsi="Garamond"/>
          <w:sz w:val="24"/>
          <w:szCs w:val="24"/>
        </w:rPr>
        <w:t xml:space="preserve">symbols, </w:t>
      </w:r>
      <w:r w:rsidR="006760FE">
        <w:rPr>
          <w:rFonts w:ascii="Garamond" w:hAnsi="Garamond"/>
          <w:sz w:val="24"/>
          <w:szCs w:val="24"/>
        </w:rPr>
        <w:t>variables and abbreviations.</w:t>
      </w:r>
      <w:r w:rsidR="000948D5">
        <w:rPr>
          <w:rFonts w:ascii="Garamond" w:hAnsi="Garamond"/>
          <w:sz w:val="24"/>
          <w:szCs w:val="24"/>
        </w:rPr>
        <w:t xml:space="preserve">  </w:t>
      </w:r>
      <w:r>
        <w:rPr>
          <w:rFonts w:ascii="Garamond" w:hAnsi="Garamond"/>
          <w:sz w:val="24"/>
          <w:szCs w:val="24"/>
        </w:rPr>
        <w:t>Additional narrative regarding f</w:t>
      </w:r>
      <w:r w:rsidR="000948D5">
        <w:rPr>
          <w:rFonts w:ascii="Garamond" w:hAnsi="Garamond"/>
          <w:sz w:val="24"/>
          <w:szCs w:val="24"/>
        </w:rPr>
        <w:t xml:space="preserve">ormulas, descriptions of methodology used, </w:t>
      </w:r>
      <w:r w:rsidR="00776D95">
        <w:rPr>
          <w:rFonts w:ascii="Garamond" w:hAnsi="Garamond"/>
          <w:sz w:val="24"/>
          <w:szCs w:val="24"/>
        </w:rPr>
        <w:t xml:space="preserve">information sources, </w:t>
      </w:r>
      <w:r w:rsidR="000948D5">
        <w:rPr>
          <w:rFonts w:ascii="Garamond" w:hAnsi="Garamond"/>
          <w:sz w:val="24"/>
          <w:szCs w:val="24"/>
        </w:rPr>
        <w:t>and any other supporting documentation should be placed in appen</w:t>
      </w:r>
      <w:r w:rsidR="00E1275E">
        <w:rPr>
          <w:rFonts w:ascii="Garamond" w:hAnsi="Garamond"/>
          <w:sz w:val="24"/>
          <w:szCs w:val="24"/>
        </w:rPr>
        <w:t>di</w:t>
      </w:r>
      <w:r w:rsidR="00E0743A">
        <w:rPr>
          <w:rFonts w:ascii="Garamond" w:hAnsi="Garamond"/>
          <w:sz w:val="24"/>
          <w:szCs w:val="24"/>
        </w:rPr>
        <w:t>ces</w:t>
      </w:r>
      <w:r w:rsidR="00E1275E">
        <w:rPr>
          <w:rFonts w:ascii="Garamond" w:hAnsi="Garamond"/>
          <w:sz w:val="24"/>
          <w:szCs w:val="24"/>
        </w:rPr>
        <w:t xml:space="preserve"> to provide </w:t>
      </w:r>
      <w:r>
        <w:rPr>
          <w:rFonts w:ascii="Garamond" w:hAnsi="Garamond"/>
          <w:sz w:val="24"/>
          <w:szCs w:val="24"/>
        </w:rPr>
        <w:t xml:space="preserve">clarity regarding how the report was prepared and allow </w:t>
      </w:r>
      <w:r w:rsidR="00E1275E">
        <w:rPr>
          <w:rFonts w:ascii="Garamond" w:hAnsi="Garamond"/>
          <w:sz w:val="24"/>
          <w:szCs w:val="24"/>
        </w:rPr>
        <w:t>easier reading of</w:t>
      </w:r>
      <w:r w:rsidR="000948D5">
        <w:rPr>
          <w:rFonts w:ascii="Garamond" w:hAnsi="Garamond"/>
          <w:sz w:val="24"/>
          <w:szCs w:val="24"/>
        </w:rPr>
        <w:t xml:space="preserve"> the </w:t>
      </w:r>
      <w:r>
        <w:rPr>
          <w:rFonts w:ascii="Garamond" w:hAnsi="Garamond"/>
          <w:sz w:val="24"/>
          <w:szCs w:val="24"/>
        </w:rPr>
        <w:t xml:space="preserve">main </w:t>
      </w:r>
      <w:r w:rsidR="000948D5">
        <w:rPr>
          <w:rFonts w:ascii="Garamond" w:hAnsi="Garamond"/>
          <w:sz w:val="24"/>
          <w:szCs w:val="24"/>
        </w:rPr>
        <w:t>body of the report.</w:t>
      </w:r>
      <w:r>
        <w:rPr>
          <w:rFonts w:ascii="Garamond" w:hAnsi="Garamond"/>
          <w:sz w:val="24"/>
          <w:szCs w:val="24"/>
        </w:rPr>
        <w:t xml:space="preserve">  </w:t>
      </w:r>
    </w:p>
    <w:p w14:paraId="426EAAE2" w14:textId="77777777" w:rsidR="00825C12" w:rsidRPr="00923BAC" w:rsidRDefault="009B4FBE" w:rsidP="009B4FBE">
      <w:pPr>
        <w:spacing w:after="120"/>
        <w:rPr>
          <w:rFonts w:ascii="Garamond" w:hAnsi="Garamond"/>
          <w:b/>
          <w:sz w:val="32"/>
          <w:szCs w:val="32"/>
        </w:rPr>
      </w:pPr>
      <w:r w:rsidRPr="00923BAC">
        <w:rPr>
          <w:rFonts w:ascii="Garamond" w:hAnsi="Garamond"/>
          <w:b/>
          <w:sz w:val="32"/>
          <w:szCs w:val="32"/>
        </w:rPr>
        <w:t>Reporting Deadline</w:t>
      </w:r>
    </w:p>
    <w:p w14:paraId="2A9E7FC9" w14:textId="108128F1" w:rsidR="009B4FBE" w:rsidRDefault="009B4FBE">
      <w:pPr>
        <w:rPr>
          <w:rFonts w:ascii="Garamond" w:hAnsi="Garamond"/>
          <w:sz w:val="24"/>
          <w:szCs w:val="24"/>
        </w:rPr>
      </w:pPr>
      <w:r w:rsidRPr="00923BAC">
        <w:rPr>
          <w:rFonts w:ascii="Garamond" w:hAnsi="Garamond"/>
          <w:sz w:val="24"/>
          <w:szCs w:val="24"/>
        </w:rPr>
        <w:t xml:space="preserve">The annual energy and emissions intensity reports are due to the UTC </w:t>
      </w:r>
      <w:r w:rsidR="00923BAC" w:rsidRPr="00923BAC">
        <w:rPr>
          <w:rFonts w:ascii="Garamond" w:hAnsi="Garamond"/>
          <w:sz w:val="24"/>
          <w:szCs w:val="24"/>
        </w:rPr>
        <w:t>R</w:t>
      </w:r>
      <w:r w:rsidRPr="00923BAC">
        <w:rPr>
          <w:rFonts w:ascii="Garamond" w:hAnsi="Garamond"/>
          <w:sz w:val="24"/>
          <w:szCs w:val="24"/>
        </w:rPr>
        <w:t xml:space="preserve">ecords </w:t>
      </w:r>
      <w:r w:rsidR="00923BAC" w:rsidRPr="00923BAC">
        <w:rPr>
          <w:rFonts w:ascii="Garamond" w:hAnsi="Garamond"/>
          <w:sz w:val="24"/>
          <w:szCs w:val="24"/>
        </w:rPr>
        <w:t>C</w:t>
      </w:r>
      <w:r w:rsidRPr="00923BAC">
        <w:rPr>
          <w:rFonts w:ascii="Garamond" w:hAnsi="Garamond"/>
          <w:sz w:val="24"/>
          <w:szCs w:val="24"/>
        </w:rPr>
        <w:t>enter on or before June 1</w:t>
      </w:r>
      <w:r w:rsidRPr="00923BAC">
        <w:rPr>
          <w:rFonts w:ascii="Garamond" w:hAnsi="Garamond"/>
          <w:sz w:val="24"/>
          <w:szCs w:val="24"/>
          <w:vertAlign w:val="superscript"/>
        </w:rPr>
        <w:t>st</w:t>
      </w:r>
      <w:r w:rsidRPr="00923BAC">
        <w:rPr>
          <w:rFonts w:ascii="Garamond" w:hAnsi="Garamond"/>
          <w:sz w:val="24"/>
          <w:szCs w:val="24"/>
        </w:rPr>
        <w:t xml:space="preserve"> </w:t>
      </w:r>
      <w:r w:rsidR="003B2517">
        <w:rPr>
          <w:rFonts w:ascii="Garamond" w:hAnsi="Garamond"/>
          <w:sz w:val="24"/>
          <w:szCs w:val="24"/>
        </w:rPr>
        <w:t xml:space="preserve">of </w:t>
      </w:r>
      <w:r w:rsidRPr="00923BAC">
        <w:rPr>
          <w:rFonts w:ascii="Garamond" w:hAnsi="Garamond"/>
          <w:sz w:val="24"/>
          <w:szCs w:val="24"/>
        </w:rPr>
        <w:t xml:space="preserve">each year beginning in 2016.  </w:t>
      </w:r>
      <w:r w:rsidRPr="00923BAC">
        <w:rPr>
          <w:rFonts w:ascii="Garamond" w:hAnsi="Garamond"/>
          <w:sz w:val="24"/>
          <w:szCs w:val="24"/>
        </w:rPr>
        <w:t>The section of the rule containing the</w:t>
      </w:r>
      <w:r w:rsidR="00E0743A">
        <w:rPr>
          <w:rFonts w:ascii="Garamond" w:hAnsi="Garamond"/>
          <w:sz w:val="24"/>
          <w:szCs w:val="24"/>
        </w:rPr>
        <w:t xml:space="preserve"> reporting</w:t>
      </w:r>
      <w:r w:rsidRPr="00923BAC">
        <w:rPr>
          <w:rFonts w:ascii="Garamond" w:hAnsi="Garamond"/>
          <w:sz w:val="24"/>
          <w:szCs w:val="24"/>
        </w:rPr>
        <w:t xml:space="preserve"> requirements</w:t>
      </w:r>
      <w:r w:rsidR="00E0743A">
        <w:rPr>
          <w:rFonts w:ascii="Garamond" w:hAnsi="Garamond"/>
          <w:sz w:val="24"/>
          <w:szCs w:val="24"/>
        </w:rPr>
        <w:t>,</w:t>
      </w:r>
      <w:r w:rsidRPr="00923BAC">
        <w:rPr>
          <w:rFonts w:ascii="Garamond" w:hAnsi="Garamond"/>
          <w:sz w:val="24"/>
          <w:szCs w:val="24"/>
        </w:rPr>
        <w:t xml:space="preserve"> </w:t>
      </w:r>
      <w:r w:rsidR="00AD0FB2" w:rsidRPr="00AD0FB2">
        <w:rPr>
          <w:rFonts w:ascii="Garamond" w:hAnsi="Garamond"/>
          <w:sz w:val="24"/>
          <w:szCs w:val="24"/>
        </w:rPr>
        <w:t>WAC 480-109-300</w:t>
      </w:r>
      <w:r w:rsidR="00E0743A">
        <w:rPr>
          <w:rFonts w:ascii="Garamond" w:hAnsi="Garamond"/>
          <w:sz w:val="24"/>
          <w:szCs w:val="24"/>
        </w:rPr>
        <w:t>,</w:t>
      </w:r>
      <w:r w:rsidR="00AD0FB2">
        <w:rPr>
          <w:rFonts w:ascii="Garamond" w:hAnsi="Garamond"/>
          <w:sz w:val="24"/>
          <w:szCs w:val="24"/>
        </w:rPr>
        <w:t xml:space="preserve"> </w:t>
      </w:r>
      <w:r w:rsidRPr="00923BAC">
        <w:rPr>
          <w:rFonts w:ascii="Garamond" w:hAnsi="Garamond"/>
          <w:sz w:val="24"/>
          <w:szCs w:val="24"/>
        </w:rPr>
        <w:t>is shown on the following page.</w:t>
      </w:r>
    </w:p>
    <w:p w14:paraId="4E01A154" w14:textId="7264E66B" w:rsidR="006B4DC8" w:rsidRPr="006B4DC8" w:rsidRDefault="006B4DC8">
      <w:pPr>
        <w:rPr>
          <w:rFonts w:ascii="Garamond" w:hAnsi="Garamond"/>
          <w:b/>
          <w:sz w:val="32"/>
          <w:szCs w:val="32"/>
        </w:rPr>
      </w:pPr>
      <w:r>
        <w:rPr>
          <w:rFonts w:ascii="Garamond" w:hAnsi="Garamond"/>
          <w:b/>
          <w:sz w:val="32"/>
          <w:szCs w:val="32"/>
        </w:rPr>
        <w:t xml:space="preserve">Reporting </w:t>
      </w:r>
      <w:r w:rsidRPr="006B4DC8">
        <w:rPr>
          <w:rFonts w:ascii="Garamond" w:hAnsi="Garamond"/>
          <w:b/>
          <w:sz w:val="32"/>
          <w:szCs w:val="32"/>
        </w:rPr>
        <w:t>Assistance</w:t>
      </w:r>
    </w:p>
    <w:p w14:paraId="4E1676F8" w14:textId="65D33353" w:rsidR="006B4DC8" w:rsidRDefault="006B4DC8">
      <w:pPr>
        <w:rPr>
          <w:rFonts w:ascii="Garamond" w:hAnsi="Garamond"/>
          <w:sz w:val="24"/>
          <w:szCs w:val="24"/>
        </w:rPr>
      </w:pPr>
      <w:r>
        <w:rPr>
          <w:rFonts w:ascii="Garamond" w:hAnsi="Garamond"/>
          <w:sz w:val="24"/>
          <w:szCs w:val="24"/>
        </w:rPr>
        <w:t xml:space="preserve">If you have any questions regarding these new reporting requirements you may call David Nightingale at the UTC at (360) 664-1154, </w:t>
      </w:r>
      <w:hyperlink r:id="rId10" w:history="1">
        <w:r w:rsidRPr="00840F40">
          <w:rPr>
            <w:rStyle w:val="Hyperlink"/>
            <w:rFonts w:ascii="Garamond" w:hAnsi="Garamond"/>
            <w:sz w:val="24"/>
            <w:szCs w:val="24"/>
          </w:rPr>
          <w:t>dnightin@utc.wa.gov</w:t>
        </w:r>
      </w:hyperlink>
      <w:r>
        <w:rPr>
          <w:rFonts w:ascii="Garamond" w:hAnsi="Garamond"/>
          <w:sz w:val="24"/>
          <w:szCs w:val="24"/>
        </w:rPr>
        <w:t>.</w:t>
      </w:r>
    </w:p>
    <w:p w14:paraId="565EDC9B" w14:textId="77777777" w:rsidR="00923BAC" w:rsidRDefault="00923BAC">
      <w:pPr>
        <w:rPr>
          <w:rFonts w:ascii="Garamond" w:hAnsi="Garamond"/>
          <w:sz w:val="24"/>
          <w:szCs w:val="24"/>
        </w:rPr>
      </w:pPr>
    </w:p>
    <w:p w14:paraId="1D991A23" w14:textId="0D178450" w:rsidR="00EA333E" w:rsidRPr="00EA333E" w:rsidRDefault="000948D5" w:rsidP="00E1275E">
      <w:pPr>
        <w:rPr>
          <w:rFonts w:ascii="Times New Roman" w:eastAsia="Times New Roman" w:hAnsi="Times New Roman" w:cs="Times New Roman"/>
          <w:b/>
          <w:bCs/>
          <w:sz w:val="27"/>
          <w:szCs w:val="27"/>
        </w:rPr>
      </w:pPr>
      <w:bookmarkStart w:id="0" w:name="_GoBack"/>
      <w:bookmarkEnd w:id="0"/>
      <w:r>
        <w:rPr>
          <w:rFonts w:ascii="Garamond" w:hAnsi="Garamond"/>
          <w:sz w:val="24"/>
          <w:szCs w:val="24"/>
        </w:rPr>
        <w:br w:type="page"/>
      </w:r>
      <w:r w:rsidR="00EA333E" w:rsidRPr="00EA333E">
        <w:rPr>
          <w:rFonts w:ascii="Times New Roman" w:eastAsia="Times New Roman" w:hAnsi="Times New Roman" w:cs="Times New Roman"/>
          <w:b/>
          <w:bCs/>
          <w:sz w:val="27"/>
          <w:szCs w:val="27"/>
        </w:rPr>
        <w:lastRenderedPageBreak/>
        <w:t>WAC 480-109-300</w:t>
      </w:r>
    </w:p>
    <w:p w14:paraId="158C7B92" w14:textId="77777777" w:rsidR="00EA333E" w:rsidRPr="00EA333E" w:rsidRDefault="00EA333E" w:rsidP="00EA333E">
      <w:pPr>
        <w:spacing w:before="75" w:after="150" w:line="240" w:lineRule="auto"/>
        <w:outlineLvl w:val="2"/>
        <w:rPr>
          <w:rFonts w:ascii="Times New Roman" w:eastAsia="Times New Roman" w:hAnsi="Times New Roman" w:cs="Times New Roman"/>
          <w:b/>
          <w:bCs/>
          <w:sz w:val="27"/>
          <w:szCs w:val="27"/>
        </w:rPr>
      </w:pPr>
      <w:r w:rsidRPr="00EA333E">
        <w:rPr>
          <w:rFonts w:ascii="Times New Roman" w:eastAsia="Times New Roman" w:hAnsi="Times New Roman" w:cs="Times New Roman"/>
          <w:b/>
          <w:bCs/>
          <w:sz w:val="27"/>
          <w:szCs w:val="27"/>
        </w:rPr>
        <w:t>Energy and emissions intensity metrics.</w:t>
      </w:r>
    </w:p>
    <w:p w14:paraId="496D551F" w14:textId="77777777" w:rsidR="00EA333E" w:rsidRPr="00EA333E" w:rsidRDefault="00EA333E" w:rsidP="006706AA">
      <w:pPr>
        <w:spacing w:after="0" w:line="240" w:lineRule="auto"/>
        <w:rPr>
          <w:rFonts w:ascii="Times New Roman" w:eastAsia="Times New Roman" w:hAnsi="Times New Roman" w:cs="Times New Roman"/>
          <w:sz w:val="24"/>
          <w:szCs w:val="24"/>
        </w:rPr>
      </w:pPr>
      <w:r w:rsidRPr="00EA333E">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EA333E">
        <w:rPr>
          <w:rFonts w:ascii="Times New Roman" w:eastAsia="Times New Roman" w:hAnsi="Times New Roman" w:cs="Times New Roman"/>
          <w:sz w:val="24"/>
          <w:szCs w:val="24"/>
        </w:rPr>
        <w:t>A utility must report metrics of energy and emissions intensity to the commission on or before June 1st of each year. The report must include annual values for each metric for the preceding ten calendar years. Each value reported must be based on the annual energy or emissions from all generating resources providing service to customers of that utility in Washington state, regardless of the location of the generating resources. When the metrics are calculated from generators that serve out-of-state and in-state customers, the annual energy and emissions outputs must be prorated to represent the proportion of the resource used by Washington customers.</w:t>
      </w:r>
    </w:p>
    <w:p w14:paraId="0267723D" w14:textId="77777777" w:rsidR="00EA333E" w:rsidRPr="00EA333E" w:rsidRDefault="00EA333E" w:rsidP="006706AA">
      <w:pPr>
        <w:spacing w:before="120" w:after="0" w:line="240" w:lineRule="auto"/>
        <w:rPr>
          <w:rFonts w:ascii="Times New Roman" w:eastAsia="Times New Roman" w:hAnsi="Times New Roman" w:cs="Times New Roman"/>
          <w:sz w:val="24"/>
          <w:szCs w:val="24"/>
        </w:rPr>
      </w:pPr>
      <w:r w:rsidRPr="00EA333E">
        <w:rPr>
          <w:rFonts w:ascii="Times New Roman" w:eastAsia="Times New Roman" w:hAnsi="Times New Roman" w:cs="Times New Roman"/>
          <w:sz w:val="24"/>
          <w:szCs w:val="24"/>
        </w:rPr>
        <w:t>(2) The energy and emissions intensity report shall include the following metrics:</w:t>
      </w:r>
    </w:p>
    <w:p w14:paraId="559637D2" w14:textId="77777777" w:rsidR="00EA333E" w:rsidRPr="00EA333E" w:rsidRDefault="00EA333E" w:rsidP="00EA33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A333E">
        <w:rPr>
          <w:rFonts w:ascii="Times New Roman" w:eastAsia="Times New Roman" w:hAnsi="Times New Roman" w:cs="Times New Roman"/>
          <w:sz w:val="24"/>
          <w:szCs w:val="24"/>
        </w:rPr>
        <w:t>(a) Average megawatt-hours per residential customer;</w:t>
      </w:r>
    </w:p>
    <w:p w14:paraId="7EE84CD4" w14:textId="77777777" w:rsidR="00EA333E" w:rsidRPr="00EA333E" w:rsidRDefault="00EA333E" w:rsidP="00EA33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A333E">
        <w:rPr>
          <w:rFonts w:ascii="Times New Roman" w:eastAsia="Times New Roman" w:hAnsi="Times New Roman" w:cs="Times New Roman"/>
          <w:sz w:val="24"/>
          <w:szCs w:val="24"/>
        </w:rPr>
        <w:t>(b) Average megawatt-hours per commercial customer;</w:t>
      </w:r>
    </w:p>
    <w:p w14:paraId="30D8542F" w14:textId="77777777" w:rsidR="00EA333E" w:rsidRPr="00EA333E" w:rsidRDefault="00EA333E" w:rsidP="00EA33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A333E">
        <w:rPr>
          <w:rFonts w:ascii="Times New Roman" w:eastAsia="Times New Roman" w:hAnsi="Times New Roman" w:cs="Times New Roman"/>
          <w:sz w:val="24"/>
          <w:szCs w:val="24"/>
        </w:rPr>
        <w:t>(c) Megawatt-hours per capita;</w:t>
      </w:r>
    </w:p>
    <w:p w14:paraId="76224997" w14:textId="77777777" w:rsidR="00EA333E" w:rsidRPr="00EA333E" w:rsidRDefault="00EA333E" w:rsidP="00EA33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A333E">
        <w:rPr>
          <w:rFonts w:ascii="Times New Roman" w:eastAsia="Times New Roman" w:hAnsi="Times New Roman" w:cs="Times New Roman"/>
          <w:sz w:val="24"/>
          <w:szCs w:val="24"/>
        </w:rPr>
        <w:t>(d) Million short tons of CO</w:t>
      </w:r>
      <w:r w:rsidRPr="00EA333E">
        <w:rPr>
          <w:rFonts w:ascii="Times New Roman" w:eastAsia="Times New Roman" w:hAnsi="Times New Roman" w:cs="Times New Roman"/>
          <w:sz w:val="19"/>
          <w:szCs w:val="19"/>
        </w:rPr>
        <w:t>2</w:t>
      </w:r>
      <w:r w:rsidRPr="00EA333E">
        <w:rPr>
          <w:rFonts w:ascii="Times New Roman" w:eastAsia="Times New Roman" w:hAnsi="Times New Roman" w:cs="Times New Roman"/>
          <w:sz w:val="24"/>
          <w:szCs w:val="24"/>
        </w:rPr>
        <w:t xml:space="preserve"> emissions; and</w:t>
      </w:r>
    </w:p>
    <w:p w14:paraId="1C6E20BE" w14:textId="77777777" w:rsidR="00EA333E" w:rsidRPr="00EA333E" w:rsidRDefault="00EA333E" w:rsidP="006706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A333E">
        <w:rPr>
          <w:rFonts w:ascii="Times New Roman" w:eastAsia="Times New Roman" w:hAnsi="Times New Roman" w:cs="Times New Roman"/>
          <w:sz w:val="24"/>
          <w:szCs w:val="24"/>
        </w:rPr>
        <w:t>(e) Comparison of annual million short tons of CO</w:t>
      </w:r>
      <w:r w:rsidRPr="00EA333E">
        <w:rPr>
          <w:rFonts w:ascii="Times New Roman" w:eastAsia="Times New Roman" w:hAnsi="Times New Roman" w:cs="Times New Roman"/>
          <w:sz w:val="19"/>
          <w:szCs w:val="19"/>
        </w:rPr>
        <w:t>2</w:t>
      </w:r>
      <w:r w:rsidRPr="00EA333E">
        <w:rPr>
          <w:rFonts w:ascii="Times New Roman" w:eastAsia="Times New Roman" w:hAnsi="Times New Roman" w:cs="Times New Roman"/>
          <w:sz w:val="24"/>
          <w:szCs w:val="24"/>
        </w:rPr>
        <w:t xml:space="preserve"> emissions to 1990 emissions.</w:t>
      </w:r>
    </w:p>
    <w:p w14:paraId="47EAC84E" w14:textId="77777777" w:rsidR="00EA333E" w:rsidRPr="00EA333E" w:rsidRDefault="00EA333E" w:rsidP="006706AA">
      <w:pPr>
        <w:spacing w:before="120" w:after="0" w:line="240" w:lineRule="auto"/>
        <w:rPr>
          <w:rFonts w:ascii="Times New Roman" w:eastAsia="Times New Roman" w:hAnsi="Times New Roman" w:cs="Times New Roman"/>
          <w:sz w:val="24"/>
          <w:szCs w:val="24"/>
        </w:rPr>
      </w:pPr>
      <w:r w:rsidRPr="00EA333E">
        <w:rPr>
          <w:rFonts w:ascii="Times New Roman" w:eastAsia="Times New Roman" w:hAnsi="Times New Roman" w:cs="Times New Roman"/>
          <w:sz w:val="24"/>
          <w:szCs w:val="24"/>
        </w:rPr>
        <w:t xml:space="preserve">(3) </w:t>
      </w:r>
      <w:r w:rsidRPr="00EA333E">
        <w:rPr>
          <w:rFonts w:ascii="Times New Roman" w:eastAsia="Times New Roman" w:hAnsi="Times New Roman" w:cs="Times New Roman"/>
          <w:b/>
          <w:bCs/>
          <w:sz w:val="24"/>
          <w:szCs w:val="24"/>
        </w:rPr>
        <w:t>Unknown generation sources.</w:t>
      </w:r>
      <w:r w:rsidRPr="00EA333E">
        <w:rPr>
          <w:rFonts w:ascii="Times New Roman" w:eastAsia="Times New Roman" w:hAnsi="Times New Roman" w:cs="Times New Roman"/>
          <w:sz w:val="24"/>
          <w:szCs w:val="24"/>
        </w:rPr>
        <w:t xml:space="preserve"> For resources where the utility purchases energy from unknown generation sources, often called "spot market" purchases, from which the emission rates are unknown, the utility shall report emission metrics using the average electric power CO</w:t>
      </w:r>
      <w:r w:rsidRPr="00EA333E">
        <w:rPr>
          <w:rFonts w:ascii="Times New Roman" w:eastAsia="Times New Roman" w:hAnsi="Times New Roman" w:cs="Times New Roman"/>
          <w:sz w:val="19"/>
          <w:szCs w:val="19"/>
        </w:rPr>
        <w:t>2</w:t>
      </w:r>
      <w:r w:rsidRPr="00EA333E">
        <w:rPr>
          <w:rFonts w:ascii="Times New Roman" w:eastAsia="Times New Roman" w:hAnsi="Times New Roman" w:cs="Times New Roman"/>
          <w:sz w:val="24"/>
          <w:szCs w:val="24"/>
        </w:rPr>
        <w:t xml:space="preserve"> emissions rate described as the net system mix (spot market) in the Washington state electric utility fuel mix disclosure reports compiled by the department pursuant to RCW </w:t>
      </w:r>
      <w:hyperlink r:id="rId11" w:history="1">
        <w:r w:rsidRPr="00EA333E">
          <w:rPr>
            <w:rFonts w:ascii="Times New Roman" w:eastAsia="Times New Roman" w:hAnsi="Times New Roman" w:cs="Times New Roman"/>
            <w:color w:val="2B674D"/>
            <w:sz w:val="24"/>
            <w:szCs w:val="24"/>
            <w:u w:val="single"/>
          </w:rPr>
          <w:t>19.29A.080</w:t>
        </w:r>
      </w:hyperlink>
      <w:r w:rsidRPr="00EA333E">
        <w:rPr>
          <w:rFonts w:ascii="Times New Roman" w:eastAsia="Times New Roman" w:hAnsi="Times New Roman" w:cs="Times New Roman"/>
          <w:sz w:val="24"/>
          <w:szCs w:val="24"/>
        </w:rPr>
        <w:t>. For the resources described in this subsection, a utility must show in the report required in subsection (1) of this section the following:</w:t>
      </w:r>
    </w:p>
    <w:p w14:paraId="1513236B" w14:textId="77777777" w:rsidR="00EA333E" w:rsidRPr="00EA333E" w:rsidRDefault="00EA333E" w:rsidP="00EA333E">
      <w:pPr>
        <w:spacing w:after="0" w:line="240" w:lineRule="auto"/>
        <w:ind w:firstLine="360"/>
        <w:rPr>
          <w:rFonts w:ascii="Times New Roman" w:eastAsia="Times New Roman" w:hAnsi="Times New Roman" w:cs="Times New Roman"/>
          <w:sz w:val="24"/>
          <w:szCs w:val="24"/>
        </w:rPr>
      </w:pPr>
      <w:r w:rsidRPr="00EA333E">
        <w:rPr>
          <w:rFonts w:ascii="Times New Roman" w:eastAsia="Times New Roman" w:hAnsi="Times New Roman" w:cs="Times New Roman"/>
          <w:sz w:val="24"/>
          <w:szCs w:val="24"/>
        </w:rPr>
        <w:t>(a) Short tons of CO</w:t>
      </w:r>
      <w:r w:rsidRPr="00EA333E">
        <w:rPr>
          <w:rFonts w:ascii="Times New Roman" w:eastAsia="Times New Roman" w:hAnsi="Times New Roman" w:cs="Times New Roman"/>
          <w:sz w:val="19"/>
          <w:szCs w:val="19"/>
        </w:rPr>
        <w:t>2</w:t>
      </w:r>
      <w:r w:rsidRPr="00EA333E">
        <w:rPr>
          <w:rFonts w:ascii="Times New Roman" w:eastAsia="Times New Roman" w:hAnsi="Times New Roman" w:cs="Times New Roman"/>
          <w:sz w:val="24"/>
          <w:szCs w:val="24"/>
        </w:rPr>
        <w:t xml:space="preserve"> from unknown generation sources;</w:t>
      </w:r>
    </w:p>
    <w:p w14:paraId="1A427380" w14:textId="77777777" w:rsidR="00EA333E" w:rsidRPr="00EA333E" w:rsidRDefault="00EA333E" w:rsidP="00EA333E">
      <w:pPr>
        <w:spacing w:after="0" w:line="240" w:lineRule="auto"/>
        <w:ind w:firstLine="360"/>
        <w:rPr>
          <w:rFonts w:ascii="Times New Roman" w:eastAsia="Times New Roman" w:hAnsi="Times New Roman" w:cs="Times New Roman"/>
          <w:sz w:val="24"/>
          <w:szCs w:val="24"/>
        </w:rPr>
      </w:pPr>
      <w:r w:rsidRPr="00EA333E">
        <w:rPr>
          <w:rFonts w:ascii="Times New Roman" w:eastAsia="Times New Roman" w:hAnsi="Times New Roman" w:cs="Times New Roman"/>
          <w:sz w:val="24"/>
          <w:szCs w:val="24"/>
        </w:rPr>
        <w:t>(b) Megawatt-hours delivered to its retail customers from unknown generation sources; and</w:t>
      </w:r>
    </w:p>
    <w:p w14:paraId="0255AEC0" w14:textId="77777777" w:rsidR="00EA333E" w:rsidRDefault="00EA333E" w:rsidP="006706AA">
      <w:pPr>
        <w:spacing w:after="0" w:line="240" w:lineRule="auto"/>
        <w:ind w:firstLine="360"/>
        <w:rPr>
          <w:rFonts w:ascii="Times New Roman" w:eastAsia="Times New Roman" w:hAnsi="Times New Roman" w:cs="Times New Roman"/>
          <w:sz w:val="24"/>
          <w:szCs w:val="24"/>
        </w:rPr>
      </w:pPr>
      <w:r w:rsidRPr="00EA333E">
        <w:rPr>
          <w:rFonts w:ascii="Times New Roman" w:eastAsia="Times New Roman" w:hAnsi="Times New Roman" w:cs="Times New Roman"/>
          <w:sz w:val="24"/>
          <w:szCs w:val="24"/>
        </w:rPr>
        <w:t>(c) Percentage of total load represented by unknown generation sources.</w:t>
      </w:r>
    </w:p>
    <w:p w14:paraId="2C1DA689" w14:textId="77777777" w:rsidR="00EA333E" w:rsidRPr="00EA333E" w:rsidRDefault="00EA333E" w:rsidP="006706AA">
      <w:pPr>
        <w:spacing w:before="120" w:after="0" w:line="240" w:lineRule="auto"/>
        <w:rPr>
          <w:rFonts w:ascii="Times New Roman" w:eastAsia="Times New Roman" w:hAnsi="Times New Roman" w:cs="Times New Roman"/>
          <w:sz w:val="24"/>
          <w:szCs w:val="24"/>
        </w:rPr>
      </w:pPr>
      <w:r w:rsidRPr="00EA333E">
        <w:rPr>
          <w:rFonts w:ascii="Times New Roman" w:eastAsia="Times New Roman" w:hAnsi="Times New Roman" w:cs="Times New Roman"/>
          <w:sz w:val="24"/>
          <w:szCs w:val="24"/>
        </w:rPr>
        <w:t>(4) The energy and emissions intensity report must include narrative text and graphics describing trends and an analysis of the likely causes of changes, or lack of changes, in the metrics.</w:t>
      </w:r>
    </w:p>
    <w:p w14:paraId="088AA4C0" w14:textId="77777777" w:rsidR="00EA333E" w:rsidRPr="00EA333E" w:rsidRDefault="00EA333E" w:rsidP="00DF475C">
      <w:pPr>
        <w:rPr>
          <w:rFonts w:ascii="Garamond" w:hAnsi="Garamond"/>
        </w:rPr>
      </w:pPr>
    </w:p>
    <w:sectPr w:rsidR="00EA333E" w:rsidRPr="00EA333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6B68B" w14:textId="77777777" w:rsidR="00587A8F" w:rsidRDefault="00587A8F" w:rsidP="00470F1D">
      <w:pPr>
        <w:spacing w:after="0" w:line="240" w:lineRule="auto"/>
      </w:pPr>
      <w:r>
        <w:separator/>
      </w:r>
    </w:p>
  </w:endnote>
  <w:endnote w:type="continuationSeparator" w:id="0">
    <w:p w14:paraId="5DCAA355" w14:textId="77777777" w:rsidR="00587A8F" w:rsidRDefault="00587A8F" w:rsidP="00470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FF696" w14:textId="77777777" w:rsidR="00470F1D" w:rsidRDefault="00470F1D">
    <w:pPr>
      <w:pStyle w:val="Footer"/>
    </w:pPr>
    <w:r w:rsidRPr="00470F1D">
      <w:rPr>
        <w:b/>
        <w:i/>
      </w:rPr>
      <w:t xml:space="preserve">UTC </w:t>
    </w:r>
    <w:r>
      <w:rPr>
        <w:b/>
        <w:i/>
      </w:rPr>
      <w:t>Energy and Emissions Intensity</w:t>
    </w:r>
    <w:r w:rsidRPr="00470F1D">
      <w:rPr>
        <w:b/>
        <w:i/>
      </w:rPr>
      <w:t xml:space="preserve"> Report</w:t>
    </w:r>
    <w:r>
      <w:tab/>
    </w:r>
    <w:r>
      <w:fldChar w:fldCharType="begin"/>
    </w:r>
    <w:r>
      <w:instrText xml:space="preserve"> PAGE  \* Arabic  \* MERGEFORMAT </w:instrText>
    </w:r>
    <w:r>
      <w:fldChar w:fldCharType="separate"/>
    </w:r>
    <w:r w:rsidR="00E0743A">
      <w:rPr>
        <w:noProof/>
      </w:rPr>
      <w:t>2</w:t>
    </w:r>
    <w:r>
      <w:fldChar w:fldCharType="end"/>
    </w:r>
    <w:r>
      <w:ptab w:relativeTo="margin" w:alignment="right" w:leader="none"/>
    </w:r>
    <w:r w:rsidRPr="00470F1D">
      <w:rPr>
        <w:b/>
        <w:i/>
      </w:rPr>
      <w:t>February,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DF873" w14:textId="77777777" w:rsidR="00587A8F" w:rsidRDefault="00587A8F" w:rsidP="00470F1D">
      <w:pPr>
        <w:spacing w:after="0" w:line="240" w:lineRule="auto"/>
      </w:pPr>
      <w:r>
        <w:separator/>
      </w:r>
    </w:p>
  </w:footnote>
  <w:footnote w:type="continuationSeparator" w:id="0">
    <w:p w14:paraId="743F10F9" w14:textId="77777777" w:rsidR="00587A8F" w:rsidRDefault="00587A8F" w:rsidP="00470F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522CF"/>
    <w:multiLevelType w:val="hybridMultilevel"/>
    <w:tmpl w:val="4FD86FA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146A06"/>
    <w:multiLevelType w:val="hybridMultilevel"/>
    <w:tmpl w:val="58D42C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2E068D"/>
    <w:multiLevelType w:val="hybridMultilevel"/>
    <w:tmpl w:val="7CC61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3941FB"/>
    <w:multiLevelType w:val="hybridMultilevel"/>
    <w:tmpl w:val="8DEAF1C2"/>
    <w:lvl w:ilvl="0" w:tplc="21C00A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CD71F0"/>
    <w:multiLevelType w:val="hybridMultilevel"/>
    <w:tmpl w:val="84B201B8"/>
    <w:lvl w:ilvl="0" w:tplc="21C00A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D574E8"/>
    <w:multiLevelType w:val="hybridMultilevel"/>
    <w:tmpl w:val="8620F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E83204"/>
    <w:multiLevelType w:val="hybridMultilevel"/>
    <w:tmpl w:val="1E0C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4"/>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B0F"/>
    <w:rsid w:val="0008034A"/>
    <w:rsid w:val="000944AB"/>
    <w:rsid w:val="000948D5"/>
    <w:rsid w:val="001E4F7E"/>
    <w:rsid w:val="001F03ED"/>
    <w:rsid w:val="00242B0F"/>
    <w:rsid w:val="0031408F"/>
    <w:rsid w:val="00343DCA"/>
    <w:rsid w:val="00360B13"/>
    <w:rsid w:val="00366E4F"/>
    <w:rsid w:val="003B2517"/>
    <w:rsid w:val="00427878"/>
    <w:rsid w:val="00470F1D"/>
    <w:rsid w:val="004C3913"/>
    <w:rsid w:val="00511A25"/>
    <w:rsid w:val="00535A87"/>
    <w:rsid w:val="00587A8F"/>
    <w:rsid w:val="005C51F5"/>
    <w:rsid w:val="0064065C"/>
    <w:rsid w:val="0064632D"/>
    <w:rsid w:val="006706AA"/>
    <w:rsid w:val="006760FE"/>
    <w:rsid w:val="006B4DC8"/>
    <w:rsid w:val="0073353B"/>
    <w:rsid w:val="007349E6"/>
    <w:rsid w:val="00776D95"/>
    <w:rsid w:val="007E5286"/>
    <w:rsid w:val="008205AB"/>
    <w:rsid w:val="00825C12"/>
    <w:rsid w:val="008262C8"/>
    <w:rsid w:val="00876790"/>
    <w:rsid w:val="00877D56"/>
    <w:rsid w:val="008939B8"/>
    <w:rsid w:val="00923BAC"/>
    <w:rsid w:val="00927244"/>
    <w:rsid w:val="009A21FB"/>
    <w:rsid w:val="009B4FBE"/>
    <w:rsid w:val="00A318B5"/>
    <w:rsid w:val="00AA5EC8"/>
    <w:rsid w:val="00AD0FB2"/>
    <w:rsid w:val="00AF3401"/>
    <w:rsid w:val="00B013CB"/>
    <w:rsid w:val="00B82170"/>
    <w:rsid w:val="00BF2021"/>
    <w:rsid w:val="00D5519A"/>
    <w:rsid w:val="00DF475C"/>
    <w:rsid w:val="00E0743A"/>
    <w:rsid w:val="00E1275E"/>
    <w:rsid w:val="00E810BF"/>
    <w:rsid w:val="00EA333E"/>
    <w:rsid w:val="00F3722F"/>
    <w:rsid w:val="00F75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EA4EA"/>
  <w15:chartTrackingRefBased/>
  <w15:docId w15:val="{501FEBAB-5385-4511-8247-5B987197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A333E"/>
    <w:pPr>
      <w:spacing w:before="75" w:after="15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B0F"/>
    <w:pPr>
      <w:ind w:left="720"/>
      <w:contextualSpacing/>
    </w:pPr>
  </w:style>
  <w:style w:type="character" w:customStyle="1" w:styleId="Heading3Char">
    <w:name w:val="Heading 3 Char"/>
    <w:basedOn w:val="DefaultParagraphFont"/>
    <w:link w:val="Heading3"/>
    <w:uiPriority w:val="9"/>
    <w:rsid w:val="00EA333E"/>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EA333E"/>
    <w:rPr>
      <w:color w:val="2B674D"/>
      <w:u w:val="single"/>
    </w:rPr>
  </w:style>
  <w:style w:type="paragraph" w:styleId="Header">
    <w:name w:val="header"/>
    <w:basedOn w:val="Normal"/>
    <w:link w:val="HeaderChar"/>
    <w:uiPriority w:val="99"/>
    <w:unhideWhenUsed/>
    <w:rsid w:val="00470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F1D"/>
  </w:style>
  <w:style w:type="paragraph" w:styleId="Footer">
    <w:name w:val="footer"/>
    <w:basedOn w:val="Normal"/>
    <w:link w:val="FooterChar"/>
    <w:uiPriority w:val="99"/>
    <w:unhideWhenUsed/>
    <w:rsid w:val="00470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F1D"/>
  </w:style>
  <w:style w:type="character" w:styleId="CommentReference">
    <w:name w:val="annotation reference"/>
    <w:basedOn w:val="DefaultParagraphFont"/>
    <w:uiPriority w:val="99"/>
    <w:semiHidden/>
    <w:unhideWhenUsed/>
    <w:rsid w:val="00AA5EC8"/>
    <w:rPr>
      <w:sz w:val="16"/>
      <w:szCs w:val="16"/>
    </w:rPr>
  </w:style>
  <w:style w:type="paragraph" w:styleId="CommentText">
    <w:name w:val="annotation text"/>
    <w:basedOn w:val="Normal"/>
    <w:link w:val="CommentTextChar"/>
    <w:uiPriority w:val="99"/>
    <w:semiHidden/>
    <w:unhideWhenUsed/>
    <w:rsid w:val="00AA5EC8"/>
    <w:pPr>
      <w:spacing w:line="240" w:lineRule="auto"/>
    </w:pPr>
    <w:rPr>
      <w:sz w:val="20"/>
      <w:szCs w:val="20"/>
    </w:rPr>
  </w:style>
  <w:style w:type="character" w:customStyle="1" w:styleId="CommentTextChar">
    <w:name w:val="Comment Text Char"/>
    <w:basedOn w:val="DefaultParagraphFont"/>
    <w:link w:val="CommentText"/>
    <w:uiPriority w:val="99"/>
    <w:semiHidden/>
    <w:rsid w:val="00AA5EC8"/>
    <w:rPr>
      <w:sz w:val="20"/>
      <w:szCs w:val="20"/>
    </w:rPr>
  </w:style>
  <w:style w:type="paragraph" w:styleId="CommentSubject">
    <w:name w:val="annotation subject"/>
    <w:basedOn w:val="CommentText"/>
    <w:next w:val="CommentText"/>
    <w:link w:val="CommentSubjectChar"/>
    <w:uiPriority w:val="99"/>
    <w:semiHidden/>
    <w:unhideWhenUsed/>
    <w:rsid w:val="00AA5EC8"/>
    <w:rPr>
      <w:b/>
      <w:bCs/>
    </w:rPr>
  </w:style>
  <w:style w:type="character" w:customStyle="1" w:styleId="CommentSubjectChar">
    <w:name w:val="Comment Subject Char"/>
    <w:basedOn w:val="CommentTextChar"/>
    <w:link w:val="CommentSubject"/>
    <w:uiPriority w:val="99"/>
    <w:semiHidden/>
    <w:rsid w:val="00AA5EC8"/>
    <w:rPr>
      <w:b/>
      <w:bCs/>
      <w:sz w:val="20"/>
      <w:szCs w:val="20"/>
    </w:rPr>
  </w:style>
  <w:style w:type="paragraph" w:styleId="BalloonText">
    <w:name w:val="Balloon Text"/>
    <w:basedOn w:val="Normal"/>
    <w:link w:val="BalloonTextChar"/>
    <w:uiPriority w:val="99"/>
    <w:semiHidden/>
    <w:unhideWhenUsed/>
    <w:rsid w:val="00AA5E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EC8"/>
    <w:rPr>
      <w:rFonts w:ascii="Segoe UI" w:hAnsi="Segoe UI" w:cs="Segoe UI"/>
      <w:sz w:val="18"/>
      <w:szCs w:val="18"/>
    </w:rPr>
  </w:style>
  <w:style w:type="character" w:styleId="FollowedHyperlink">
    <w:name w:val="FollowedHyperlink"/>
    <w:basedOn w:val="DefaultParagraphFont"/>
    <w:uiPriority w:val="99"/>
    <w:semiHidden/>
    <w:unhideWhenUsed/>
    <w:rsid w:val="003140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96704">
      <w:bodyDiv w:val="1"/>
      <w:marLeft w:val="0"/>
      <w:marRight w:val="0"/>
      <w:marTop w:val="0"/>
      <w:marBottom w:val="0"/>
      <w:divBdr>
        <w:top w:val="none" w:sz="0" w:space="0" w:color="auto"/>
        <w:left w:val="none" w:sz="0" w:space="0" w:color="auto"/>
        <w:bottom w:val="none" w:sz="0" w:space="0" w:color="auto"/>
        <w:right w:val="none" w:sz="0" w:space="0" w:color="auto"/>
      </w:divBdr>
    </w:div>
    <w:div w:id="427192263">
      <w:bodyDiv w:val="1"/>
      <w:marLeft w:val="0"/>
      <w:marRight w:val="0"/>
      <w:marTop w:val="0"/>
      <w:marBottom w:val="0"/>
      <w:divBdr>
        <w:top w:val="none" w:sz="0" w:space="0" w:color="auto"/>
        <w:left w:val="none" w:sz="0" w:space="0" w:color="auto"/>
        <w:bottom w:val="none" w:sz="0" w:space="0" w:color="auto"/>
        <w:right w:val="none" w:sz="0" w:space="0" w:color="auto"/>
      </w:divBdr>
      <w:divsChild>
        <w:div w:id="241254528">
          <w:marLeft w:val="0"/>
          <w:marRight w:val="0"/>
          <w:marTop w:val="0"/>
          <w:marBottom w:val="0"/>
          <w:divBdr>
            <w:top w:val="none" w:sz="0" w:space="0" w:color="auto"/>
            <w:left w:val="none" w:sz="0" w:space="0" w:color="auto"/>
            <w:bottom w:val="none" w:sz="0" w:space="0" w:color="auto"/>
            <w:right w:val="none" w:sz="0" w:space="0" w:color="auto"/>
          </w:divBdr>
          <w:divsChild>
            <w:div w:id="1900819540">
              <w:marLeft w:val="0"/>
              <w:marRight w:val="0"/>
              <w:marTop w:val="0"/>
              <w:marBottom w:val="0"/>
              <w:divBdr>
                <w:top w:val="none" w:sz="0" w:space="0" w:color="auto"/>
                <w:left w:val="none" w:sz="0" w:space="0" w:color="auto"/>
                <w:bottom w:val="none" w:sz="0" w:space="0" w:color="auto"/>
                <w:right w:val="none" w:sz="0" w:space="0" w:color="auto"/>
              </w:divBdr>
              <w:divsChild>
                <w:div w:id="284241953">
                  <w:marLeft w:val="0"/>
                  <w:marRight w:val="0"/>
                  <w:marTop w:val="0"/>
                  <w:marBottom w:val="0"/>
                  <w:divBdr>
                    <w:top w:val="none" w:sz="0" w:space="12" w:color="auto"/>
                    <w:left w:val="none" w:sz="0" w:space="12" w:color="auto"/>
                    <w:bottom w:val="none" w:sz="0" w:space="12" w:color="auto"/>
                    <w:right w:val="none" w:sz="0" w:space="12" w:color="auto"/>
                  </w:divBdr>
                  <w:divsChild>
                    <w:div w:id="50202548">
                      <w:marLeft w:val="0"/>
                      <w:marRight w:val="0"/>
                      <w:marTop w:val="0"/>
                      <w:marBottom w:val="0"/>
                      <w:divBdr>
                        <w:top w:val="none" w:sz="0" w:space="12" w:color="auto"/>
                        <w:left w:val="none" w:sz="0" w:space="12" w:color="auto"/>
                        <w:bottom w:val="none" w:sz="0" w:space="12" w:color="auto"/>
                        <w:right w:val="none" w:sz="0" w:space="12" w:color="auto"/>
                      </w:divBdr>
                      <w:divsChild>
                        <w:div w:id="223639761">
                          <w:marLeft w:val="0"/>
                          <w:marRight w:val="0"/>
                          <w:marTop w:val="0"/>
                          <w:marBottom w:val="0"/>
                          <w:divBdr>
                            <w:top w:val="none" w:sz="0" w:space="0" w:color="auto"/>
                            <w:left w:val="none" w:sz="0" w:space="0" w:color="auto"/>
                            <w:bottom w:val="none" w:sz="0" w:space="0" w:color="auto"/>
                            <w:right w:val="none" w:sz="0" w:space="0" w:color="auto"/>
                          </w:divBdr>
                          <w:divsChild>
                            <w:div w:id="818426217">
                              <w:marLeft w:val="-225"/>
                              <w:marRight w:val="-225"/>
                              <w:marTop w:val="0"/>
                              <w:marBottom w:val="0"/>
                              <w:divBdr>
                                <w:top w:val="none" w:sz="0" w:space="0" w:color="auto"/>
                                <w:left w:val="none" w:sz="0" w:space="0" w:color="auto"/>
                                <w:bottom w:val="none" w:sz="0" w:space="0" w:color="auto"/>
                                <w:right w:val="none" w:sz="0" w:space="0" w:color="auto"/>
                              </w:divBdr>
                              <w:divsChild>
                                <w:div w:id="850146295">
                                  <w:marLeft w:val="0"/>
                                  <w:marRight w:val="0"/>
                                  <w:marTop w:val="0"/>
                                  <w:marBottom w:val="0"/>
                                  <w:divBdr>
                                    <w:top w:val="none" w:sz="0" w:space="0" w:color="auto"/>
                                    <w:left w:val="none" w:sz="0" w:space="0" w:color="auto"/>
                                    <w:bottom w:val="none" w:sz="0" w:space="0" w:color="auto"/>
                                    <w:right w:val="none" w:sz="0" w:space="0" w:color="auto"/>
                                  </w:divBdr>
                                  <w:divsChild>
                                    <w:div w:id="785276966">
                                      <w:marLeft w:val="0"/>
                                      <w:marRight w:val="0"/>
                                      <w:marTop w:val="0"/>
                                      <w:marBottom w:val="0"/>
                                      <w:divBdr>
                                        <w:top w:val="none" w:sz="0" w:space="0" w:color="auto"/>
                                        <w:left w:val="none" w:sz="0" w:space="0" w:color="auto"/>
                                        <w:bottom w:val="none" w:sz="0" w:space="0" w:color="auto"/>
                                        <w:right w:val="none" w:sz="0" w:space="0" w:color="auto"/>
                                      </w:divBdr>
                                      <w:divsChild>
                                        <w:div w:id="477309178">
                                          <w:marLeft w:val="-225"/>
                                          <w:marRight w:val="-225"/>
                                          <w:marTop w:val="0"/>
                                          <w:marBottom w:val="0"/>
                                          <w:divBdr>
                                            <w:top w:val="none" w:sz="0" w:space="0" w:color="auto"/>
                                            <w:left w:val="none" w:sz="0" w:space="0" w:color="auto"/>
                                            <w:bottom w:val="none" w:sz="0" w:space="0" w:color="auto"/>
                                            <w:right w:val="none" w:sz="0" w:space="0" w:color="auto"/>
                                          </w:divBdr>
                                          <w:divsChild>
                                            <w:div w:id="1540974700">
                                              <w:marLeft w:val="0"/>
                                              <w:marRight w:val="0"/>
                                              <w:marTop w:val="0"/>
                                              <w:marBottom w:val="0"/>
                                              <w:divBdr>
                                                <w:top w:val="none" w:sz="0" w:space="0" w:color="auto"/>
                                                <w:left w:val="none" w:sz="0" w:space="0" w:color="auto"/>
                                                <w:bottom w:val="none" w:sz="0" w:space="0" w:color="auto"/>
                                                <w:right w:val="none" w:sz="0" w:space="0" w:color="auto"/>
                                              </w:divBdr>
                                            </w:div>
                                          </w:divsChild>
                                        </w:div>
                                        <w:div w:id="1169490298">
                                          <w:marLeft w:val="-225"/>
                                          <w:marRight w:val="-225"/>
                                          <w:marTop w:val="0"/>
                                          <w:marBottom w:val="0"/>
                                          <w:divBdr>
                                            <w:top w:val="none" w:sz="0" w:space="0" w:color="auto"/>
                                            <w:left w:val="none" w:sz="0" w:space="0" w:color="auto"/>
                                            <w:bottom w:val="none" w:sz="0" w:space="0" w:color="auto"/>
                                            <w:right w:val="none" w:sz="0" w:space="0" w:color="auto"/>
                                          </w:divBdr>
                                          <w:divsChild>
                                            <w:div w:id="583147567">
                                              <w:marLeft w:val="0"/>
                                              <w:marRight w:val="0"/>
                                              <w:marTop w:val="0"/>
                                              <w:marBottom w:val="0"/>
                                              <w:divBdr>
                                                <w:top w:val="none" w:sz="0" w:space="0" w:color="auto"/>
                                                <w:left w:val="none" w:sz="0" w:space="0" w:color="auto"/>
                                                <w:bottom w:val="none" w:sz="0" w:space="0" w:color="auto"/>
                                                <w:right w:val="none" w:sz="0" w:space="0" w:color="auto"/>
                                              </w:divBdr>
                                            </w:div>
                                          </w:divsChild>
                                        </w:div>
                                        <w:div w:id="922030355">
                                          <w:marLeft w:val="0"/>
                                          <w:marRight w:val="0"/>
                                          <w:marTop w:val="0"/>
                                          <w:marBottom w:val="0"/>
                                          <w:divBdr>
                                            <w:top w:val="none" w:sz="0" w:space="0" w:color="auto"/>
                                            <w:left w:val="none" w:sz="0" w:space="0" w:color="auto"/>
                                            <w:bottom w:val="none" w:sz="0" w:space="0" w:color="auto"/>
                                            <w:right w:val="none" w:sz="0" w:space="0" w:color="auto"/>
                                          </w:divBdr>
                                        </w:div>
                                        <w:div w:id="167407104">
                                          <w:marLeft w:val="0"/>
                                          <w:marRight w:val="0"/>
                                          <w:marTop w:val="0"/>
                                          <w:marBottom w:val="0"/>
                                          <w:divBdr>
                                            <w:top w:val="none" w:sz="0" w:space="0" w:color="auto"/>
                                            <w:left w:val="none" w:sz="0" w:space="0" w:color="auto"/>
                                            <w:bottom w:val="none" w:sz="0" w:space="0" w:color="auto"/>
                                            <w:right w:val="none" w:sz="0" w:space="0" w:color="auto"/>
                                          </w:divBdr>
                                        </w:div>
                                        <w:div w:id="367607722">
                                          <w:marLeft w:val="0"/>
                                          <w:marRight w:val="0"/>
                                          <w:marTop w:val="0"/>
                                          <w:marBottom w:val="0"/>
                                          <w:divBdr>
                                            <w:top w:val="none" w:sz="0" w:space="0" w:color="auto"/>
                                            <w:left w:val="none" w:sz="0" w:space="0" w:color="auto"/>
                                            <w:bottom w:val="none" w:sz="0" w:space="0" w:color="auto"/>
                                            <w:right w:val="none" w:sz="0" w:space="0" w:color="auto"/>
                                          </w:divBdr>
                                        </w:div>
                                        <w:div w:id="88821123">
                                          <w:marLeft w:val="0"/>
                                          <w:marRight w:val="0"/>
                                          <w:marTop w:val="0"/>
                                          <w:marBottom w:val="0"/>
                                          <w:divBdr>
                                            <w:top w:val="none" w:sz="0" w:space="0" w:color="auto"/>
                                            <w:left w:val="none" w:sz="0" w:space="0" w:color="auto"/>
                                            <w:bottom w:val="none" w:sz="0" w:space="0" w:color="auto"/>
                                            <w:right w:val="none" w:sz="0" w:space="0" w:color="auto"/>
                                          </w:divBdr>
                                        </w:div>
                                        <w:div w:id="882331194">
                                          <w:marLeft w:val="0"/>
                                          <w:marRight w:val="0"/>
                                          <w:marTop w:val="0"/>
                                          <w:marBottom w:val="0"/>
                                          <w:divBdr>
                                            <w:top w:val="none" w:sz="0" w:space="0" w:color="auto"/>
                                            <w:left w:val="none" w:sz="0" w:space="0" w:color="auto"/>
                                            <w:bottom w:val="none" w:sz="0" w:space="0" w:color="auto"/>
                                            <w:right w:val="none" w:sz="0" w:space="0" w:color="auto"/>
                                          </w:divBdr>
                                        </w:div>
                                        <w:div w:id="377239806">
                                          <w:marLeft w:val="0"/>
                                          <w:marRight w:val="0"/>
                                          <w:marTop w:val="0"/>
                                          <w:marBottom w:val="0"/>
                                          <w:divBdr>
                                            <w:top w:val="none" w:sz="0" w:space="0" w:color="auto"/>
                                            <w:left w:val="none" w:sz="0" w:space="0" w:color="auto"/>
                                            <w:bottom w:val="none" w:sz="0" w:space="0" w:color="auto"/>
                                            <w:right w:val="none" w:sz="0" w:space="0" w:color="auto"/>
                                          </w:divBdr>
                                        </w:div>
                                        <w:div w:id="1873570817">
                                          <w:marLeft w:val="0"/>
                                          <w:marRight w:val="0"/>
                                          <w:marTop w:val="0"/>
                                          <w:marBottom w:val="0"/>
                                          <w:divBdr>
                                            <w:top w:val="none" w:sz="0" w:space="0" w:color="auto"/>
                                            <w:left w:val="none" w:sz="0" w:space="0" w:color="auto"/>
                                            <w:bottom w:val="none" w:sz="0" w:space="0" w:color="auto"/>
                                            <w:right w:val="none" w:sz="0" w:space="0" w:color="auto"/>
                                          </w:divBdr>
                                        </w:div>
                                        <w:div w:id="2087796060">
                                          <w:marLeft w:val="0"/>
                                          <w:marRight w:val="0"/>
                                          <w:marTop w:val="0"/>
                                          <w:marBottom w:val="0"/>
                                          <w:divBdr>
                                            <w:top w:val="none" w:sz="0" w:space="0" w:color="auto"/>
                                            <w:left w:val="none" w:sz="0" w:space="0" w:color="auto"/>
                                            <w:bottom w:val="none" w:sz="0" w:space="0" w:color="auto"/>
                                            <w:right w:val="none" w:sz="0" w:space="0" w:color="auto"/>
                                          </w:divBdr>
                                        </w:div>
                                        <w:div w:id="2128771411">
                                          <w:marLeft w:val="0"/>
                                          <w:marRight w:val="0"/>
                                          <w:marTop w:val="0"/>
                                          <w:marBottom w:val="0"/>
                                          <w:divBdr>
                                            <w:top w:val="none" w:sz="0" w:space="0" w:color="auto"/>
                                            <w:left w:val="none" w:sz="0" w:space="0" w:color="auto"/>
                                            <w:bottom w:val="none" w:sz="0" w:space="0" w:color="auto"/>
                                            <w:right w:val="none" w:sz="0" w:space="0" w:color="auto"/>
                                          </w:divBdr>
                                        </w:div>
                                        <w:div w:id="381906122">
                                          <w:marLeft w:val="0"/>
                                          <w:marRight w:val="0"/>
                                          <w:marTop w:val="0"/>
                                          <w:marBottom w:val="0"/>
                                          <w:divBdr>
                                            <w:top w:val="none" w:sz="0" w:space="0" w:color="auto"/>
                                            <w:left w:val="none" w:sz="0" w:space="0" w:color="auto"/>
                                            <w:bottom w:val="none" w:sz="0" w:space="0" w:color="auto"/>
                                            <w:right w:val="none" w:sz="0" w:space="0" w:color="auto"/>
                                          </w:divBdr>
                                        </w:div>
                                        <w:div w:id="657195406">
                                          <w:marLeft w:val="0"/>
                                          <w:marRight w:val="0"/>
                                          <w:marTop w:val="0"/>
                                          <w:marBottom w:val="0"/>
                                          <w:divBdr>
                                            <w:top w:val="none" w:sz="0" w:space="0" w:color="auto"/>
                                            <w:left w:val="none" w:sz="0" w:space="0" w:color="auto"/>
                                            <w:bottom w:val="none" w:sz="0" w:space="0" w:color="auto"/>
                                            <w:right w:val="none" w:sz="0" w:space="0" w:color="auto"/>
                                          </w:divBdr>
                                        </w:div>
                                        <w:div w:id="9899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370922">
      <w:bodyDiv w:val="1"/>
      <w:marLeft w:val="0"/>
      <w:marRight w:val="0"/>
      <w:marTop w:val="0"/>
      <w:marBottom w:val="0"/>
      <w:divBdr>
        <w:top w:val="none" w:sz="0" w:space="0" w:color="auto"/>
        <w:left w:val="none" w:sz="0" w:space="0" w:color="auto"/>
        <w:bottom w:val="none" w:sz="0" w:space="0" w:color="auto"/>
        <w:right w:val="none" w:sz="0" w:space="0" w:color="auto"/>
      </w:divBdr>
    </w:div>
    <w:div w:id="156671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utc.wa.gov"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www.utc.wa.gov/docs/Pages/DocketLookup.aspx?FilingID=160190"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leg.wa.gov/RCW/default.aspx?cite=19.29A.080"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dnightin@utc.wa.gov" TargetMode="External"/><Relationship Id="rId4" Type="http://schemas.openxmlformats.org/officeDocument/2006/relationships/webSettings" Target="webSettings.xml"/><Relationship Id="rId9" Type="http://schemas.openxmlformats.org/officeDocument/2006/relationships/hyperlink" Target="http://www.utc.wa.gov/docs/Pages/DocketLookup.aspx?FilingID=16019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B95ACBED0A5954D99537522F0B04AD6" ma:contentTypeVersion="104" ma:contentTypeDescription="" ma:contentTypeScope="" ma:versionID="cef0d9013cd2e770490e44dba7863ac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2016-02-09T08:00:00+00:00</OpenedDate>
    <Date1 xmlns="dc463f71-b30c-4ab2-9473-d307f9d35888">2016-02-16T08:00:00+00:00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160190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69FA763-588E-4520-BAFD-B88AEAA459B7}"/>
</file>

<file path=customXml/itemProps2.xml><?xml version="1.0" encoding="utf-8"?>
<ds:datastoreItem xmlns:ds="http://schemas.openxmlformats.org/officeDocument/2006/customXml" ds:itemID="{2E920C34-B675-47F5-9ECF-C363E0A3075D}"/>
</file>

<file path=customXml/itemProps3.xml><?xml version="1.0" encoding="utf-8"?>
<ds:datastoreItem xmlns:ds="http://schemas.openxmlformats.org/officeDocument/2006/customXml" ds:itemID="{12105C30-03B3-4A91-9B13-AB3E8A9D77A1}"/>
</file>

<file path=customXml/itemProps4.xml><?xml version="1.0" encoding="utf-8"?>
<ds:datastoreItem xmlns:ds="http://schemas.openxmlformats.org/officeDocument/2006/customXml" ds:itemID="{F50122AA-C683-4659-8B69-3B4413217E8A}"/>
</file>

<file path=docProps/app.xml><?xml version="1.0" encoding="utf-8"?>
<Properties xmlns="http://schemas.openxmlformats.org/officeDocument/2006/extended-properties" xmlns:vt="http://schemas.openxmlformats.org/officeDocument/2006/docPropsVTypes">
  <Template>Normal</Template>
  <TotalTime>1</TotalTime>
  <Pages>4</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Nightingale, David (UTC)</dc:creator>
  <cp:keywords/>
  <dc:description/>
  <cp:lastModifiedBy>Nightingale, David (UTC)</cp:lastModifiedBy>
  <cp:revision>2</cp:revision>
  <dcterms:created xsi:type="dcterms:W3CDTF">2016-02-16T22:30:00Z</dcterms:created>
  <dcterms:modified xsi:type="dcterms:W3CDTF">2016-02-16T22:30:00Z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0x0101006E56B4D1795A2E4DB2F0B01679ED314A001B95ACBED0A5954D99537522F0B04AD6</vt:lpwstr>
  </property>
  <property fmtid="{D5CDD505-2E9C-101B-9397-08002B2CF9AE}" pid="3" name="_docset_NoMedatataSyncRequired">
    <vt:lpwstr>False</vt:lpwstr>
  </property>
</Properties>
</file>