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946BC" w14:textId="77777777" w:rsidR="00F27CBF" w:rsidRDefault="00F27CBF">
      <w:pPr>
        <w:pStyle w:val="Memo"/>
        <w:rPr>
          <w:sz w:val="23"/>
        </w:rPr>
      </w:pPr>
    </w:p>
    <w:p w14:paraId="677946BD" w14:textId="77777777" w:rsidR="00F27CBF" w:rsidRDefault="00F27CBF">
      <w:pPr>
        <w:jc w:val="center"/>
        <w:rPr>
          <w:sz w:val="23"/>
        </w:rPr>
      </w:pPr>
      <w:r>
        <w:rPr>
          <w:sz w:val="23"/>
        </w:rPr>
        <w:t>GENERAL RULES AND REGULATIONS</w:t>
      </w:r>
    </w:p>
    <w:p w14:paraId="677946BE" w14:textId="77777777" w:rsidR="00F27CBF" w:rsidRDefault="00F27CBF">
      <w:pPr>
        <w:jc w:val="center"/>
        <w:rPr>
          <w:sz w:val="23"/>
        </w:rPr>
      </w:pPr>
      <w:r>
        <w:rPr>
          <w:sz w:val="23"/>
        </w:rPr>
        <w:t>(continued)</w:t>
      </w:r>
    </w:p>
    <w:p w14:paraId="677946BF" w14:textId="77777777" w:rsidR="00F27CBF" w:rsidRDefault="00F27CBF">
      <w:pPr>
        <w:rPr>
          <w:sz w:val="23"/>
        </w:rPr>
      </w:pPr>
    </w:p>
    <w:p w14:paraId="677946C0" w14:textId="7EA95E0E" w:rsidR="00F27CBF" w:rsidRDefault="006D5FD6">
      <w:pPr>
        <w:rPr>
          <w:sz w:val="23"/>
        </w:rPr>
      </w:pPr>
      <w:r w:rsidRPr="00783BC7">
        <w:rPr>
          <w:noProof/>
          <w:sz w:val="20"/>
        </w:rPr>
        <mc:AlternateContent>
          <mc:Choice Requires="wps">
            <w:drawing>
              <wp:anchor distT="0" distB="0" distL="114300" distR="114300" simplePos="0" relativeHeight="251658240" behindDoc="0" locked="0" layoutInCell="1" allowOverlap="1" wp14:anchorId="428A3BFE" wp14:editId="4C2C5152">
                <wp:simplePos x="0" y="0"/>
                <wp:positionH relativeFrom="rightMargin">
                  <wp:posOffset>396240</wp:posOffset>
                </wp:positionH>
                <wp:positionV relativeFrom="topMargin">
                  <wp:posOffset>1562100</wp:posOffset>
                </wp:positionV>
                <wp:extent cx="563880" cy="739902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7399020"/>
                        </a:xfrm>
                        <a:prstGeom prst="rect">
                          <a:avLst/>
                        </a:prstGeom>
                        <a:solidFill>
                          <a:srgbClr val="FFFFFF"/>
                        </a:solidFill>
                        <a:ln w="9525">
                          <a:noFill/>
                          <a:miter lim="800000"/>
                          <a:headEnd/>
                          <a:tailEnd/>
                        </a:ln>
                      </wps:spPr>
                      <wps:txbx>
                        <w:txbxContent>
                          <w:p w14:paraId="267F7ED3" w14:textId="77777777" w:rsidR="006D5FD6" w:rsidRDefault="006D5FD6" w:rsidP="006D5FD6">
                            <w:pPr>
                              <w:rPr>
                                <w:sz w:val="20"/>
                              </w:rPr>
                            </w:pPr>
                          </w:p>
                          <w:p w14:paraId="04311D4D" w14:textId="77777777" w:rsidR="006D5FD6" w:rsidRDefault="006D5FD6" w:rsidP="006D5FD6">
                            <w:pPr>
                              <w:rPr>
                                <w:sz w:val="20"/>
                              </w:rPr>
                            </w:pPr>
                          </w:p>
                          <w:p w14:paraId="6B3DD2BC" w14:textId="77777777" w:rsidR="006D5FD6" w:rsidRDefault="006D5FD6" w:rsidP="006D5FD6">
                            <w:pPr>
                              <w:rPr>
                                <w:sz w:val="20"/>
                              </w:rPr>
                            </w:pPr>
                          </w:p>
                          <w:p w14:paraId="3DCA663D" w14:textId="77777777" w:rsidR="006D5FD6" w:rsidRDefault="006D5FD6" w:rsidP="006D5FD6">
                            <w:pPr>
                              <w:rPr>
                                <w:sz w:val="20"/>
                              </w:rPr>
                            </w:pPr>
                          </w:p>
                          <w:p w14:paraId="18C11A63" w14:textId="77777777" w:rsidR="006D5FD6" w:rsidRDefault="006D5FD6" w:rsidP="006D5FD6">
                            <w:pPr>
                              <w:rPr>
                                <w:sz w:val="20"/>
                              </w:rPr>
                            </w:pPr>
                          </w:p>
                          <w:p w14:paraId="431E14D7" w14:textId="77777777" w:rsidR="006D5FD6" w:rsidRDefault="006D5FD6" w:rsidP="006D5FD6">
                            <w:pPr>
                              <w:rPr>
                                <w:sz w:val="20"/>
                              </w:rPr>
                            </w:pPr>
                          </w:p>
                          <w:p w14:paraId="741263E1" w14:textId="77777777" w:rsidR="006D5FD6" w:rsidRDefault="006D5FD6" w:rsidP="006D5FD6">
                            <w:pPr>
                              <w:rPr>
                                <w:sz w:val="20"/>
                              </w:rPr>
                            </w:pPr>
                          </w:p>
                          <w:p w14:paraId="008E9E89" w14:textId="77777777" w:rsidR="006D5FD6" w:rsidRDefault="006D5FD6" w:rsidP="006D5FD6">
                            <w:pPr>
                              <w:rPr>
                                <w:sz w:val="20"/>
                              </w:rPr>
                            </w:pPr>
                          </w:p>
                          <w:p w14:paraId="7A64A18B" w14:textId="77777777" w:rsidR="006D5FD6" w:rsidRDefault="006D5FD6" w:rsidP="006D5FD6">
                            <w:pPr>
                              <w:rPr>
                                <w:sz w:val="20"/>
                              </w:rPr>
                            </w:pPr>
                          </w:p>
                          <w:p w14:paraId="01963F0C" w14:textId="77777777" w:rsidR="006D5FD6" w:rsidRDefault="006D5FD6" w:rsidP="006D5FD6">
                            <w:pPr>
                              <w:rPr>
                                <w:sz w:val="20"/>
                              </w:rPr>
                            </w:pPr>
                          </w:p>
                          <w:p w14:paraId="7BFD5D70" w14:textId="77777777" w:rsidR="006D5FD6" w:rsidRDefault="006D5FD6" w:rsidP="006D5FD6">
                            <w:pPr>
                              <w:rPr>
                                <w:sz w:val="20"/>
                              </w:rPr>
                            </w:pPr>
                          </w:p>
                          <w:p w14:paraId="41F686BA" w14:textId="77777777" w:rsidR="006D5FD6" w:rsidRDefault="006D5FD6" w:rsidP="006D5FD6">
                            <w:pPr>
                              <w:rPr>
                                <w:sz w:val="20"/>
                              </w:rPr>
                            </w:pPr>
                          </w:p>
                          <w:p w14:paraId="299B684F" w14:textId="77777777" w:rsidR="006D5FD6" w:rsidRDefault="006D5FD6" w:rsidP="006D5FD6">
                            <w:pPr>
                              <w:rPr>
                                <w:sz w:val="20"/>
                              </w:rPr>
                            </w:pPr>
                          </w:p>
                          <w:p w14:paraId="49FD7744" w14:textId="77777777" w:rsidR="006D5FD6" w:rsidRDefault="006D5FD6" w:rsidP="006D5FD6">
                            <w:pPr>
                              <w:rPr>
                                <w:sz w:val="20"/>
                              </w:rPr>
                            </w:pPr>
                          </w:p>
                          <w:p w14:paraId="1BD53A01" w14:textId="77777777" w:rsidR="006D5FD6" w:rsidRDefault="006D5FD6" w:rsidP="006D5FD6">
                            <w:pPr>
                              <w:rPr>
                                <w:sz w:val="20"/>
                              </w:rPr>
                            </w:pPr>
                          </w:p>
                          <w:p w14:paraId="5E1F0B15" w14:textId="77777777" w:rsidR="006D5FD6" w:rsidRDefault="006D5FD6" w:rsidP="006D5FD6">
                            <w:pPr>
                              <w:rPr>
                                <w:sz w:val="20"/>
                              </w:rPr>
                            </w:pPr>
                          </w:p>
                          <w:p w14:paraId="67F912D9" w14:textId="77777777" w:rsidR="006D5FD6" w:rsidRDefault="006D5FD6" w:rsidP="006D5FD6">
                            <w:pPr>
                              <w:rPr>
                                <w:sz w:val="20"/>
                              </w:rPr>
                            </w:pPr>
                          </w:p>
                          <w:p w14:paraId="53F6C0A6" w14:textId="77777777" w:rsidR="006D5FD6" w:rsidRDefault="006D5FD6" w:rsidP="006D5FD6">
                            <w:pPr>
                              <w:rPr>
                                <w:sz w:val="20"/>
                              </w:rPr>
                            </w:pPr>
                          </w:p>
                          <w:p w14:paraId="3C498BFA" w14:textId="77777777" w:rsidR="006D5FD6" w:rsidRDefault="006D5FD6" w:rsidP="006D5FD6">
                            <w:pPr>
                              <w:rPr>
                                <w:sz w:val="20"/>
                              </w:rPr>
                            </w:pPr>
                          </w:p>
                          <w:p w14:paraId="6C8BD055" w14:textId="77777777" w:rsidR="006D5FD6" w:rsidRDefault="006D5FD6" w:rsidP="006D5FD6">
                            <w:pPr>
                              <w:rPr>
                                <w:sz w:val="20"/>
                              </w:rPr>
                            </w:pPr>
                          </w:p>
                          <w:p w14:paraId="4AC436E7" w14:textId="77777777" w:rsidR="006D5FD6" w:rsidRDefault="006D5FD6" w:rsidP="006D5FD6">
                            <w:pPr>
                              <w:rPr>
                                <w:sz w:val="20"/>
                              </w:rPr>
                            </w:pPr>
                          </w:p>
                          <w:p w14:paraId="647B16A7" w14:textId="77777777" w:rsidR="006D5FD6" w:rsidRDefault="006D5FD6" w:rsidP="006D5FD6">
                            <w:pPr>
                              <w:rPr>
                                <w:sz w:val="20"/>
                              </w:rPr>
                            </w:pPr>
                          </w:p>
                          <w:p w14:paraId="45BCEE9D" w14:textId="77777777" w:rsidR="003A5A16" w:rsidRDefault="003A5A16" w:rsidP="006D5FD6">
                            <w:pPr>
                              <w:rPr>
                                <w:sz w:val="20"/>
                              </w:rPr>
                            </w:pPr>
                          </w:p>
                          <w:p w14:paraId="61210398" w14:textId="77777777" w:rsidR="006D5FD6" w:rsidRDefault="006D5FD6" w:rsidP="006D5FD6">
                            <w:pPr>
                              <w:rPr>
                                <w:sz w:val="20"/>
                              </w:rPr>
                            </w:pPr>
                            <w:r>
                              <w:rPr>
                                <w:sz w:val="20"/>
                              </w:rPr>
                              <w:t>(C)</w:t>
                            </w:r>
                          </w:p>
                          <w:p w14:paraId="4A93D2E2" w14:textId="264EA3C3" w:rsidR="006D5FD6" w:rsidRDefault="006D5FD6" w:rsidP="006D5FD6">
                            <w:pPr>
                              <w:rPr>
                                <w:sz w:val="20"/>
                              </w:rPr>
                            </w:pPr>
                            <w:r>
                              <w:rPr>
                                <w:sz w:val="20"/>
                              </w:rPr>
                              <w:t>(D)</w:t>
                            </w:r>
                          </w:p>
                          <w:p w14:paraId="240DFAD3" w14:textId="77777777" w:rsidR="006D5FD6" w:rsidRDefault="006D5FD6" w:rsidP="006D5FD6">
                            <w:pPr>
                              <w:rPr>
                                <w:sz w:val="20"/>
                              </w:rPr>
                            </w:pPr>
                          </w:p>
                          <w:p w14:paraId="475C3882" w14:textId="77777777" w:rsidR="006D5FD6" w:rsidRDefault="006D5FD6" w:rsidP="006D5FD6">
                            <w:pPr>
                              <w:rPr>
                                <w:sz w:val="20"/>
                              </w:rPr>
                            </w:pPr>
                          </w:p>
                          <w:p w14:paraId="37F0B47C" w14:textId="77777777" w:rsidR="006D5FD6" w:rsidRDefault="006D5FD6" w:rsidP="006D5FD6">
                            <w:pPr>
                              <w:rPr>
                                <w:sz w:val="20"/>
                              </w:rPr>
                            </w:pPr>
                          </w:p>
                          <w:p w14:paraId="2848CA0C" w14:textId="77777777" w:rsidR="006D5FD6" w:rsidRDefault="006D5FD6" w:rsidP="006D5FD6">
                            <w:pPr>
                              <w:rPr>
                                <w:sz w:val="20"/>
                              </w:rPr>
                            </w:pPr>
                          </w:p>
                          <w:p w14:paraId="0B7BEF67" w14:textId="77777777" w:rsidR="006D5FD6" w:rsidRDefault="006D5FD6" w:rsidP="006D5FD6">
                            <w:pPr>
                              <w:rPr>
                                <w:sz w:val="20"/>
                              </w:rPr>
                            </w:pPr>
                          </w:p>
                          <w:p w14:paraId="2C9BE902" w14:textId="77777777" w:rsidR="006D5FD6" w:rsidRDefault="006D5FD6" w:rsidP="006D5FD6">
                            <w:pPr>
                              <w:rPr>
                                <w:sz w:val="20"/>
                              </w:rPr>
                            </w:pPr>
                          </w:p>
                          <w:p w14:paraId="7446BA1B" w14:textId="77777777" w:rsidR="006D5FD6" w:rsidRDefault="006D5FD6" w:rsidP="006D5FD6">
                            <w:pPr>
                              <w:rPr>
                                <w:sz w:val="20"/>
                              </w:rPr>
                            </w:pPr>
                          </w:p>
                          <w:p w14:paraId="585E897B" w14:textId="77777777" w:rsidR="006D5FD6" w:rsidRDefault="006D5FD6" w:rsidP="006D5F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pt;margin-top:123pt;width:44.4pt;height:582.6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CVIAIAAB0EAAAOAAAAZHJzL2Uyb0RvYy54bWysU9uO2yAQfa/Uf0C8N3Zum8SKs9pmm6rS&#10;9iLt9gMwxjEqMBRI7PTrd8DZbLR9q8oDAmY4nDlzWN/2WpGjcF6CKel4lFMiDIdamn1Jfz7tPiwp&#10;8YGZmikwoqQn4ent5v27dWcLMYEWVC0cQRDji86WtA3BFlnmeSs08yOwwmCwAadZwK3bZ7VjHaJr&#10;lU3y/CbrwNXWARfe4+n9EKSbhN80gofvTeNFIKqkyC2k2aW5inO2WbNi75htJT/TYP/AQjNp8NEL&#10;1D0LjByc/AtKS+7AQxNGHHQGTSO5SDVgNeP8TTWPLbMi1YLieHuRyf8/WP7t+MMRWZd0mi8oMUxj&#10;k55EH8hH6Mkk6tNZX2Dao8XE0OMx9jnV6u0D8F+eGNi2zOzFnXPQtYLVyG8cb2ZXVwccH0Gq7ivU&#10;+Aw7BEhAfeN0FA/lIIiOfTpdehOpcDyc30yXS4xwDC2mq1U+Sc3LWPFy2zofPgvQJC5K6rD3CZ0d&#10;H3yIbFjxkhIf86BkvZNKpY3bV1vlyJGhT3ZppALepClDupKu5pN5QjYQ7ycLaRnQx0rqki7zOAZn&#10;RTU+mTqlBCbVsEYmypzliYoM2oS+6jExalZBfUKhHAx+xf+FixbcH0o69GpJ/e8Dc4IS9cWg2Kvx&#10;bBbNnTaz+QKlIe46Ul1HmOEIVdJAybDchvQhog4G7rApjUx6vTI5c0UPJhnP/yWa/Hqfsl5/9eYZ&#10;AAD//wMAUEsDBBQABgAIAAAAIQDOoH+u3gAAAAsBAAAPAAAAZHJzL2Rvd25yZXYueG1sTI9BT4NA&#10;EIXvJv6HzZh4MXaBUKrI0qiJxmtrf8AAUyCys4TdFvrvnZ709l7my5v3iu1iB3WmyfeODcSrCBRx&#10;7ZqeWwOH74/HJ1A+IDc4OCYDF/KwLW9vCswbN/OOzvvQKglhn6OBLoQx19rXHVn0KzcSy+3oJotB&#10;7NTqZsJZwu2gkyjKtMWe5UOHI713VP/sT9bA8Wt+WD/P1Wc4bHZp9ob9pnIXY+7vltcXUIGW8AfD&#10;tb5Uh1I6Ve7EjVeDgSxJhTSQpJlsugLrOAFViUhjUbos9P8N5S8AAAD//wMAUEsBAi0AFAAGAAgA&#10;AAAhALaDOJL+AAAA4QEAABMAAAAAAAAAAAAAAAAAAAAAAFtDb250ZW50X1R5cGVzXS54bWxQSwEC&#10;LQAUAAYACAAAACEAOP0h/9YAAACUAQAACwAAAAAAAAAAAAAAAAAvAQAAX3JlbHMvLnJlbHNQSwEC&#10;LQAUAAYACAAAACEAZzkQlSACAAAdBAAADgAAAAAAAAAAAAAAAAAuAgAAZHJzL2Uyb0RvYy54bWxQ&#10;SwECLQAUAAYACAAAACEAzqB/rt4AAAALAQAADwAAAAAAAAAAAAAAAAB6BAAAZHJzL2Rvd25yZXYu&#10;eG1sUEsFBgAAAAAEAAQA8wAAAIUFAAAAAA==&#10;" stroked="f">
                <v:textbox>
                  <w:txbxContent>
                    <w:p w14:paraId="267F7ED3" w14:textId="77777777" w:rsidR="006D5FD6" w:rsidRDefault="006D5FD6" w:rsidP="006D5FD6">
                      <w:pPr>
                        <w:rPr>
                          <w:sz w:val="20"/>
                        </w:rPr>
                      </w:pPr>
                    </w:p>
                    <w:p w14:paraId="04311D4D" w14:textId="77777777" w:rsidR="006D5FD6" w:rsidRDefault="006D5FD6" w:rsidP="006D5FD6">
                      <w:pPr>
                        <w:rPr>
                          <w:sz w:val="20"/>
                        </w:rPr>
                      </w:pPr>
                    </w:p>
                    <w:p w14:paraId="6B3DD2BC" w14:textId="77777777" w:rsidR="006D5FD6" w:rsidRDefault="006D5FD6" w:rsidP="006D5FD6">
                      <w:pPr>
                        <w:rPr>
                          <w:sz w:val="20"/>
                        </w:rPr>
                      </w:pPr>
                    </w:p>
                    <w:p w14:paraId="3DCA663D" w14:textId="77777777" w:rsidR="006D5FD6" w:rsidRDefault="006D5FD6" w:rsidP="006D5FD6">
                      <w:pPr>
                        <w:rPr>
                          <w:sz w:val="20"/>
                        </w:rPr>
                      </w:pPr>
                    </w:p>
                    <w:p w14:paraId="18C11A63" w14:textId="77777777" w:rsidR="006D5FD6" w:rsidRDefault="006D5FD6" w:rsidP="006D5FD6">
                      <w:pPr>
                        <w:rPr>
                          <w:sz w:val="20"/>
                        </w:rPr>
                      </w:pPr>
                    </w:p>
                    <w:p w14:paraId="431E14D7" w14:textId="77777777" w:rsidR="006D5FD6" w:rsidRDefault="006D5FD6" w:rsidP="006D5FD6">
                      <w:pPr>
                        <w:rPr>
                          <w:sz w:val="20"/>
                        </w:rPr>
                      </w:pPr>
                    </w:p>
                    <w:p w14:paraId="741263E1" w14:textId="77777777" w:rsidR="006D5FD6" w:rsidRDefault="006D5FD6" w:rsidP="006D5FD6">
                      <w:pPr>
                        <w:rPr>
                          <w:sz w:val="20"/>
                        </w:rPr>
                      </w:pPr>
                    </w:p>
                    <w:p w14:paraId="008E9E89" w14:textId="77777777" w:rsidR="006D5FD6" w:rsidRDefault="006D5FD6" w:rsidP="006D5FD6">
                      <w:pPr>
                        <w:rPr>
                          <w:sz w:val="20"/>
                        </w:rPr>
                      </w:pPr>
                    </w:p>
                    <w:p w14:paraId="7A64A18B" w14:textId="77777777" w:rsidR="006D5FD6" w:rsidRDefault="006D5FD6" w:rsidP="006D5FD6">
                      <w:pPr>
                        <w:rPr>
                          <w:sz w:val="20"/>
                        </w:rPr>
                      </w:pPr>
                    </w:p>
                    <w:p w14:paraId="01963F0C" w14:textId="77777777" w:rsidR="006D5FD6" w:rsidRDefault="006D5FD6" w:rsidP="006D5FD6">
                      <w:pPr>
                        <w:rPr>
                          <w:sz w:val="20"/>
                        </w:rPr>
                      </w:pPr>
                    </w:p>
                    <w:p w14:paraId="7BFD5D70" w14:textId="77777777" w:rsidR="006D5FD6" w:rsidRDefault="006D5FD6" w:rsidP="006D5FD6">
                      <w:pPr>
                        <w:rPr>
                          <w:sz w:val="20"/>
                        </w:rPr>
                      </w:pPr>
                    </w:p>
                    <w:p w14:paraId="41F686BA" w14:textId="77777777" w:rsidR="006D5FD6" w:rsidRDefault="006D5FD6" w:rsidP="006D5FD6">
                      <w:pPr>
                        <w:rPr>
                          <w:sz w:val="20"/>
                        </w:rPr>
                      </w:pPr>
                    </w:p>
                    <w:p w14:paraId="299B684F" w14:textId="77777777" w:rsidR="006D5FD6" w:rsidRDefault="006D5FD6" w:rsidP="006D5FD6">
                      <w:pPr>
                        <w:rPr>
                          <w:sz w:val="20"/>
                        </w:rPr>
                      </w:pPr>
                    </w:p>
                    <w:p w14:paraId="49FD7744" w14:textId="77777777" w:rsidR="006D5FD6" w:rsidRDefault="006D5FD6" w:rsidP="006D5FD6">
                      <w:pPr>
                        <w:rPr>
                          <w:sz w:val="20"/>
                        </w:rPr>
                      </w:pPr>
                    </w:p>
                    <w:p w14:paraId="1BD53A01" w14:textId="77777777" w:rsidR="006D5FD6" w:rsidRDefault="006D5FD6" w:rsidP="006D5FD6">
                      <w:pPr>
                        <w:rPr>
                          <w:sz w:val="20"/>
                        </w:rPr>
                      </w:pPr>
                    </w:p>
                    <w:p w14:paraId="5E1F0B15" w14:textId="77777777" w:rsidR="006D5FD6" w:rsidRDefault="006D5FD6" w:rsidP="006D5FD6">
                      <w:pPr>
                        <w:rPr>
                          <w:sz w:val="20"/>
                        </w:rPr>
                      </w:pPr>
                    </w:p>
                    <w:p w14:paraId="67F912D9" w14:textId="77777777" w:rsidR="006D5FD6" w:rsidRDefault="006D5FD6" w:rsidP="006D5FD6">
                      <w:pPr>
                        <w:rPr>
                          <w:sz w:val="20"/>
                        </w:rPr>
                      </w:pPr>
                    </w:p>
                    <w:p w14:paraId="53F6C0A6" w14:textId="77777777" w:rsidR="006D5FD6" w:rsidRDefault="006D5FD6" w:rsidP="006D5FD6">
                      <w:pPr>
                        <w:rPr>
                          <w:sz w:val="20"/>
                        </w:rPr>
                      </w:pPr>
                    </w:p>
                    <w:p w14:paraId="3C498BFA" w14:textId="77777777" w:rsidR="006D5FD6" w:rsidRDefault="006D5FD6" w:rsidP="006D5FD6">
                      <w:pPr>
                        <w:rPr>
                          <w:sz w:val="20"/>
                        </w:rPr>
                      </w:pPr>
                    </w:p>
                    <w:p w14:paraId="6C8BD055" w14:textId="77777777" w:rsidR="006D5FD6" w:rsidRDefault="006D5FD6" w:rsidP="006D5FD6">
                      <w:pPr>
                        <w:rPr>
                          <w:sz w:val="20"/>
                        </w:rPr>
                      </w:pPr>
                    </w:p>
                    <w:p w14:paraId="4AC436E7" w14:textId="77777777" w:rsidR="006D5FD6" w:rsidRDefault="006D5FD6" w:rsidP="006D5FD6">
                      <w:pPr>
                        <w:rPr>
                          <w:sz w:val="20"/>
                        </w:rPr>
                      </w:pPr>
                    </w:p>
                    <w:p w14:paraId="647B16A7" w14:textId="77777777" w:rsidR="006D5FD6" w:rsidRDefault="006D5FD6" w:rsidP="006D5FD6">
                      <w:pPr>
                        <w:rPr>
                          <w:sz w:val="20"/>
                        </w:rPr>
                      </w:pPr>
                    </w:p>
                    <w:p w14:paraId="45BCEE9D" w14:textId="77777777" w:rsidR="003A5A16" w:rsidRDefault="003A5A16" w:rsidP="006D5FD6">
                      <w:pPr>
                        <w:rPr>
                          <w:sz w:val="20"/>
                        </w:rPr>
                      </w:pPr>
                    </w:p>
                    <w:p w14:paraId="61210398" w14:textId="77777777" w:rsidR="006D5FD6" w:rsidRDefault="006D5FD6" w:rsidP="006D5FD6">
                      <w:pPr>
                        <w:rPr>
                          <w:sz w:val="20"/>
                        </w:rPr>
                      </w:pPr>
                      <w:r>
                        <w:rPr>
                          <w:sz w:val="20"/>
                        </w:rPr>
                        <w:t>(C)</w:t>
                      </w:r>
                    </w:p>
                    <w:p w14:paraId="4A93D2E2" w14:textId="264EA3C3" w:rsidR="006D5FD6" w:rsidRDefault="006D5FD6" w:rsidP="006D5FD6">
                      <w:pPr>
                        <w:rPr>
                          <w:sz w:val="20"/>
                        </w:rPr>
                      </w:pPr>
                      <w:r>
                        <w:rPr>
                          <w:sz w:val="20"/>
                        </w:rPr>
                        <w:t>(D)</w:t>
                      </w:r>
                    </w:p>
                    <w:p w14:paraId="240DFAD3" w14:textId="77777777" w:rsidR="006D5FD6" w:rsidRDefault="006D5FD6" w:rsidP="006D5FD6">
                      <w:pPr>
                        <w:rPr>
                          <w:sz w:val="20"/>
                        </w:rPr>
                      </w:pPr>
                    </w:p>
                    <w:p w14:paraId="475C3882" w14:textId="77777777" w:rsidR="006D5FD6" w:rsidRDefault="006D5FD6" w:rsidP="006D5FD6">
                      <w:pPr>
                        <w:rPr>
                          <w:sz w:val="20"/>
                        </w:rPr>
                      </w:pPr>
                    </w:p>
                    <w:p w14:paraId="37F0B47C" w14:textId="77777777" w:rsidR="006D5FD6" w:rsidRDefault="006D5FD6" w:rsidP="006D5FD6">
                      <w:pPr>
                        <w:rPr>
                          <w:sz w:val="20"/>
                        </w:rPr>
                      </w:pPr>
                    </w:p>
                    <w:p w14:paraId="2848CA0C" w14:textId="77777777" w:rsidR="006D5FD6" w:rsidRDefault="006D5FD6" w:rsidP="006D5FD6">
                      <w:pPr>
                        <w:rPr>
                          <w:sz w:val="20"/>
                        </w:rPr>
                      </w:pPr>
                    </w:p>
                    <w:p w14:paraId="0B7BEF67" w14:textId="77777777" w:rsidR="006D5FD6" w:rsidRDefault="006D5FD6" w:rsidP="006D5FD6">
                      <w:pPr>
                        <w:rPr>
                          <w:sz w:val="20"/>
                        </w:rPr>
                      </w:pPr>
                    </w:p>
                    <w:p w14:paraId="2C9BE902" w14:textId="77777777" w:rsidR="006D5FD6" w:rsidRDefault="006D5FD6" w:rsidP="006D5FD6">
                      <w:pPr>
                        <w:rPr>
                          <w:sz w:val="20"/>
                        </w:rPr>
                      </w:pPr>
                    </w:p>
                    <w:p w14:paraId="7446BA1B" w14:textId="77777777" w:rsidR="006D5FD6" w:rsidRDefault="006D5FD6" w:rsidP="006D5FD6">
                      <w:pPr>
                        <w:rPr>
                          <w:sz w:val="20"/>
                        </w:rPr>
                      </w:pPr>
                    </w:p>
                    <w:p w14:paraId="585E897B" w14:textId="77777777" w:rsidR="006D5FD6" w:rsidRDefault="006D5FD6" w:rsidP="006D5FD6">
                      <w:pPr>
                        <w:rPr>
                          <w:sz w:val="20"/>
                        </w:rPr>
                      </w:pPr>
                    </w:p>
                  </w:txbxContent>
                </v:textbox>
                <w10:wrap anchorx="margin" anchory="margin"/>
              </v:shape>
            </w:pict>
          </mc:Fallback>
        </mc:AlternateContent>
      </w:r>
    </w:p>
    <w:p w14:paraId="677946C1" w14:textId="77777777" w:rsidR="00F27CBF" w:rsidRDefault="00F27CBF">
      <w:pPr>
        <w:rPr>
          <w:b/>
          <w:sz w:val="23"/>
        </w:rPr>
      </w:pPr>
      <w:r>
        <w:rPr>
          <w:b/>
          <w:sz w:val="23"/>
        </w:rPr>
        <w:t>Rule 11.</w:t>
      </w:r>
      <w:r>
        <w:rPr>
          <w:b/>
          <w:sz w:val="23"/>
        </w:rPr>
        <w:tab/>
        <w:t>Determination of Thermal Units. (continued)</w:t>
      </w:r>
    </w:p>
    <w:p w14:paraId="677946C2" w14:textId="77777777" w:rsidR="00F27CBF" w:rsidRDefault="00F27CBF">
      <w:pPr>
        <w:rPr>
          <w:b/>
          <w:sz w:val="23"/>
        </w:rPr>
      </w:pPr>
    </w:p>
    <w:p w14:paraId="677946C3" w14:textId="77777777" w:rsidR="00F27CBF" w:rsidRDefault="00F27CBF">
      <w:pPr>
        <w:tabs>
          <w:tab w:val="left" w:pos="-720"/>
        </w:tabs>
        <w:suppressAutoHyphens/>
        <w:rPr>
          <w:spacing w:val="-2"/>
          <w:sz w:val="19"/>
        </w:rPr>
      </w:pPr>
      <w:r>
        <w:rPr>
          <w:spacing w:val="-2"/>
          <w:sz w:val="19"/>
        </w:rPr>
        <w:t xml:space="preserve">Temperature Factor (TF) is an average determined from representative samples of metering temperatures for the billing period.  Temperature information for most accounts will be obtained from daily temperature data for the weather stations specified in this </w:t>
      </w:r>
      <w:r>
        <w:rPr>
          <w:rFonts w:ascii="Arial Bold" w:hAnsi="Arial Bold"/>
          <w:b/>
          <w:smallCaps/>
          <w:spacing w:val="-2"/>
          <w:sz w:val="19"/>
        </w:rPr>
        <w:t xml:space="preserve">Rule 11, </w:t>
      </w:r>
      <w:r>
        <w:rPr>
          <w:spacing w:val="-2"/>
          <w:sz w:val="19"/>
        </w:rPr>
        <w:t>as</w:t>
      </w:r>
      <w:r>
        <w:rPr>
          <w:b/>
          <w:spacing w:val="-2"/>
          <w:sz w:val="19"/>
        </w:rPr>
        <w:t xml:space="preserve"> </w:t>
      </w:r>
      <w:r>
        <w:rPr>
          <w:spacing w:val="-2"/>
          <w:sz w:val="19"/>
        </w:rPr>
        <w:t>published daily by third party sources.  The temperature factor might alternatively be applied through on-site temperature compensating devices or other temperature recording equipment.</w:t>
      </w:r>
    </w:p>
    <w:p w14:paraId="677946C4" w14:textId="77777777" w:rsidR="00F27CBF" w:rsidRDefault="00F27CBF">
      <w:pPr>
        <w:tabs>
          <w:tab w:val="left" w:pos="-720"/>
        </w:tabs>
        <w:suppressAutoHyphens/>
        <w:rPr>
          <w:spacing w:val="-2"/>
          <w:sz w:val="19"/>
        </w:rPr>
      </w:pPr>
    </w:p>
    <w:p w14:paraId="677946C5" w14:textId="77777777" w:rsidR="00F27CBF" w:rsidRDefault="00F27CBF">
      <w:pPr>
        <w:tabs>
          <w:tab w:val="left" w:pos="-720"/>
        </w:tabs>
        <w:suppressAutoHyphens/>
        <w:rPr>
          <w:spacing w:val="-2"/>
          <w:sz w:val="18"/>
        </w:rPr>
      </w:pPr>
      <w:r>
        <w:rPr>
          <w:spacing w:val="-2"/>
          <w:sz w:val="19"/>
        </w:rPr>
        <w:tab/>
      </w:r>
      <w:r>
        <w:rPr>
          <w:spacing w:val="-2"/>
          <w:sz w:val="18"/>
        </w:rPr>
        <w:t xml:space="preserve">Temperature Factor =   </w:t>
      </w:r>
      <w:r>
        <w:rPr>
          <w:spacing w:val="-2"/>
          <w:sz w:val="18"/>
        </w:rPr>
        <w:tab/>
      </w:r>
      <w:r>
        <w:rPr>
          <w:spacing w:val="-2"/>
          <w:sz w:val="18"/>
          <w:u w:val="single"/>
        </w:rPr>
        <w:tab/>
        <w:t xml:space="preserve">        520</w:t>
      </w:r>
      <w:r>
        <w:rPr>
          <w:spacing w:val="-2"/>
          <w:sz w:val="18"/>
          <w:u w:val="single"/>
        </w:rPr>
        <w:tab/>
      </w:r>
      <w:r>
        <w:rPr>
          <w:spacing w:val="-2"/>
          <w:sz w:val="18"/>
          <w:u w:val="single"/>
        </w:rPr>
        <w:tab/>
        <w:t xml:space="preserve">   </w:t>
      </w:r>
      <w:r>
        <w:rPr>
          <w:spacing w:val="-2"/>
          <w:sz w:val="18"/>
          <w:u w:val="single"/>
        </w:rPr>
        <w:tab/>
      </w:r>
      <w:r>
        <w:rPr>
          <w:spacing w:val="-2"/>
          <w:sz w:val="18"/>
        </w:rPr>
        <w:tab/>
      </w:r>
    </w:p>
    <w:p w14:paraId="677946C6" w14:textId="77777777" w:rsidR="00F27CBF" w:rsidRDefault="00F27CBF">
      <w:pPr>
        <w:tabs>
          <w:tab w:val="left" w:pos="-720"/>
        </w:tabs>
        <w:suppressAutoHyphens/>
        <w:rPr>
          <w:spacing w:val="-2"/>
          <w:sz w:val="18"/>
        </w:rPr>
      </w:pPr>
      <w:r>
        <w:rPr>
          <w:spacing w:val="-2"/>
          <w:sz w:val="18"/>
        </w:rPr>
        <w:tab/>
      </w:r>
      <w:r>
        <w:rPr>
          <w:spacing w:val="-2"/>
          <w:sz w:val="18"/>
        </w:rPr>
        <w:tab/>
      </w:r>
      <w:r>
        <w:rPr>
          <w:spacing w:val="-2"/>
          <w:sz w:val="18"/>
        </w:rPr>
        <w:tab/>
      </w:r>
      <w:r>
        <w:rPr>
          <w:spacing w:val="-2"/>
          <w:sz w:val="18"/>
        </w:rPr>
        <w:tab/>
        <w:t xml:space="preserve">(Metering Temperature </w:t>
      </w:r>
      <w:r>
        <w:rPr>
          <w:spacing w:val="-2"/>
          <w:sz w:val="16"/>
        </w:rPr>
        <w:sym w:font="Symbol" w:char="F0B0"/>
      </w:r>
      <w:r>
        <w:rPr>
          <w:spacing w:val="-2"/>
          <w:sz w:val="18"/>
        </w:rPr>
        <w:t>F + 460)</w:t>
      </w:r>
    </w:p>
    <w:p w14:paraId="677946C7" w14:textId="77777777" w:rsidR="00F27CBF" w:rsidRDefault="00F27CBF">
      <w:pPr>
        <w:rPr>
          <w:spacing w:val="-2"/>
          <w:sz w:val="19"/>
        </w:rPr>
      </w:pPr>
    </w:p>
    <w:p w14:paraId="677946C8" w14:textId="77777777" w:rsidR="00F27CBF" w:rsidRDefault="00F27CBF">
      <w:pPr>
        <w:pStyle w:val="BodyText"/>
        <w:rPr>
          <w:sz w:val="19"/>
        </w:rPr>
      </w:pPr>
      <w:r>
        <w:rPr>
          <w:sz w:val="19"/>
        </w:rPr>
        <w:t xml:space="preserve">Temperature data will be based on the daily temperatures reported for the following weather stations.  Each weather station corresponds to three weather zone assignments within the Company’s Washington service territory.  Each account is assigned a weather zone based upon where the Customer’s premise is located on the plat map.  Plat map data is electronically downloaded into the Company’s Customer Information System (CIS) from data received from the respective County Assessors Office.  In most cases, the weather zone will correspond with the assigned service district.  </w:t>
      </w:r>
    </w:p>
    <w:p w14:paraId="677946C9" w14:textId="77777777" w:rsidR="00F27CBF" w:rsidRDefault="00F27CBF">
      <w:pPr>
        <w:rPr>
          <w:sz w:val="19"/>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3780"/>
      </w:tblGrid>
      <w:tr w:rsidR="00F27CBF" w14:paraId="677946CC" w14:textId="77777777">
        <w:tc>
          <w:tcPr>
            <w:tcW w:w="3330" w:type="dxa"/>
            <w:tcBorders>
              <w:top w:val="single" w:sz="6" w:space="0" w:color="auto"/>
              <w:left w:val="single" w:sz="6" w:space="0" w:color="auto"/>
              <w:bottom w:val="single" w:sz="6" w:space="0" w:color="auto"/>
              <w:right w:val="single" w:sz="6" w:space="0" w:color="auto"/>
            </w:tcBorders>
          </w:tcPr>
          <w:p w14:paraId="677946CA" w14:textId="77777777" w:rsidR="00F27CBF" w:rsidRDefault="00F27CBF">
            <w:pPr>
              <w:pStyle w:val="Heading5"/>
              <w:rPr>
                <w:sz w:val="17"/>
              </w:rPr>
            </w:pPr>
            <w:r>
              <w:rPr>
                <w:sz w:val="17"/>
              </w:rPr>
              <w:t>Weather Station</w:t>
            </w:r>
          </w:p>
        </w:tc>
        <w:tc>
          <w:tcPr>
            <w:tcW w:w="3780" w:type="dxa"/>
            <w:tcBorders>
              <w:top w:val="single" w:sz="6" w:space="0" w:color="auto"/>
              <w:left w:val="single" w:sz="6" w:space="0" w:color="auto"/>
              <w:bottom w:val="single" w:sz="6" w:space="0" w:color="auto"/>
              <w:right w:val="single" w:sz="6" w:space="0" w:color="auto"/>
            </w:tcBorders>
          </w:tcPr>
          <w:p w14:paraId="677946CB" w14:textId="77777777" w:rsidR="00F27CBF" w:rsidRDefault="00F27CBF">
            <w:pPr>
              <w:pStyle w:val="Heading5"/>
              <w:rPr>
                <w:sz w:val="17"/>
              </w:rPr>
            </w:pPr>
            <w:r>
              <w:rPr>
                <w:sz w:val="17"/>
              </w:rPr>
              <w:t>NWN Weather Zone</w:t>
            </w:r>
          </w:p>
        </w:tc>
      </w:tr>
      <w:tr w:rsidR="00F27CBF" w14:paraId="677946CF" w14:textId="77777777" w:rsidTr="00A10A87">
        <w:trPr>
          <w:trHeight w:val="372"/>
        </w:trPr>
        <w:tc>
          <w:tcPr>
            <w:tcW w:w="3330" w:type="dxa"/>
            <w:tcBorders>
              <w:top w:val="single" w:sz="6" w:space="0" w:color="auto"/>
              <w:left w:val="single" w:sz="6" w:space="0" w:color="auto"/>
              <w:bottom w:val="single" w:sz="6" w:space="0" w:color="auto"/>
              <w:right w:val="single" w:sz="6" w:space="0" w:color="auto"/>
            </w:tcBorders>
          </w:tcPr>
          <w:p w14:paraId="677946CD" w14:textId="77777777" w:rsidR="00F27CBF" w:rsidRDefault="00F27CBF">
            <w:pPr>
              <w:jc w:val="right"/>
              <w:rPr>
                <w:sz w:val="17"/>
              </w:rPr>
            </w:pPr>
            <w:r>
              <w:rPr>
                <w:sz w:val="17"/>
              </w:rPr>
              <w:t>Vancouver (458773)</w:t>
            </w:r>
          </w:p>
        </w:tc>
        <w:tc>
          <w:tcPr>
            <w:tcW w:w="3780" w:type="dxa"/>
            <w:tcBorders>
              <w:top w:val="single" w:sz="6" w:space="0" w:color="auto"/>
              <w:left w:val="single" w:sz="6" w:space="0" w:color="auto"/>
              <w:bottom w:val="single" w:sz="6" w:space="0" w:color="auto"/>
              <w:right w:val="single" w:sz="6" w:space="0" w:color="auto"/>
            </w:tcBorders>
          </w:tcPr>
          <w:p w14:paraId="677946CE" w14:textId="77777777" w:rsidR="00F27CBF" w:rsidRDefault="00F27CBF">
            <w:pPr>
              <w:jc w:val="center"/>
              <w:rPr>
                <w:sz w:val="17"/>
              </w:rPr>
            </w:pPr>
            <w:r>
              <w:rPr>
                <w:sz w:val="17"/>
              </w:rPr>
              <w:t>Clark County &amp; Western Skamania County</w:t>
            </w:r>
          </w:p>
        </w:tc>
      </w:tr>
      <w:tr w:rsidR="00F27CBF" w14:paraId="677946D2" w14:textId="77777777">
        <w:tc>
          <w:tcPr>
            <w:tcW w:w="3330" w:type="dxa"/>
            <w:tcBorders>
              <w:top w:val="single" w:sz="6" w:space="0" w:color="auto"/>
              <w:left w:val="single" w:sz="6" w:space="0" w:color="auto"/>
              <w:bottom w:val="single" w:sz="6" w:space="0" w:color="auto"/>
              <w:right w:val="single" w:sz="6" w:space="0" w:color="auto"/>
            </w:tcBorders>
          </w:tcPr>
          <w:p w14:paraId="677946D0" w14:textId="54679D89" w:rsidR="00F27CBF" w:rsidRDefault="00F27CBF" w:rsidP="006D5FD6">
            <w:pPr>
              <w:jc w:val="right"/>
              <w:rPr>
                <w:sz w:val="17"/>
              </w:rPr>
            </w:pPr>
            <w:r>
              <w:rPr>
                <w:sz w:val="17"/>
              </w:rPr>
              <w:t xml:space="preserve">Hood River </w:t>
            </w:r>
            <w:r w:rsidR="006D5FD6">
              <w:rPr>
                <w:sz w:val="17"/>
              </w:rPr>
              <w:t>Oregon AgriMet Weather Station (HOXO)</w:t>
            </w:r>
          </w:p>
        </w:tc>
        <w:tc>
          <w:tcPr>
            <w:tcW w:w="3780" w:type="dxa"/>
            <w:tcBorders>
              <w:top w:val="single" w:sz="6" w:space="0" w:color="auto"/>
              <w:left w:val="single" w:sz="6" w:space="0" w:color="auto"/>
              <w:bottom w:val="single" w:sz="6" w:space="0" w:color="auto"/>
              <w:right w:val="single" w:sz="6" w:space="0" w:color="auto"/>
            </w:tcBorders>
          </w:tcPr>
          <w:p w14:paraId="677946D1" w14:textId="0247EE8C" w:rsidR="00F27CBF" w:rsidRDefault="00F27CBF">
            <w:pPr>
              <w:jc w:val="center"/>
              <w:rPr>
                <w:sz w:val="17"/>
              </w:rPr>
            </w:pPr>
            <w:r>
              <w:rPr>
                <w:sz w:val="17"/>
              </w:rPr>
              <w:t>Eastern Skamania County</w:t>
            </w:r>
            <w:r w:rsidR="006D5FD6">
              <w:rPr>
                <w:sz w:val="17"/>
              </w:rPr>
              <w:t xml:space="preserve"> and Klickitat County</w:t>
            </w:r>
          </w:p>
        </w:tc>
        <w:bookmarkStart w:id="0" w:name="_GoBack"/>
        <w:bookmarkEnd w:id="0"/>
      </w:tr>
    </w:tbl>
    <w:p w14:paraId="677946D6" w14:textId="77777777" w:rsidR="00F27CBF" w:rsidRDefault="00F27CBF">
      <w:pPr>
        <w:pStyle w:val="Header"/>
        <w:widowControl w:val="0"/>
        <w:tabs>
          <w:tab w:val="clear" w:pos="4320"/>
          <w:tab w:val="clear" w:pos="8640"/>
          <w:tab w:val="left" w:pos="-1440"/>
        </w:tabs>
        <w:rPr>
          <w:b/>
          <w:sz w:val="23"/>
          <w:u w:val="single"/>
        </w:rPr>
      </w:pPr>
    </w:p>
    <w:p w14:paraId="677946D7" w14:textId="77777777" w:rsidR="00F27CBF" w:rsidRDefault="00F27CBF">
      <w:pPr>
        <w:pStyle w:val="BodyText"/>
        <w:rPr>
          <w:spacing w:val="-2"/>
          <w:sz w:val="19"/>
        </w:rPr>
      </w:pPr>
      <w:r>
        <w:rPr>
          <w:spacing w:val="-2"/>
          <w:sz w:val="19"/>
        </w:rPr>
        <w:t>If at any time the temperature data is not available for any of the listed weather stations, the Company will use a substitute station and associated basis temperature differentials, where applicable, in accordance with Company policy.  For billing purposes, the Company will use the daily temperatures that are reported by the third party each day.  The Company will not be required to issue corrected bills to customers when any of the reported data is later changed by the reporting party.</w:t>
      </w:r>
    </w:p>
    <w:p w14:paraId="677946D8" w14:textId="77777777" w:rsidR="00F27CBF" w:rsidRDefault="00F27CBF">
      <w:pPr>
        <w:tabs>
          <w:tab w:val="left" w:pos="-720"/>
        </w:tabs>
        <w:suppressAutoHyphens/>
        <w:rPr>
          <w:spacing w:val="-2"/>
          <w:sz w:val="19"/>
        </w:rPr>
      </w:pPr>
    </w:p>
    <w:p w14:paraId="677946D9" w14:textId="77777777" w:rsidR="00F27CBF" w:rsidRDefault="00F27CBF">
      <w:pPr>
        <w:tabs>
          <w:tab w:val="left" w:pos="-720"/>
        </w:tabs>
        <w:suppressAutoHyphens/>
        <w:rPr>
          <w:spacing w:val="-2"/>
          <w:sz w:val="19"/>
        </w:rPr>
      </w:pPr>
      <w:r>
        <w:rPr>
          <w:spacing w:val="-2"/>
          <w:sz w:val="19"/>
        </w:rPr>
        <w:t>Compressibility Ratio (CR) will be calculated in accordance with American Gas Association (AGA) recommendations.  The CR is dependent on pressure, temperature and gas composition.   At very high metering pressures, the value becomes significant (about 1.100 at 500 PSIG).  For larger volume Customers, the CR may be applied through on-site equipment.  At low metering pressures it has a value close to about 1.000, and an approximation is used.</w:t>
      </w:r>
    </w:p>
    <w:p w14:paraId="677946DA" w14:textId="77777777" w:rsidR="00F27CBF" w:rsidRDefault="00F27CBF">
      <w:pPr>
        <w:tabs>
          <w:tab w:val="left" w:pos="-720"/>
        </w:tabs>
        <w:suppressAutoHyphens/>
        <w:rPr>
          <w:spacing w:val="-2"/>
          <w:sz w:val="19"/>
        </w:rPr>
      </w:pPr>
    </w:p>
    <w:p w14:paraId="677946DB" w14:textId="77777777" w:rsidR="00F27CBF" w:rsidRDefault="00F27CBF">
      <w:pPr>
        <w:pStyle w:val="Heading2"/>
        <w:rPr>
          <w:sz w:val="18"/>
        </w:rPr>
      </w:pPr>
      <w:r>
        <w:rPr>
          <w:sz w:val="19"/>
        </w:rPr>
        <w:tab/>
      </w:r>
      <w:r>
        <w:rPr>
          <w:sz w:val="18"/>
        </w:rPr>
        <w:t>Compressibility Ratio (CR)    = 1 + Metering Pressure / 6000</w:t>
      </w:r>
    </w:p>
    <w:p w14:paraId="677946DC" w14:textId="77777777" w:rsidR="00F27CBF" w:rsidRDefault="00F27CBF">
      <w:pPr>
        <w:tabs>
          <w:tab w:val="left" w:pos="-720"/>
        </w:tabs>
        <w:suppressAutoHyphens/>
        <w:rPr>
          <w:spacing w:val="-2"/>
          <w:sz w:val="19"/>
        </w:rPr>
      </w:pPr>
    </w:p>
    <w:p w14:paraId="677946DD" w14:textId="77777777" w:rsidR="00F27CBF" w:rsidRDefault="00F27CBF">
      <w:pPr>
        <w:tabs>
          <w:tab w:val="left" w:pos="-720"/>
        </w:tabs>
        <w:suppressAutoHyphens/>
        <w:rPr>
          <w:spacing w:val="-2"/>
          <w:sz w:val="19"/>
        </w:rPr>
      </w:pPr>
      <w:r>
        <w:rPr>
          <w:spacing w:val="-2"/>
          <w:sz w:val="19"/>
        </w:rPr>
        <w:t>The Btu Multiplier, Btu per standard cubic foot (Btu/Scf) is Gross Heating Value, measured at 60 degrees, at 14.73 PSIA and without water vapor, in accordance with AGA methods.  Energy content of natural gas supplied to the customer shall be measured, typically at the Company's receipt and storage points.  The Btu multiplier for a billing period will be computed based on the appropriate gas source during the billing period.</w:t>
      </w:r>
    </w:p>
    <w:p w14:paraId="677946DE" w14:textId="77777777" w:rsidR="00F27CBF" w:rsidRDefault="00F27CBF">
      <w:pPr>
        <w:tabs>
          <w:tab w:val="left" w:pos="-720"/>
        </w:tabs>
        <w:suppressAutoHyphens/>
        <w:rPr>
          <w:spacing w:val="-2"/>
          <w:sz w:val="19"/>
        </w:rPr>
      </w:pPr>
    </w:p>
    <w:p w14:paraId="677946DF" w14:textId="77777777" w:rsidR="00F27CBF" w:rsidRDefault="00F27CBF">
      <w:pPr>
        <w:jc w:val="center"/>
        <w:rPr>
          <w:sz w:val="23"/>
        </w:rPr>
      </w:pPr>
      <w:r>
        <w:rPr>
          <w:sz w:val="19"/>
        </w:rPr>
        <w:t>(continue to Sheet 12.1)</w:t>
      </w:r>
    </w:p>
    <w:sectPr w:rsidR="00F27CBF">
      <w:headerReference w:type="default" r:id="rId11"/>
      <w:footerReference w:type="default" r:id="rId12"/>
      <w:pgSz w:w="12240" w:h="15840" w:code="1"/>
      <w:pgMar w:top="720" w:right="180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946E2" w14:textId="77777777" w:rsidR="00F27CBF" w:rsidRDefault="00F27CBF">
      <w:r>
        <w:separator/>
      </w:r>
    </w:p>
  </w:endnote>
  <w:endnote w:type="continuationSeparator" w:id="0">
    <w:p w14:paraId="677946E3" w14:textId="77777777" w:rsidR="00F27CBF" w:rsidRDefault="00F2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946E8" w14:textId="5E7B1B2F" w:rsidR="00F27CBF" w:rsidRDefault="00F27CBF" w:rsidP="00A10A87">
    <w:pPr>
      <w:pStyle w:val="Footer"/>
      <w:tabs>
        <w:tab w:val="left" w:pos="5670"/>
        <w:tab w:val="left" w:pos="5940"/>
      </w:tabs>
      <w:rPr>
        <w:sz w:val="21"/>
      </w:rPr>
    </w:pPr>
    <w:r>
      <w:rPr>
        <w:sz w:val="21"/>
      </w:rPr>
      <w:t>Issued</w:t>
    </w:r>
    <w:r w:rsidR="00A10A87">
      <w:rPr>
        <w:sz w:val="21"/>
      </w:rPr>
      <w:t xml:space="preserve"> February 8, 2016</w:t>
    </w:r>
    <w:r w:rsidR="00A10A87">
      <w:rPr>
        <w:sz w:val="21"/>
      </w:rPr>
      <w:tab/>
    </w:r>
    <w:r w:rsidR="00A10A87">
      <w:rPr>
        <w:sz w:val="21"/>
      </w:rPr>
      <w:tab/>
    </w:r>
    <w:r>
      <w:rPr>
        <w:sz w:val="21"/>
      </w:rPr>
      <w:t>Effective with service on</w:t>
    </w:r>
  </w:p>
  <w:p w14:paraId="677946E9" w14:textId="6190DF5D" w:rsidR="00F27CBF" w:rsidRDefault="00A10A87">
    <w:pPr>
      <w:pStyle w:val="Footer"/>
      <w:tabs>
        <w:tab w:val="left" w:pos="5670"/>
      </w:tabs>
      <w:rPr>
        <w:sz w:val="23"/>
      </w:rPr>
    </w:pPr>
    <w:r>
      <w:rPr>
        <w:sz w:val="21"/>
      </w:rPr>
      <w:t>NWN WUTC</w:t>
    </w:r>
    <w:r w:rsidR="00F27CBF">
      <w:rPr>
        <w:sz w:val="21"/>
      </w:rPr>
      <w:t xml:space="preserve"> Advice No. </w:t>
    </w:r>
    <w:r>
      <w:rPr>
        <w:sz w:val="21"/>
      </w:rPr>
      <w:t>16-01</w:t>
    </w:r>
    <w:r>
      <w:rPr>
        <w:sz w:val="21"/>
      </w:rPr>
      <w:tab/>
    </w:r>
    <w:r>
      <w:rPr>
        <w:sz w:val="21"/>
      </w:rPr>
      <w:tab/>
    </w:r>
    <w:r w:rsidR="00F27CBF">
      <w:rPr>
        <w:sz w:val="21"/>
      </w:rPr>
      <w:t xml:space="preserve">and after </w:t>
    </w:r>
    <w:r>
      <w:rPr>
        <w:sz w:val="21"/>
      </w:rPr>
      <w:t>March 11, 2016</w:t>
    </w:r>
  </w:p>
  <w:p w14:paraId="677946EA" w14:textId="77777777" w:rsidR="00F27CBF" w:rsidRDefault="00F27CBF">
    <w:pPr>
      <w:pStyle w:val="Footer"/>
      <w:pBdr>
        <w:bottom w:val="single" w:sz="6" w:space="1" w:color="auto"/>
      </w:pBdr>
      <w:jc w:val="center"/>
      <w:rPr>
        <w:b/>
        <w:sz w:val="17"/>
      </w:rPr>
    </w:pPr>
  </w:p>
  <w:p w14:paraId="677946EB" w14:textId="77777777" w:rsidR="00F27CBF" w:rsidRDefault="00F27CBF">
    <w:pPr>
      <w:pStyle w:val="Footer"/>
      <w:jc w:val="center"/>
      <w:rPr>
        <w:b/>
        <w:i/>
        <w:sz w:val="17"/>
      </w:rPr>
    </w:pPr>
    <w:r>
      <w:rPr>
        <w:b/>
        <w:i/>
        <w:sz w:val="17"/>
      </w:rPr>
      <w:t>Issued by:  NORTHWEST NATURAL GAS COMPANY</w:t>
    </w:r>
  </w:p>
  <w:p w14:paraId="677946EC" w14:textId="77777777" w:rsidR="00F27CBF" w:rsidRDefault="00F27CBF">
    <w:pPr>
      <w:pStyle w:val="Footer"/>
      <w:jc w:val="center"/>
      <w:rPr>
        <w:i/>
        <w:sz w:val="17"/>
      </w:rPr>
    </w:pPr>
    <w:r>
      <w:rPr>
        <w:i/>
        <w:sz w:val="17"/>
      </w:rPr>
      <w:t>d.b.a. NW Natural</w:t>
    </w:r>
  </w:p>
  <w:p w14:paraId="677946ED" w14:textId="77777777" w:rsidR="00F27CBF" w:rsidRDefault="00F27CBF">
    <w:pPr>
      <w:pStyle w:val="Footer"/>
      <w:jc w:val="center"/>
      <w:rPr>
        <w:i/>
        <w:sz w:val="17"/>
      </w:rPr>
    </w:pPr>
    <w:r>
      <w:rPr>
        <w:i/>
        <w:sz w:val="17"/>
      </w:rPr>
      <w:t>220 N.W. Second Avenue</w:t>
    </w:r>
  </w:p>
  <w:p w14:paraId="677946EE" w14:textId="77777777" w:rsidR="00F27CBF" w:rsidRDefault="00F27CBF">
    <w:pPr>
      <w:pStyle w:val="Footer"/>
      <w:jc w:val="center"/>
      <w:rPr>
        <w:sz w:val="23"/>
      </w:rPr>
    </w:pPr>
    <w:r>
      <w:rPr>
        <w:i/>
        <w:sz w:val="17"/>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946E0" w14:textId="77777777" w:rsidR="00F27CBF" w:rsidRDefault="00F27CBF">
      <w:r>
        <w:separator/>
      </w:r>
    </w:p>
  </w:footnote>
  <w:footnote w:type="continuationSeparator" w:id="0">
    <w:p w14:paraId="677946E1" w14:textId="77777777" w:rsidR="00F27CBF" w:rsidRDefault="00F27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946E4" w14:textId="77777777" w:rsidR="00F27CBF" w:rsidRDefault="00F27CBF">
    <w:pPr>
      <w:pStyle w:val="Header"/>
      <w:rPr>
        <w:sz w:val="27"/>
      </w:rPr>
    </w:pPr>
    <w:r>
      <w:rPr>
        <w:sz w:val="27"/>
      </w:rPr>
      <w:t>NORTHWEST NATURAL GAS COMPANY</w:t>
    </w:r>
  </w:p>
  <w:p w14:paraId="677946E5" w14:textId="06F07795" w:rsidR="00F27CBF" w:rsidRDefault="00F27CBF">
    <w:pPr>
      <w:pStyle w:val="Header"/>
      <w:rPr>
        <w:sz w:val="21"/>
      </w:rPr>
    </w:pPr>
    <w:r>
      <w:rPr>
        <w:sz w:val="21"/>
      </w:rPr>
      <w:t>WN U-6</w:t>
    </w:r>
    <w:r>
      <w:rPr>
        <w:sz w:val="21"/>
      </w:rPr>
      <w:tab/>
      <w:t xml:space="preserve"> </w:t>
    </w:r>
    <w:r w:rsidR="006D5FD6">
      <w:rPr>
        <w:sz w:val="21"/>
      </w:rPr>
      <w:t xml:space="preserve">Second </w:t>
    </w:r>
    <w:r>
      <w:rPr>
        <w:sz w:val="21"/>
      </w:rPr>
      <w:t>Revision of Sheet 11.2</w:t>
    </w:r>
  </w:p>
  <w:p w14:paraId="677946E6" w14:textId="5228484C" w:rsidR="00F27CBF" w:rsidRDefault="00F27CBF">
    <w:pPr>
      <w:pStyle w:val="Header"/>
      <w:rPr>
        <w:sz w:val="21"/>
      </w:rPr>
    </w:pPr>
    <w:r>
      <w:rPr>
        <w:sz w:val="21"/>
      </w:rPr>
      <w:t xml:space="preserve">Cancels </w:t>
    </w:r>
    <w:r w:rsidR="006D5FD6">
      <w:rPr>
        <w:sz w:val="21"/>
      </w:rPr>
      <w:t xml:space="preserve">First Revision of </w:t>
    </w:r>
    <w:r>
      <w:rPr>
        <w:sz w:val="21"/>
      </w:rPr>
      <w:t>Sheet 11.2</w:t>
    </w:r>
  </w:p>
  <w:p w14:paraId="677946E7" w14:textId="77777777" w:rsidR="00F27CBF" w:rsidRDefault="00F27CBF">
    <w:pPr>
      <w:pStyle w:val="Header"/>
      <w:pBdr>
        <w:bottom w:val="double" w:sz="6" w:space="1" w:color="auto"/>
      </w:pBdr>
      <w:rPr>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BF"/>
    <w:rsid w:val="003A5A16"/>
    <w:rsid w:val="006D5FD6"/>
    <w:rsid w:val="00A10A87"/>
    <w:rsid w:val="00F27CBF"/>
    <w:rsid w:val="00FA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9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2">
    <w:name w:val="heading 2"/>
    <w:basedOn w:val="Normal"/>
    <w:next w:val="Normal"/>
    <w:qFormat/>
    <w:pPr>
      <w:keepNext/>
      <w:tabs>
        <w:tab w:val="left" w:pos="-720"/>
      </w:tabs>
      <w:suppressAutoHyphens/>
      <w:outlineLvl w:val="1"/>
    </w:pPr>
    <w:rPr>
      <w:spacing w:val="-2"/>
      <w:sz w:val="20"/>
    </w:rPr>
  </w:style>
  <w:style w:type="paragraph" w:styleId="Heading5">
    <w:name w:val="heading 5"/>
    <w:basedOn w:val="Normal"/>
    <w:next w:val="Normal"/>
    <w:qFormat/>
    <w:pPr>
      <w:keepNext/>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link w:val="BalloonTextChar"/>
    <w:rsid w:val="006D5FD6"/>
    <w:rPr>
      <w:rFonts w:ascii="Tahoma" w:hAnsi="Tahoma" w:cs="Tahoma"/>
      <w:sz w:val="16"/>
      <w:szCs w:val="16"/>
    </w:rPr>
  </w:style>
  <w:style w:type="character" w:customStyle="1" w:styleId="BalloonTextChar">
    <w:name w:val="Balloon Text Char"/>
    <w:basedOn w:val="DefaultParagraphFont"/>
    <w:link w:val="BalloonText"/>
    <w:rsid w:val="006D5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2">
    <w:name w:val="heading 2"/>
    <w:basedOn w:val="Normal"/>
    <w:next w:val="Normal"/>
    <w:qFormat/>
    <w:pPr>
      <w:keepNext/>
      <w:tabs>
        <w:tab w:val="left" w:pos="-720"/>
      </w:tabs>
      <w:suppressAutoHyphens/>
      <w:outlineLvl w:val="1"/>
    </w:pPr>
    <w:rPr>
      <w:spacing w:val="-2"/>
      <w:sz w:val="20"/>
    </w:rPr>
  </w:style>
  <w:style w:type="paragraph" w:styleId="Heading5">
    <w:name w:val="heading 5"/>
    <w:basedOn w:val="Normal"/>
    <w:next w:val="Normal"/>
    <w:qFormat/>
    <w:pPr>
      <w:keepNext/>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link w:val="BalloonTextChar"/>
    <w:rsid w:val="006D5FD6"/>
    <w:rPr>
      <w:rFonts w:ascii="Tahoma" w:hAnsi="Tahoma" w:cs="Tahoma"/>
      <w:sz w:val="16"/>
      <w:szCs w:val="16"/>
    </w:rPr>
  </w:style>
  <w:style w:type="character" w:customStyle="1" w:styleId="BalloonTextChar">
    <w:name w:val="Balloon Text Char"/>
    <w:basedOn w:val="DefaultParagraphFont"/>
    <w:link w:val="BalloonText"/>
    <w:rsid w:val="006D5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28ECF17A957A4EB8BDAD36F58035C3" ma:contentTypeVersion="104" ma:contentTypeDescription="" ma:contentTypeScope="" ma:versionID="d8e3b82215874604c88df394cb35ce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2016-02-08T08:00:00+00:00</OpenedDate>
    <Date1 xmlns="dc463f71-b30c-4ab2-9473-d307f9d35888">2016-02-08T08:00:00+00:00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160183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360231E-B949-4C1B-B684-3D399DD0FAF1}"/>
</file>

<file path=customXml/itemProps2.xml><?xml version="1.0" encoding="utf-8"?>
<ds:datastoreItem xmlns:ds="http://schemas.openxmlformats.org/officeDocument/2006/customXml" ds:itemID="{ADEDBE94-44F0-4E8F-83C5-08F51CA68604}"/>
</file>

<file path=customXml/itemProps3.xml><?xml version="1.0" encoding="utf-8"?>
<ds:datastoreItem xmlns:ds="http://schemas.openxmlformats.org/officeDocument/2006/customXml" ds:itemID="{BC6B397F-4589-47BD-B596-E51C6E6C847A}"/>
</file>

<file path=customXml/itemProps4.xml><?xml version="1.0" encoding="utf-8"?>
<ds:datastoreItem xmlns:ds="http://schemas.openxmlformats.org/officeDocument/2006/customXml" ds:itemID="{76F919B8-AD9B-475B-BF4E-21698E23E2A8}"/>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2436</Characters>
  <Application>Microsoft Office Word</Application>
  <DocSecurity>0</DocSecurity>
  <Lines>20</Lines>
  <Paragraphs>5</Paragraphs>
  <ScaleCrop>false</ScaleCrop>
  <HeadingPairs>
    <vt:vector size="4" baseType="variant">
      <vt:variant>
        <vt:lpstr>Title</vt:lpstr>
      </vt:variant>
      <vt:variant>
        <vt:i4>1</vt:i4>
      </vt:variant>
      <vt:variant>
        <vt:lpstr>GENERAL RULES AND REGULATIONS</vt:lpstr>
      </vt:variant>
      <vt:variant>
        <vt:i4>0</vt:i4>
      </vt:variant>
    </vt:vector>
  </HeadingPairs>
  <TitlesOfParts>
    <vt:vector size="1" baseType="lpstr">
      <vt:lpstr>GENERAL RULES AND REGULATIONS</vt:lpstr>
    </vt:vector>
  </TitlesOfParts>
  <Company>Northwest Natural Gas</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King, Onita</cp:lastModifiedBy>
  <cp:revision>3</cp:revision>
  <cp:lastPrinted>1997-10-28T19:22:00Z</cp:lastPrinted>
  <dcterms:created xsi:type="dcterms:W3CDTF">2016-02-05T22:56:00Z</dcterms:created>
  <dcterms:modified xsi:type="dcterms:W3CDTF">2016-02-08T18:22:00Z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1aa99737-58cc-4ee3-8942-8dbf3dc50f41</vt:lpwstr>
  </property>
  <property fmtid="{D5CDD505-2E9C-101B-9397-08002B2CF9AE}" pid="3" name="ContentTypeId">
    <vt:lpwstr>0x0101006E56B4D1795A2E4DB2F0B01679ED314A002B28ECF17A957A4EB8BDAD36F58035C3</vt:lpwstr>
  </property>
  <property fmtid="{D5CDD505-2E9C-101B-9397-08002B2CF9AE}" pid="4" name="_docset_NoMedatataSyncRequired">
    <vt:lpwstr>False</vt:lpwstr>
  </property>
</Properties>
</file>