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Pr="00C4592F" w:rsidRDefault="00990DD6">
      <w:pPr>
        <w:rPr>
          <w:sz w:val="22"/>
          <w:szCs w:val="22"/>
        </w:rPr>
      </w:pPr>
    </w:p>
    <w:p w:rsidR="00990DD6" w:rsidRPr="00C4592F" w:rsidRDefault="005B0925">
      <w:pPr>
        <w:rPr>
          <w:sz w:val="24"/>
          <w:szCs w:val="24"/>
        </w:rPr>
      </w:pPr>
      <w:r w:rsidRPr="00C4592F">
        <w:rPr>
          <w:sz w:val="24"/>
          <w:szCs w:val="24"/>
        </w:rPr>
        <w:t>December 22, 2015</w:t>
      </w:r>
    </w:p>
    <w:p w:rsidR="00990DD6" w:rsidRPr="00C4592F" w:rsidRDefault="00990DD6">
      <w:pPr>
        <w:rPr>
          <w:sz w:val="24"/>
          <w:szCs w:val="24"/>
        </w:rPr>
      </w:pPr>
    </w:p>
    <w:p w:rsidR="00990DD6" w:rsidRPr="00C4592F" w:rsidRDefault="00326468">
      <w:pPr>
        <w:rPr>
          <w:sz w:val="24"/>
          <w:szCs w:val="24"/>
        </w:rPr>
      </w:pPr>
      <w:r w:rsidRPr="00C4592F">
        <w:rPr>
          <w:sz w:val="24"/>
          <w:szCs w:val="24"/>
        </w:rPr>
        <w:t>Washington Utilities and Transportation Commission</w:t>
      </w:r>
    </w:p>
    <w:p w:rsidR="00990DD6" w:rsidRPr="00C4592F" w:rsidRDefault="00326468">
      <w:pPr>
        <w:rPr>
          <w:sz w:val="24"/>
          <w:szCs w:val="24"/>
        </w:rPr>
      </w:pPr>
      <w:r w:rsidRPr="00C4592F">
        <w:rPr>
          <w:sz w:val="24"/>
          <w:szCs w:val="24"/>
        </w:rPr>
        <w:t>1300 S. Evergreen Park Drive S. W.</w:t>
      </w:r>
    </w:p>
    <w:p w:rsidR="00990DD6" w:rsidRPr="00C4592F" w:rsidRDefault="00326468">
      <w:pPr>
        <w:rPr>
          <w:sz w:val="24"/>
          <w:szCs w:val="24"/>
        </w:rPr>
      </w:pPr>
      <w:r w:rsidRPr="00C4592F">
        <w:rPr>
          <w:sz w:val="24"/>
          <w:szCs w:val="24"/>
        </w:rPr>
        <w:t>P.O. Box 47250</w:t>
      </w:r>
    </w:p>
    <w:p w:rsidR="00990DD6" w:rsidRPr="00C4592F" w:rsidRDefault="00326468">
      <w:pPr>
        <w:rPr>
          <w:sz w:val="24"/>
          <w:szCs w:val="24"/>
        </w:rPr>
      </w:pPr>
      <w:r w:rsidRPr="00C4592F">
        <w:rPr>
          <w:sz w:val="24"/>
          <w:szCs w:val="24"/>
        </w:rPr>
        <w:t>Olympia, Washington 98504-7250</w:t>
      </w:r>
    </w:p>
    <w:p w:rsidR="00990DD6" w:rsidRPr="00C4592F" w:rsidRDefault="00990DD6">
      <w:pPr>
        <w:rPr>
          <w:sz w:val="24"/>
          <w:szCs w:val="24"/>
        </w:rPr>
      </w:pPr>
    </w:p>
    <w:p w:rsidR="00990DD6" w:rsidRPr="00C4592F" w:rsidRDefault="00642F51">
      <w:pPr>
        <w:rPr>
          <w:sz w:val="24"/>
          <w:szCs w:val="24"/>
        </w:rPr>
      </w:pPr>
      <w:r w:rsidRPr="00C4592F">
        <w:rPr>
          <w:sz w:val="24"/>
          <w:szCs w:val="24"/>
        </w:rPr>
        <w:t xml:space="preserve">Attention:  Mr. </w:t>
      </w:r>
      <w:r w:rsidR="00CB0E80" w:rsidRPr="00C4592F">
        <w:rPr>
          <w:sz w:val="24"/>
          <w:szCs w:val="24"/>
        </w:rPr>
        <w:t>Steven King</w:t>
      </w:r>
      <w:r w:rsidRPr="00C4592F">
        <w:rPr>
          <w:sz w:val="24"/>
          <w:szCs w:val="24"/>
        </w:rPr>
        <w:t>, Executive Director and Secretary</w:t>
      </w:r>
    </w:p>
    <w:p w:rsidR="00990DD6" w:rsidRPr="00C4592F" w:rsidRDefault="00990DD6">
      <w:pPr>
        <w:rPr>
          <w:sz w:val="24"/>
          <w:szCs w:val="24"/>
        </w:rPr>
      </w:pPr>
    </w:p>
    <w:p w:rsidR="00990DD6" w:rsidRPr="00C4592F" w:rsidRDefault="00326468">
      <w:pPr>
        <w:rPr>
          <w:sz w:val="24"/>
          <w:szCs w:val="24"/>
        </w:rPr>
      </w:pPr>
      <w:r w:rsidRPr="00C4592F">
        <w:rPr>
          <w:sz w:val="24"/>
          <w:szCs w:val="24"/>
        </w:rPr>
        <w:t>RE:</w:t>
      </w:r>
      <w:r w:rsidRPr="00C4592F">
        <w:rPr>
          <w:sz w:val="24"/>
          <w:szCs w:val="24"/>
        </w:rPr>
        <w:tab/>
      </w:r>
      <w:r w:rsidR="008D6505" w:rsidRPr="00C4592F">
        <w:rPr>
          <w:sz w:val="24"/>
          <w:szCs w:val="24"/>
        </w:rPr>
        <w:t xml:space="preserve">Tariff WN U-28 (Schedule 93) – </w:t>
      </w:r>
      <w:r w:rsidR="008D6505" w:rsidRPr="00C4592F">
        <w:rPr>
          <w:b/>
          <w:sz w:val="24"/>
          <w:szCs w:val="24"/>
        </w:rPr>
        <w:t>Less than Statutory Notice</w:t>
      </w:r>
    </w:p>
    <w:p w:rsidR="008D6505" w:rsidRPr="00C4592F" w:rsidRDefault="008D6505" w:rsidP="00470299">
      <w:pPr>
        <w:jc w:val="both"/>
        <w:rPr>
          <w:sz w:val="24"/>
          <w:szCs w:val="24"/>
        </w:rPr>
      </w:pPr>
    </w:p>
    <w:p w:rsidR="00C4592F" w:rsidRPr="00C4592F" w:rsidRDefault="00C4592F" w:rsidP="00C4592F">
      <w:pPr>
        <w:ind w:right="-360"/>
        <w:jc w:val="both"/>
        <w:rPr>
          <w:sz w:val="24"/>
          <w:szCs w:val="22"/>
        </w:rPr>
      </w:pPr>
      <w:r w:rsidRPr="00C4592F">
        <w:rPr>
          <w:sz w:val="24"/>
          <w:szCs w:val="22"/>
        </w:rPr>
        <w:t xml:space="preserve">Attached for </w:t>
      </w:r>
      <w:r>
        <w:rPr>
          <w:sz w:val="24"/>
          <w:szCs w:val="22"/>
        </w:rPr>
        <w:t xml:space="preserve">electronic </w:t>
      </w:r>
      <w:r w:rsidRPr="00C4592F">
        <w:rPr>
          <w:sz w:val="24"/>
          <w:szCs w:val="22"/>
        </w:rPr>
        <w:t>filing with the Commission, on Less than Statutory Notice, is the Company’s proposed tariff revision:</w:t>
      </w:r>
    </w:p>
    <w:p w:rsidR="00C4592F" w:rsidRPr="00C4592F" w:rsidRDefault="00C4592F" w:rsidP="00C4592F">
      <w:pPr>
        <w:ind w:right="-360"/>
        <w:jc w:val="both"/>
        <w:rPr>
          <w:sz w:val="24"/>
          <w:szCs w:val="22"/>
        </w:rPr>
      </w:pPr>
    </w:p>
    <w:p w:rsidR="00C4592F" w:rsidRPr="00C4592F" w:rsidRDefault="00C4592F" w:rsidP="00C4592F">
      <w:pPr>
        <w:ind w:right="-360"/>
        <w:jc w:val="center"/>
        <w:rPr>
          <w:b/>
          <w:sz w:val="24"/>
          <w:szCs w:val="22"/>
        </w:rPr>
      </w:pPr>
      <w:r w:rsidRPr="00C4592F">
        <w:rPr>
          <w:b/>
          <w:sz w:val="24"/>
          <w:szCs w:val="22"/>
        </w:rPr>
        <w:t>Eleventh Revision Sheet 93 canceling Tenth Revision Sheet 93</w:t>
      </w:r>
    </w:p>
    <w:p w:rsidR="00C4592F" w:rsidRPr="00C4592F" w:rsidRDefault="00C4592F" w:rsidP="00C4592F">
      <w:pPr>
        <w:ind w:left="180"/>
        <w:jc w:val="center"/>
        <w:outlineLvl w:val="0"/>
        <w:rPr>
          <w:sz w:val="22"/>
          <w:szCs w:val="22"/>
        </w:rPr>
      </w:pPr>
      <w:r w:rsidRPr="00C4592F">
        <w:rPr>
          <w:b/>
          <w:sz w:val="24"/>
          <w:szCs w:val="22"/>
        </w:rPr>
        <w:t>“</w:t>
      </w:r>
      <w:r w:rsidRPr="00C4592F">
        <w:rPr>
          <w:sz w:val="22"/>
          <w:szCs w:val="22"/>
        </w:rPr>
        <w:t xml:space="preserve">POWER </w:t>
      </w:r>
      <w:smartTag w:uri="urn:schemas-microsoft-com:office:smarttags" w:element="stockticker">
        <w:r w:rsidRPr="00C4592F">
          <w:rPr>
            <w:sz w:val="22"/>
            <w:szCs w:val="22"/>
          </w:rPr>
          <w:t>COST</w:t>
        </w:r>
      </w:smartTag>
      <w:r w:rsidRPr="00C4592F">
        <w:rPr>
          <w:sz w:val="22"/>
          <w:szCs w:val="22"/>
        </w:rPr>
        <w:t xml:space="preserve"> SURCHARGE – WASHINGTON”</w:t>
      </w:r>
    </w:p>
    <w:p w:rsidR="00C4592F" w:rsidRDefault="00C4592F" w:rsidP="00C4592F">
      <w:pPr>
        <w:ind w:right="-360"/>
        <w:jc w:val="center"/>
        <w:rPr>
          <w:b/>
          <w:sz w:val="24"/>
          <w:szCs w:val="22"/>
        </w:rPr>
      </w:pPr>
    </w:p>
    <w:p w:rsidR="00C4592F" w:rsidRPr="00C4592F" w:rsidRDefault="00C4592F" w:rsidP="00C4592F">
      <w:pPr>
        <w:jc w:val="both"/>
        <w:rPr>
          <w:sz w:val="24"/>
          <w:szCs w:val="24"/>
        </w:rPr>
      </w:pPr>
      <w:r w:rsidRPr="00C4592F">
        <w:rPr>
          <w:sz w:val="24"/>
          <w:szCs w:val="24"/>
        </w:rPr>
        <w:t>Questions regarding this filing should be directed to the following:</w:t>
      </w:r>
    </w:p>
    <w:p w:rsidR="00C4592F" w:rsidRPr="00C4592F" w:rsidRDefault="00C4592F" w:rsidP="00C4592F">
      <w:pPr>
        <w:jc w:val="both"/>
        <w:rPr>
          <w:sz w:val="24"/>
          <w:szCs w:val="24"/>
        </w:rPr>
      </w:pPr>
    </w:p>
    <w:p w:rsidR="00C4592F" w:rsidRPr="00C4592F" w:rsidRDefault="00C4592F" w:rsidP="00C4592F">
      <w:pPr>
        <w:tabs>
          <w:tab w:val="left" w:pos="5400"/>
        </w:tabs>
        <w:ind w:left="720" w:hanging="720"/>
        <w:jc w:val="both"/>
        <w:rPr>
          <w:sz w:val="24"/>
          <w:szCs w:val="24"/>
        </w:rPr>
      </w:pPr>
      <w:r w:rsidRPr="00C4592F">
        <w:rPr>
          <w:sz w:val="24"/>
          <w:szCs w:val="24"/>
        </w:rPr>
        <w:tab/>
        <w:t>David Meyer</w:t>
      </w:r>
      <w:r w:rsidRPr="00C4592F">
        <w:rPr>
          <w:sz w:val="24"/>
          <w:szCs w:val="24"/>
        </w:rPr>
        <w:tab/>
        <w:t>Patrick Ehrbar</w:t>
      </w:r>
    </w:p>
    <w:p w:rsidR="00C4592F" w:rsidRPr="00C4592F" w:rsidRDefault="00C4592F" w:rsidP="00C4592F">
      <w:pPr>
        <w:tabs>
          <w:tab w:val="left" w:pos="720"/>
          <w:tab w:val="left" w:pos="5400"/>
        </w:tabs>
        <w:ind w:left="720" w:hanging="720"/>
        <w:jc w:val="both"/>
        <w:rPr>
          <w:sz w:val="24"/>
          <w:szCs w:val="24"/>
        </w:rPr>
      </w:pPr>
      <w:r w:rsidRPr="00C4592F">
        <w:rPr>
          <w:sz w:val="24"/>
          <w:szCs w:val="24"/>
        </w:rPr>
        <w:tab/>
        <w:t>Vice President and Chief Counsel for</w:t>
      </w:r>
      <w:r w:rsidRPr="00C4592F">
        <w:rPr>
          <w:sz w:val="24"/>
          <w:szCs w:val="24"/>
        </w:rPr>
        <w:tab/>
        <w:t>Manager, Rates and Tariffs</w:t>
      </w:r>
    </w:p>
    <w:p w:rsidR="00C4592F" w:rsidRPr="00C4592F" w:rsidRDefault="00C4592F" w:rsidP="00C4592F">
      <w:pPr>
        <w:tabs>
          <w:tab w:val="left" w:pos="720"/>
          <w:tab w:val="left" w:pos="5400"/>
        </w:tabs>
        <w:ind w:left="720" w:hanging="720"/>
        <w:jc w:val="both"/>
        <w:rPr>
          <w:sz w:val="24"/>
          <w:szCs w:val="24"/>
        </w:rPr>
      </w:pPr>
      <w:r w:rsidRPr="00C4592F">
        <w:rPr>
          <w:sz w:val="24"/>
          <w:szCs w:val="24"/>
        </w:rPr>
        <w:tab/>
        <w:t>Regulatory &amp; Governmental Affairs</w:t>
      </w:r>
      <w:r w:rsidRPr="00C4592F">
        <w:rPr>
          <w:sz w:val="24"/>
          <w:szCs w:val="24"/>
        </w:rPr>
        <w:tab/>
        <w:t>State and Federal Regulation</w:t>
      </w:r>
    </w:p>
    <w:p w:rsidR="00C4592F" w:rsidRPr="00C4592F" w:rsidRDefault="00C4592F" w:rsidP="00C4592F">
      <w:pPr>
        <w:tabs>
          <w:tab w:val="left" w:pos="720"/>
          <w:tab w:val="left" w:pos="5400"/>
        </w:tabs>
        <w:ind w:left="720" w:hanging="720"/>
        <w:jc w:val="both"/>
        <w:rPr>
          <w:sz w:val="24"/>
          <w:szCs w:val="24"/>
          <w:lang w:val="fr-FR"/>
        </w:rPr>
      </w:pPr>
      <w:r w:rsidRPr="00C4592F">
        <w:rPr>
          <w:sz w:val="24"/>
          <w:szCs w:val="24"/>
        </w:rPr>
        <w:tab/>
      </w:r>
      <w:r w:rsidRPr="00C4592F">
        <w:rPr>
          <w:sz w:val="24"/>
          <w:szCs w:val="24"/>
          <w:lang w:val="fr-FR"/>
        </w:rPr>
        <w:t>Avista Corp.</w:t>
      </w:r>
      <w:r w:rsidRPr="00C4592F">
        <w:rPr>
          <w:sz w:val="24"/>
          <w:szCs w:val="24"/>
          <w:lang w:val="fr-FR"/>
        </w:rPr>
        <w:tab/>
        <w:t>Avista Corp.</w:t>
      </w:r>
    </w:p>
    <w:p w:rsidR="00C4592F" w:rsidRPr="00C4592F" w:rsidRDefault="00C4592F" w:rsidP="00C4592F">
      <w:pPr>
        <w:tabs>
          <w:tab w:val="left" w:pos="720"/>
          <w:tab w:val="left" w:pos="5400"/>
        </w:tabs>
        <w:ind w:left="720" w:hanging="720"/>
        <w:jc w:val="both"/>
        <w:rPr>
          <w:sz w:val="24"/>
          <w:szCs w:val="24"/>
          <w:lang w:val="fr-FR"/>
        </w:rPr>
      </w:pPr>
      <w:r w:rsidRPr="00C4592F">
        <w:rPr>
          <w:sz w:val="24"/>
          <w:szCs w:val="24"/>
          <w:lang w:val="fr-FR"/>
        </w:rPr>
        <w:tab/>
        <w:t>P. O. Box 3727</w:t>
      </w:r>
      <w:r w:rsidRPr="00C4592F">
        <w:rPr>
          <w:sz w:val="24"/>
          <w:szCs w:val="24"/>
          <w:lang w:val="fr-FR"/>
        </w:rPr>
        <w:tab/>
        <w:t>P. O. Box 3727</w:t>
      </w:r>
    </w:p>
    <w:p w:rsidR="00C4592F" w:rsidRPr="00C4592F" w:rsidRDefault="00C4592F" w:rsidP="00C4592F">
      <w:pPr>
        <w:tabs>
          <w:tab w:val="left" w:pos="720"/>
          <w:tab w:val="left" w:pos="5400"/>
        </w:tabs>
        <w:ind w:left="720" w:hanging="720"/>
        <w:jc w:val="both"/>
        <w:rPr>
          <w:sz w:val="24"/>
          <w:szCs w:val="24"/>
          <w:lang w:val="fr-FR"/>
        </w:rPr>
      </w:pPr>
      <w:r w:rsidRPr="00C4592F">
        <w:rPr>
          <w:sz w:val="24"/>
          <w:szCs w:val="24"/>
          <w:lang w:val="fr-FR"/>
        </w:rPr>
        <w:tab/>
        <w:t>1411 E. Mission Avenue, MSC 27</w:t>
      </w:r>
      <w:r w:rsidRPr="00C4592F">
        <w:rPr>
          <w:sz w:val="24"/>
          <w:szCs w:val="24"/>
          <w:lang w:val="fr-FR"/>
        </w:rPr>
        <w:tab/>
        <w:t>1411 E. Mission Avenue, MSC 27</w:t>
      </w:r>
    </w:p>
    <w:p w:rsidR="00C4592F" w:rsidRPr="00C4592F" w:rsidRDefault="00C4592F" w:rsidP="00C4592F">
      <w:pPr>
        <w:tabs>
          <w:tab w:val="left" w:pos="720"/>
          <w:tab w:val="left" w:pos="5400"/>
        </w:tabs>
        <w:ind w:left="720" w:hanging="720"/>
        <w:jc w:val="both"/>
        <w:rPr>
          <w:sz w:val="24"/>
          <w:szCs w:val="24"/>
        </w:rPr>
      </w:pPr>
      <w:r w:rsidRPr="00C4592F">
        <w:rPr>
          <w:sz w:val="24"/>
          <w:szCs w:val="24"/>
          <w:lang w:val="fr-FR"/>
        </w:rPr>
        <w:tab/>
      </w:r>
      <w:r w:rsidRPr="00C4592F">
        <w:rPr>
          <w:sz w:val="24"/>
          <w:szCs w:val="24"/>
        </w:rPr>
        <w:t>Spokane, Washington 99220-3727</w:t>
      </w:r>
      <w:r w:rsidRPr="00C4592F">
        <w:rPr>
          <w:sz w:val="24"/>
          <w:szCs w:val="24"/>
        </w:rPr>
        <w:tab/>
        <w:t>Spokane, Washington 99220-3727</w:t>
      </w:r>
    </w:p>
    <w:p w:rsidR="00C4592F" w:rsidRPr="00C4592F" w:rsidRDefault="00C4592F" w:rsidP="00C4592F">
      <w:pPr>
        <w:tabs>
          <w:tab w:val="left" w:pos="-1440"/>
          <w:tab w:val="left" w:pos="720"/>
          <w:tab w:val="left" w:pos="5400"/>
        </w:tabs>
        <w:ind w:left="720" w:hanging="720"/>
        <w:rPr>
          <w:sz w:val="24"/>
          <w:szCs w:val="24"/>
        </w:rPr>
      </w:pPr>
      <w:r w:rsidRPr="00C4592F">
        <w:rPr>
          <w:sz w:val="24"/>
          <w:szCs w:val="24"/>
        </w:rPr>
        <w:tab/>
        <w:t>Telephone:  (509) 495-4316</w:t>
      </w:r>
      <w:r w:rsidRPr="00C4592F">
        <w:rPr>
          <w:sz w:val="24"/>
          <w:szCs w:val="24"/>
        </w:rPr>
        <w:tab/>
        <w:t>Telephone:  (509) 495-8620</w:t>
      </w:r>
    </w:p>
    <w:p w:rsidR="00C4592F" w:rsidRPr="00C4592F" w:rsidRDefault="00C4592F" w:rsidP="00C4592F">
      <w:pPr>
        <w:tabs>
          <w:tab w:val="left" w:pos="720"/>
          <w:tab w:val="left" w:pos="5400"/>
        </w:tabs>
        <w:ind w:left="720" w:hanging="720"/>
        <w:rPr>
          <w:sz w:val="24"/>
          <w:szCs w:val="24"/>
        </w:rPr>
      </w:pPr>
      <w:r w:rsidRPr="00C4592F">
        <w:rPr>
          <w:sz w:val="24"/>
          <w:szCs w:val="24"/>
        </w:rPr>
        <w:tab/>
        <w:t>Facsimile:    (509) 495-8851</w:t>
      </w:r>
      <w:r w:rsidRPr="00C4592F">
        <w:rPr>
          <w:sz w:val="24"/>
          <w:szCs w:val="24"/>
        </w:rPr>
        <w:tab/>
        <w:t>Facsimile:    (509) 495-8851</w:t>
      </w:r>
    </w:p>
    <w:p w:rsidR="00C4592F" w:rsidRPr="00C4592F" w:rsidRDefault="00C4592F" w:rsidP="00C4592F">
      <w:pPr>
        <w:tabs>
          <w:tab w:val="left" w:pos="720"/>
          <w:tab w:val="left" w:pos="5400"/>
        </w:tabs>
        <w:ind w:left="720" w:hanging="720"/>
        <w:rPr>
          <w:sz w:val="24"/>
          <w:szCs w:val="24"/>
        </w:rPr>
      </w:pPr>
      <w:r w:rsidRPr="00C4592F">
        <w:rPr>
          <w:sz w:val="24"/>
          <w:szCs w:val="24"/>
        </w:rPr>
        <w:tab/>
        <w:t xml:space="preserve">E-mail: </w:t>
      </w:r>
      <w:hyperlink r:id="rId7" w:history="1">
        <w:r w:rsidRPr="00C4592F">
          <w:rPr>
            <w:rStyle w:val="Hyperlink"/>
            <w:sz w:val="24"/>
            <w:szCs w:val="24"/>
          </w:rPr>
          <w:t>david.meyer@avistacorp.com</w:t>
        </w:r>
      </w:hyperlink>
      <w:r w:rsidRPr="00C4592F">
        <w:rPr>
          <w:sz w:val="24"/>
          <w:szCs w:val="24"/>
        </w:rPr>
        <w:tab/>
        <w:t xml:space="preserve">E-mail: </w:t>
      </w:r>
      <w:hyperlink r:id="rId8" w:history="1">
        <w:r w:rsidRPr="00C4592F">
          <w:rPr>
            <w:rStyle w:val="Hyperlink"/>
            <w:sz w:val="24"/>
            <w:szCs w:val="24"/>
          </w:rPr>
          <w:t>pat.ehrbar@avistacorp.com</w:t>
        </w:r>
      </w:hyperlink>
      <w:r w:rsidRPr="00C4592F">
        <w:rPr>
          <w:sz w:val="24"/>
          <w:szCs w:val="24"/>
        </w:rPr>
        <w:t xml:space="preserve"> </w:t>
      </w:r>
    </w:p>
    <w:p w:rsidR="00C4592F" w:rsidRDefault="00C4592F" w:rsidP="00C4592F">
      <w:pPr>
        <w:ind w:right="-360"/>
        <w:jc w:val="center"/>
        <w:rPr>
          <w:b/>
          <w:sz w:val="24"/>
          <w:szCs w:val="22"/>
        </w:rPr>
      </w:pPr>
    </w:p>
    <w:p w:rsidR="00C4592F" w:rsidRPr="00C4592F" w:rsidRDefault="00C4592F" w:rsidP="00470299">
      <w:pPr>
        <w:jc w:val="both"/>
        <w:rPr>
          <w:sz w:val="24"/>
          <w:szCs w:val="24"/>
        </w:rPr>
      </w:pPr>
      <w:r w:rsidRPr="00C4592F">
        <w:rPr>
          <w:sz w:val="24"/>
          <w:szCs w:val="24"/>
        </w:rPr>
        <w:t>Pursuant to WAC 480-80-122(</w:t>
      </w:r>
      <w:r w:rsidR="001522EE">
        <w:rPr>
          <w:sz w:val="24"/>
          <w:szCs w:val="24"/>
        </w:rPr>
        <w:t>2</w:t>
      </w:r>
      <w:r w:rsidRPr="00C4592F">
        <w:rPr>
          <w:sz w:val="24"/>
          <w:szCs w:val="24"/>
        </w:rPr>
        <w:t xml:space="preserve">), the Company has stated an effective date on the tariff of January 22, 2016, however, </w:t>
      </w:r>
      <w:r w:rsidR="00204E23">
        <w:rPr>
          <w:sz w:val="24"/>
          <w:szCs w:val="24"/>
        </w:rPr>
        <w:t xml:space="preserve">Avista </w:t>
      </w:r>
      <w:r w:rsidRPr="00C4592F">
        <w:rPr>
          <w:sz w:val="24"/>
          <w:szCs w:val="24"/>
        </w:rPr>
        <w:t xml:space="preserve">requests that the Commission approve the proposed tariff </w:t>
      </w:r>
      <w:r w:rsidR="00385F0B">
        <w:rPr>
          <w:sz w:val="24"/>
          <w:szCs w:val="24"/>
        </w:rPr>
        <w:t xml:space="preserve">on less than statutory notice </w:t>
      </w:r>
      <w:r w:rsidRPr="00C4592F">
        <w:rPr>
          <w:sz w:val="24"/>
          <w:szCs w:val="24"/>
        </w:rPr>
        <w:t xml:space="preserve">at its December 30, 2015 Open Meeting, </w:t>
      </w:r>
      <w:r w:rsidRPr="00C4592F">
        <w:rPr>
          <w:sz w:val="24"/>
          <w:szCs w:val="24"/>
          <w:u w:val="single"/>
        </w:rPr>
        <w:t>with a January 1, 2016 effective date</w:t>
      </w:r>
      <w:r w:rsidRPr="00C4592F">
        <w:rPr>
          <w:sz w:val="24"/>
          <w:szCs w:val="24"/>
        </w:rPr>
        <w:t>.</w:t>
      </w:r>
    </w:p>
    <w:p w:rsidR="00C4592F" w:rsidRPr="00C4592F" w:rsidRDefault="00C4592F" w:rsidP="00470299">
      <w:pPr>
        <w:jc w:val="both"/>
        <w:rPr>
          <w:sz w:val="24"/>
          <w:szCs w:val="24"/>
        </w:rPr>
      </w:pPr>
    </w:p>
    <w:p w:rsidR="005B0925" w:rsidRPr="00C4592F" w:rsidRDefault="005B0925" w:rsidP="00470299">
      <w:pPr>
        <w:jc w:val="both"/>
        <w:rPr>
          <w:sz w:val="24"/>
          <w:szCs w:val="24"/>
        </w:rPr>
      </w:pPr>
      <w:r w:rsidRPr="00C4592F">
        <w:rPr>
          <w:sz w:val="24"/>
          <w:szCs w:val="24"/>
        </w:rPr>
        <w:t>On December 21, 2015, Judge Friedlander advised the parties in Avista’s general rate case, Docket Nos. UE-150204 and UG-150205, that “the Commission will enter an order by the statutory deadline of January 11, 2016”</w:t>
      </w:r>
      <w:r w:rsidR="00C4592F">
        <w:rPr>
          <w:sz w:val="24"/>
          <w:szCs w:val="24"/>
        </w:rPr>
        <w:t xml:space="preserve">, and that rates will not be implemented by </w:t>
      </w:r>
      <w:r w:rsidRPr="00C4592F">
        <w:rPr>
          <w:sz w:val="24"/>
          <w:szCs w:val="24"/>
        </w:rPr>
        <w:t>January 1, 2016.</w:t>
      </w:r>
      <w:r w:rsidR="00234D71" w:rsidRPr="00C4592F">
        <w:rPr>
          <w:sz w:val="24"/>
          <w:szCs w:val="24"/>
        </w:rPr>
        <w:t xml:space="preserve">  </w:t>
      </w:r>
      <w:r w:rsidRPr="00C4592F">
        <w:rPr>
          <w:sz w:val="24"/>
          <w:szCs w:val="24"/>
        </w:rPr>
        <w:t>As discussed by Company witness Mr. Ehrbar on p. 3 of Exhibit No</w:t>
      </w:r>
      <w:r w:rsidR="00385F0B">
        <w:rPr>
          <w:sz w:val="24"/>
          <w:szCs w:val="24"/>
        </w:rPr>
        <w:t>. PDE-</w:t>
      </w:r>
      <w:proofErr w:type="spellStart"/>
      <w:r w:rsidR="00385F0B">
        <w:rPr>
          <w:sz w:val="24"/>
          <w:szCs w:val="24"/>
        </w:rPr>
        <w:t>8T</w:t>
      </w:r>
      <w:proofErr w:type="spellEnd"/>
      <w:r w:rsidR="00385F0B">
        <w:rPr>
          <w:sz w:val="24"/>
          <w:szCs w:val="24"/>
        </w:rPr>
        <w:t xml:space="preserve"> in these dockets,</w:t>
      </w:r>
      <w:r w:rsidRPr="00C4592F">
        <w:rPr>
          <w:sz w:val="24"/>
          <w:szCs w:val="24"/>
        </w:rPr>
        <w:t xml:space="preserve"> “as a part of the Settlement Stipulation approved by the Commission in Docket Nos. UE-140188 and UG-140189, Avista is presently rebating to customers approximately $8.2 million in 2015.  That rebate will expire on December 31, 2015.”</w:t>
      </w:r>
      <w:r w:rsidR="00385F0B">
        <w:rPr>
          <w:sz w:val="24"/>
          <w:szCs w:val="24"/>
        </w:rPr>
        <w:t xml:space="preserve">  The Company had originally requested a January 1, 2016 effective date for new base rates to be established in Docket Nos. </w:t>
      </w:r>
      <w:r w:rsidR="00385F0B">
        <w:rPr>
          <w:sz w:val="24"/>
          <w:szCs w:val="24"/>
        </w:rPr>
        <w:lastRenderedPageBreak/>
        <w:t>UE-150204 and UG-150205, in order to coincide with the scheduled December 31, 2015 expiration date of the ERM rebate.</w:t>
      </w:r>
    </w:p>
    <w:p w:rsidR="005B0925" w:rsidRPr="00C4592F" w:rsidRDefault="005B0925" w:rsidP="00470299">
      <w:pPr>
        <w:jc w:val="both"/>
        <w:rPr>
          <w:sz w:val="24"/>
          <w:szCs w:val="24"/>
        </w:rPr>
      </w:pPr>
    </w:p>
    <w:p w:rsidR="00234D71" w:rsidRPr="00C4592F" w:rsidRDefault="005B0925" w:rsidP="00470299">
      <w:pPr>
        <w:jc w:val="both"/>
        <w:rPr>
          <w:sz w:val="24"/>
          <w:szCs w:val="24"/>
        </w:rPr>
      </w:pPr>
      <w:r w:rsidRPr="00C4592F">
        <w:rPr>
          <w:sz w:val="24"/>
          <w:szCs w:val="24"/>
        </w:rPr>
        <w:t xml:space="preserve">With the expiration of the ERM rebate occurring effective January 1, and then a rate change occurring </w:t>
      </w:r>
      <w:r w:rsidR="0021618C" w:rsidRPr="00C4592F">
        <w:rPr>
          <w:sz w:val="24"/>
          <w:szCs w:val="24"/>
        </w:rPr>
        <w:t xml:space="preserve">shortly thereafter related to the general rate case, we believe that two rate changes within a </w:t>
      </w:r>
      <w:r w:rsidR="00234D71" w:rsidRPr="00C4592F">
        <w:rPr>
          <w:sz w:val="24"/>
          <w:szCs w:val="24"/>
        </w:rPr>
        <w:t>two-</w:t>
      </w:r>
      <w:r w:rsidR="0021618C" w:rsidRPr="00C4592F">
        <w:rPr>
          <w:sz w:val="24"/>
          <w:szCs w:val="24"/>
        </w:rPr>
        <w:t>week</w:t>
      </w:r>
      <w:r w:rsidR="00234D71" w:rsidRPr="00C4592F">
        <w:rPr>
          <w:sz w:val="24"/>
          <w:szCs w:val="24"/>
        </w:rPr>
        <w:t xml:space="preserve"> period</w:t>
      </w:r>
      <w:r w:rsidR="0021618C" w:rsidRPr="00C4592F">
        <w:rPr>
          <w:sz w:val="24"/>
          <w:szCs w:val="24"/>
        </w:rPr>
        <w:t xml:space="preserve"> will be confusing for customers.  Therefore, the Company requests that the ERM rebate be extended until such time as new base rates go into effect.  </w:t>
      </w:r>
      <w:r w:rsidR="00385F0B">
        <w:rPr>
          <w:sz w:val="24"/>
          <w:szCs w:val="24"/>
        </w:rPr>
        <w:t>That is reflected in the proposed tariff changes.</w:t>
      </w:r>
    </w:p>
    <w:p w:rsidR="00234D71" w:rsidRPr="00C4592F" w:rsidRDefault="00234D71" w:rsidP="00470299">
      <w:pPr>
        <w:jc w:val="both"/>
        <w:rPr>
          <w:sz w:val="24"/>
          <w:szCs w:val="24"/>
        </w:rPr>
      </w:pPr>
    </w:p>
    <w:p w:rsidR="005B0925" w:rsidRPr="00C4592F" w:rsidRDefault="00234D71" w:rsidP="00470299">
      <w:pPr>
        <w:jc w:val="both"/>
        <w:rPr>
          <w:sz w:val="24"/>
          <w:szCs w:val="24"/>
        </w:rPr>
      </w:pPr>
      <w:r w:rsidRPr="00C4592F">
        <w:rPr>
          <w:sz w:val="24"/>
          <w:szCs w:val="24"/>
        </w:rPr>
        <w:t>As of December 1, 2015, t</w:t>
      </w:r>
      <w:r w:rsidR="0021618C" w:rsidRPr="00C4592F">
        <w:rPr>
          <w:sz w:val="24"/>
          <w:szCs w:val="24"/>
        </w:rPr>
        <w:t xml:space="preserve">he Company </w:t>
      </w:r>
      <w:r w:rsidR="00204E23">
        <w:rPr>
          <w:sz w:val="24"/>
          <w:szCs w:val="24"/>
        </w:rPr>
        <w:t>had an</w:t>
      </w:r>
      <w:r w:rsidR="0021618C" w:rsidRPr="00C4592F">
        <w:rPr>
          <w:sz w:val="24"/>
          <w:szCs w:val="24"/>
        </w:rPr>
        <w:t xml:space="preserve"> ERM rebate</w:t>
      </w:r>
      <w:r w:rsidRPr="00C4592F">
        <w:rPr>
          <w:sz w:val="24"/>
          <w:szCs w:val="24"/>
        </w:rPr>
        <w:t xml:space="preserve"> deferral</w:t>
      </w:r>
      <w:r w:rsidR="0021618C" w:rsidRPr="00C4592F">
        <w:rPr>
          <w:sz w:val="24"/>
          <w:szCs w:val="24"/>
        </w:rPr>
        <w:t xml:space="preserve"> balance of approximately $</w:t>
      </w:r>
      <w:r w:rsidRPr="00C4592F">
        <w:rPr>
          <w:sz w:val="24"/>
          <w:szCs w:val="24"/>
        </w:rPr>
        <w:t>7.2</w:t>
      </w:r>
      <w:r w:rsidR="0021618C" w:rsidRPr="00C4592F">
        <w:rPr>
          <w:sz w:val="24"/>
          <w:szCs w:val="24"/>
        </w:rPr>
        <w:t xml:space="preserve"> million, which is more than sufficient </w:t>
      </w:r>
      <w:r w:rsidRPr="00C4592F">
        <w:rPr>
          <w:sz w:val="24"/>
          <w:szCs w:val="24"/>
        </w:rPr>
        <w:t xml:space="preserve">to cover the December portion of the 2015 ERM rebate (estimated to be approximately $800,000 in December) as well as the extension of the rebate into the </w:t>
      </w:r>
      <w:r w:rsidR="00C4592F">
        <w:rPr>
          <w:sz w:val="24"/>
          <w:szCs w:val="24"/>
        </w:rPr>
        <w:t>early part</w:t>
      </w:r>
      <w:r w:rsidRPr="00C4592F">
        <w:rPr>
          <w:sz w:val="24"/>
          <w:szCs w:val="24"/>
        </w:rPr>
        <w:t xml:space="preserve"> of January 2016</w:t>
      </w:r>
      <w:r w:rsidR="0021618C" w:rsidRPr="00C4592F">
        <w:rPr>
          <w:sz w:val="24"/>
          <w:szCs w:val="24"/>
        </w:rPr>
        <w:t>.</w:t>
      </w:r>
    </w:p>
    <w:p w:rsidR="00234D71" w:rsidRPr="00C4592F" w:rsidRDefault="00234D71" w:rsidP="00470299">
      <w:pPr>
        <w:jc w:val="both"/>
        <w:rPr>
          <w:sz w:val="24"/>
          <w:szCs w:val="24"/>
        </w:rPr>
      </w:pPr>
    </w:p>
    <w:p w:rsidR="00234D71" w:rsidRPr="00C4592F" w:rsidRDefault="00234D71" w:rsidP="00470299">
      <w:pPr>
        <w:jc w:val="both"/>
        <w:rPr>
          <w:sz w:val="24"/>
          <w:szCs w:val="24"/>
        </w:rPr>
      </w:pPr>
      <w:r w:rsidRPr="00C4592F">
        <w:rPr>
          <w:sz w:val="24"/>
          <w:szCs w:val="24"/>
        </w:rPr>
        <w:t xml:space="preserve">The Company has communicated with Staff, Public Counsel, </w:t>
      </w:r>
      <w:r w:rsidR="00C4592F">
        <w:rPr>
          <w:sz w:val="24"/>
          <w:szCs w:val="24"/>
        </w:rPr>
        <w:t xml:space="preserve">the Energy Project </w:t>
      </w:r>
      <w:r w:rsidRPr="00C4592F">
        <w:rPr>
          <w:sz w:val="24"/>
          <w:szCs w:val="24"/>
        </w:rPr>
        <w:t xml:space="preserve">and ICNU, and those parties </w:t>
      </w:r>
      <w:r w:rsidR="00C4592F">
        <w:rPr>
          <w:sz w:val="24"/>
          <w:szCs w:val="24"/>
        </w:rPr>
        <w:t>indicated that they do</w:t>
      </w:r>
      <w:r w:rsidRPr="00C4592F">
        <w:rPr>
          <w:sz w:val="24"/>
          <w:szCs w:val="24"/>
        </w:rPr>
        <w:t xml:space="preserve"> not object to the Company’s request.</w:t>
      </w:r>
    </w:p>
    <w:p w:rsidR="00990DD6" w:rsidRPr="00C4592F" w:rsidRDefault="00990DD6" w:rsidP="00470299">
      <w:pPr>
        <w:jc w:val="both"/>
        <w:rPr>
          <w:sz w:val="24"/>
          <w:szCs w:val="24"/>
        </w:rPr>
      </w:pPr>
    </w:p>
    <w:p w:rsidR="00990DD6" w:rsidRPr="00C4592F" w:rsidRDefault="00326468" w:rsidP="00470299">
      <w:pPr>
        <w:jc w:val="both"/>
        <w:rPr>
          <w:sz w:val="24"/>
          <w:szCs w:val="24"/>
        </w:rPr>
      </w:pPr>
      <w:r w:rsidRPr="00C4592F">
        <w:rPr>
          <w:sz w:val="24"/>
          <w:szCs w:val="24"/>
        </w:rPr>
        <w:t>Sincerely,</w:t>
      </w:r>
    </w:p>
    <w:p w:rsidR="00990DD6" w:rsidRPr="00C4592F" w:rsidRDefault="00990DD6">
      <w:pPr>
        <w:rPr>
          <w:sz w:val="24"/>
          <w:szCs w:val="24"/>
        </w:rPr>
      </w:pPr>
    </w:p>
    <w:p w:rsidR="00990DD6" w:rsidRPr="00C4592F" w:rsidRDefault="00990DD6">
      <w:pPr>
        <w:rPr>
          <w:sz w:val="24"/>
          <w:szCs w:val="24"/>
        </w:rPr>
      </w:pPr>
    </w:p>
    <w:p w:rsidR="00990DD6" w:rsidRPr="00C4592F" w:rsidRDefault="00990DD6">
      <w:pPr>
        <w:rPr>
          <w:sz w:val="24"/>
          <w:szCs w:val="24"/>
        </w:rPr>
      </w:pPr>
    </w:p>
    <w:p w:rsidR="00990DD6" w:rsidRPr="00C4592F" w:rsidRDefault="00326468">
      <w:pPr>
        <w:rPr>
          <w:sz w:val="24"/>
          <w:szCs w:val="24"/>
        </w:rPr>
      </w:pPr>
      <w:r w:rsidRPr="00C4592F">
        <w:rPr>
          <w:sz w:val="24"/>
          <w:szCs w:val="24"/>
        </w:rPr>
        <w:t>David J. Meyer</w:t>
      </w:r>
    </w:p>
    <w:p w:rsidR="00990DD6" w:rsidRPr="00C4592F" w:rsidRDefault="00326468">
      <w:pPr>
        <w:rPr>
          <w:sz w:val="24"/>
          <w:szCs w:val="24"/>
        </w:rPr>
      </w:pPr>
      <w:r w:rsidRPr="00C4592F">
        <w:rPr>
          <w:sz w:val="24"/>
          <w:szCs w:val="24"/>
        </w:rPr>
        <w:t>V</w:t>
      </w:r>
      <w:r w:rsidR="0033495A" w:rsidRPr="00C4592F">
        <w:rPr>
          <w:sz w:val="24"/>
          <w:szCs w:val="24"/>
        </w:rPr>
        <w:t>ice President</w:t>
      </w:r>
      <w:r w:rsidRPr="00C4592F">
        <w:rPr>
          <w:sz w:val="24"/>
          <w:szCs w:val="24"/>
        </w:rPr>
        <w:t xml:space="preserve"> and Chief Counsel for </w:t>
      </w:r>
    </w:p>
    <w:p w:rsidR="00990DD6" w:rsidRPr="00C4592F" w:rsidRDefault="00326468">
      <w:pPr>
        <w:rPr>
          <w:sz w:val="24"/>
          <w:szCs w:val="24"/>
        </w:rPr>
      </w:pPr>
      <w:r w:rsidRPr="00C4592F">
        <w:rPr>
          <w:sz w:val="24"/>
          <w:szCs w:val="24"/>
        </w:rPr>
        <w:t>Regulatory and Governmental Affairs</w:t>
      </w:r>
    </w:p>
    <w:p w:rsidR="00234D71" w:rsidRPr="00C4592F" w:rsidRDefault="00234D71">
      <w:pPr>
        <w:tabs>
          <w:tab w:val="left" w:pos="360"/>
        </w:tabs>
        <w:rPr>
          <w:sz w:val="24"/>
          <w:szCs w:val="24"/>
        </w:rPr>
      </w:pPr>
    </w:p>
    <w:p w:rsidR="00990DD6" w:rsidRPr="00C4592F" w:rsidRDefault="00990DD6">
      <w:pPr>
        <w:tabs>
          <w:tab w:val="left" w:pos="360"/>
        </w:tabs>
        <w:rPr>
          <w:sz w:val="24"/>
          <w:szCs w:val="24"/>
        </w:rPr>
      </w:pPr>
    </w:p>
    <w:sectPr w:rsidR="00990DD6" w:rsidRPr="00C4592F" w:rsidSect="00990DD6">
      <w:headerReference w:type="default" r:id="rId9"/>
      <w:headerReference w:type="first" r:id="rId10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0B" w:rsidRDefault="00385F0B">
      <w:r>
        <w:separator/>
      </w:r>
    </w:p>
  </w:endnote>
  <w:endnote w:type="continuationSeparator" w:id="0">
    <w:p w:rsidR="00385F0B" w:rsidRDefault="0038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0B" w:rsidRDefault="00385F0B">
      <w:r>
        <w:separator/>
      </w:r>
    </w:p>
  </w:footnote>
  <w:footnote w:type="continuationSeparator" w:id="0">
    <w:p w:rsidR="00385F0B" w:rsidRDefault="00385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F0B" w:rsidRDefault="00385F0B">
    <w:pPr>
      <w:pStyle w:val="Header"/>
      <w:rPr>
        <w:rStyle w:val="PageNumber"/>
      </w:rPr>
    </w:pPr>
  </w:p>
  <w:p w:rsidR="00385F0B" w:rsidRDefault="00385F0B">
    <w:pPr>
      <w:pStyle w:val="Header"/>
      <w:rPr>
        <w:rStyle w:val="PageNumber"/>
      </w:rPr>
    </w:pPr>
  </w:p>
  <w:p w:rsidR="00385F0B" w:rsidRDefault="00385F0B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385F0B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85F0B" w:rsidRDefault="00385F0B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385F0B" w:rsidRDefault="00385F0B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385F0B" w:rsidRDefault="00385F0B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385F0B" w:rsidRDefault="00385F0B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385F0B" w:rsidRDefault="00385F0B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385F0B" w:rsidRDefault="00385F0B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85F0B" w:rsidRDefault="00385F0B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5F0B" w:rsidRDefault="00385F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79BD"/>
    <w:multiLevelType w:val="hybridMultilevel"/>
    <w:tmpl w:val="7B6EB33C"/>
    <w:lvl w:ilvl="0" w:tplc="CFA0BFA6">
      <w:start w:val="1"/>
      <w:numFmt w:val="decimal"/>
      <w:lvlText w:val="%1"/>
      <w:lvlJc w:val="left"/>
      <w:pPr>
        <w:tabs>
          <w:tab w:val="num" w:pos="240"/>
        </w:tabs>
        <w:ind w:left="240" w:hanging="816"/>
      </w:pPr>
      <w:rPr>
        <w:rFonts w:cs="Times New Roman" w:hint="default"/>
        <w:b w:val="0"/>
        <w:bCs w:val="0"/>
        <w:i/>
        <w:iCs/>
        <w:color w:val="auto"/>
        <w:sz w:val="18"/>
        <w:szCs w:val="18"/>
      </w:rPr>
    </w:lvl>
    <w:lvl w:ilvl="1" w:tplc="8F786CE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0B4F70"/>
    <w:rsid w:val="000C0F03"/>
    <w:rsid w:val="001040CD"/>
    <w:rsid w:val="001522EE"/>
    <w:rsid w:val="00204E23"/>
    <w:rsid w:val="0021618C"/>
    <w:rsid w:val="00234D71"/>
    <w:rsid w:val="00243A5B"/>
    <w:rsid w:val="00257B17"/>
    <w:rsid w:val="00295C4C"/>
    <w:rsid w:val="002A00BC"/>
    <w:rsid w:val="00326468"/>
    <w:rsid w:val="0033495A"/>
    <w:rsid w:val="00376DEC"/>
    <w:rsid w:val="00385F0B"/>
    <w:rsid w:val="003A1B83"/>
    <w:rsid w:val="003A5EDC"/>
    <w:rsid w:val="00470299"/>
    <w:rsid w:val="00584B16"/>
    <w:rsid w:val="005A2A72"/>
    <w:rsid w:val="005B0925"/>
    <w:rsid w:val="00642F51"/>
    <w:rsid w:val="00707421"/>
    <w:rsid w:val="0076237A"/>
    <w:rsid w:val="00766CA0"/>
    <w:rsid w:val="008B374B"/>
    <w:rsid w:val="008D6505"/>
    <w:rsid w:val="008E070B"/>
    <w:rsid w:val="00990DD6"/>
    <w:rsid w:val="009A6B74"/>
    <w:rsid w:val="00A50F62"/>
    <w:rsid w:val="00B438AA"/>
    <w:rsid w:val="00C4592F"/>
    <w:rsid w:val="00C52B18"/>
    <w:rsid w:val="00CB0E80"/>
    <w:rsid w:val="00CF1F3B"/>
    <w:rsid w:val="00DD095E"/>
    <w:rsid w:val="00DD3B07"/>
    <w:rsid w:val="00DF0ECB"/>
    <w:rsid w:val="00E11522"/>
    <w:rsid w:val="00E92615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92F"/>
    <w:pPr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.ehrbar@avistacorp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avid.meyer@avistacor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063893A63AEA4F954DD6ABA692BA4E" ma:contentTypeVersion="119" ma:contentTypeDescription="" ma:contentTypeScope="" ma:versionID="d2b25d47b9fae8e808944aaceb68b0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2015-12-16T08:00:00+00:00</OpenedDate>
    <Date1 xmlns="dc463f71-b30c-4ab2-9473-d307f9d35888">2015-12-22T08:00:00+00:00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152406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26907B-97D0-46A8-A39E-1364FF0FF537}"/>
</file>

<file path=customXml/itemProps2.xml><?xml version="1.0" encoding="utf-8"?>
<ds:datastoreItem xmlns:ds="http://schemas.openxmlformats.org/officeDocument/2006/customXml" ds:itemID="{EEDF252B-3E70-4BED-9F8E-C0CAE753567F}"/>
</file>

<file path=customXml/itemProps3.xml><?xml version="1.0" encoding="utf-8"?>
<ds:datastoreItem xmlns:ds="http://schemas.openxmlformats.org/officeDocument/2006/customXml" ds:itemID="{FD3E17BD-6715-46FC-87DD-9E7654B54B36}"/>
</file>

<file path=customXml/itemProps4.xml><?xml version="1.0" encoding="utf-8"?>
<ds:datastoreItem xmlns:ds="http://schemas.openxmlformats.org/officeDocument/2006/customXml" ds:itemID="{9E140B47-A3F5-45EE-A5A0-3DE66CA613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495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3321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Pat Ehrbar</cp:lastModifiedBy>
  <cp:revision>8</cp:revision>
  <cp:lastPrinted>2015-12-22T23:16:00Z</cp:lastPrinted>
  <dcterms:created xsi:type="dcterms:W3CDTF">2015-11-13T19:24:00Z</dcterms:created>
  <dcterms:modified xsi:type="dcterms:W3CDTF">2015-12-22T23:19:00Z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0x0101006E56B4D1795A2E4DB2F0B01679ED314A007C063893A63AEA4F954DD6ABA692BA4E</vt:lpwstr>
  </property>
  <property fmtid="{D5CDD505-2E9C-101B-9397-08002B2CF9AE}" pid="3" name="_docset_NoMedatataSyncRequired">
    <vt:lpwstr>False</vt:lpwstr>
  </property>
</Properties>
</file>