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FBB12" w14:textId="7C641F94" w:rsidR="00357665" w:rsidRPr="00040AB6" w:rsidRDefault="00357665" w:rsidP="00AD09B3">
      <w:pPr>
        <w:spacing w:after="0" w:line="240" w:lineRule="auto"/>
        <w:jc w:val="center"/>
        <w:rPr>
          <w:rFonts w:asciiTheme="minorHAnsi" w:hAnsiTheme="minorHAnsi"/>
          <w:sz w:val="52"/>
          <w:szCs w:val="52"/>
        </w:rPr>
      </w:pPr>
      <w:r w:rsidRPr="00040AB6">
        <w:rPr>
          <w:rFonts w:asciiTheme="minorHAnsi" w:hAnsiTheme="minorHAnsi"/>
          <w:sz w:val="52"/>
          <w:szCs w:val="52"/>
        </w:rPr>
        <w:t xml:space="preserve">NW Natural’s </w:t>
      </w:r>
      <w:r w:rsidR="00822685" w:rsidRPr="00040AB6">
        <w:rPr>
          <w:rFonts w:asciiTheme="minorHAnsi" w:hAnsiTheme="minorHAnsi"/>
          <w:sz w:val="52"/>
          <w:szCs w:val="52"/>
        </w:rPr>
        <w:t xml:space="preserve">2015 </w:t>
      </w:r>
    </w:p>
    <w:p w14:paraId="216889FE" w14:textId="77777777" w:rsidR="00357665" w:rsidRPr="00040AB6" w:rsidRDefault="00357665" w:rsidP="00AD09B3">
      <w:pPr>
        <w:spacing w:after="0" w:line="240" w:lineRule="auto"/>
        <w:jc w:val="center"/>
        <w:rPr>
          <w:rFonts w:asciiTheme="minorHAnsi" w:hAnsiTheme="minorHAnsi"/>
          <w:sz w:val="52"/>
          <w:szCs w:val="52"/>
        </w:rPr>
      </w:pPr>
      <w:r w:rsidRPr="00040AB6">
        <w:rPr>
          <w:rFonts w:asciiTheme="minorHAnsi" w:hAnsiTheme="minorHAnsi"/>
          <w:sz w:val="52"/>
          <w:szCs w:val="52"/>
        </w:rPr>
        <w:t>Energy Efficiency Plan</w:t>
      </w:r>
    </w:p>
    <w:p w14:paraId="428290B1" w14:textId="77777777" w:rsidR="00357665" w:rsidRPr="00040AB6" w:rsidRDefault="00357665" w:rsidP="00B12B90">
      <w:pPr>
        <w:rPr>
          <w:rFonts w:asciiTheme="minorHAnsi" w:hAnsiTheme="minorHAnsi"/>
          <w:sz w:val="32"/>
          <w:szCs w:val="32"/>
        </w:rPr>
      </w:pPr>
    </w:p>
    <w:p w14:paraId="25F5B1B7" w14:textId="77777777" w:rsidR="00357665" w:rsidRPr="00040AB6" w:rsidRDefault="00357665" w:rsidP="00EB0FF1">
      <w:pPr>
        <w:pStyle w:val="ListParagraph"/>
        <w:numPr>
          <w:ilvl w:val="0"/>
          <w:numId w:val="9"/>
        </w:numPr>
        <w:spacing w:after="0"/>
        <w:ind w:left="720"/>
        <w:rPr>
          <w:rFonts w:asciiTheme="minorHAnsi" w:hAnsiTheme="minorHAnsi"/>
          <w:sz w:val="32"/>
          <w:szCs w:val="32"/>
        </w:rPr>
      </w:pPr>
      <w:r w:rsidRPr="00040AB6">
        <w:rPr>
          <w:rFonts w:asciiTheme="minorHAnsi" w:hAnsiTheme="minorHAnsi"/>
          <w:sz w:val="32"/>
          <w:szCs w:val="32"/>
        </w:rPr>
        <w:t>Background</w:t>
      </w:r>
    </w:p>
    <w:p w14:paraId="5DAF8408" w14:textId="77777777" w:rsidR="00357665" w:rsidRPr="00040AB6" w:rsidRDefault="00357665" w:rsidP="00EB0FF1">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Northwest Natural, dba NW Natural (“NW Natural” or Company”), began offering its current energy efficiency programs to </w:t>
      </w:r>
      <w:smartTag w:uri="urn:schemas-microsoft-com:office:smarttags" w:element="State">
        <w:smartTag w:uri="urn:schemas-microsoft-com:office:smarttags" w:element="place">
          <w:r w:rsidRPr="00040AB6">
            <w:rPr>
              <w:rFonts w:asciiTheme="minorHAnsi" w:hAnsiTheme="minorHAnsi"/>
              <w:sz w:val="24"/>
              <w:szCs w:val="24"/>
            </w:rPr>
            <w:t>Washington</w:t>
          </w:r>
        </w:smartTag>
      </w:smartTag>
      <w:r w:rsidRPr="00040AB6">
        <w:rPr>
          <w:rFonts w:asciiTheme="minorHAnsi" w:hAnsiTheme="minorHAnsi"/>
          <w:sz w:val="24"/>
          <w:szCs w:val="24"/>
        </w:rPr>
        <w:t xml:space="preserve"> customers on October 1, 2009.  The Washington Utilities and Transportation Commission’s (</w:t>
      </w:r>
      <w:r w:rsidR="00FE0DD2" w:rsidRPr="00040AB6">
        <w:rPr>
          <w:rFonts w:asciiTheme="minorHAnsi" w:hAnsiTheme="minorHAnsi"/>
          <w:sz w:val="24"/>
          <w:szCs w:val="24"/>
        </w:rPr>
        <w:t>“</w:t>
      </w:r>
      <w:r w:rsidRPr="00040AB6">
        <w:rPr>
          <w:rFonts w:asciiTheme="minorHAnsi" w:hAnsiTheme="minorHAnsi"/>
          <w:sz w:val="24"/>
          <w:szCs w:val="24"/>
        </w:rPr>
        <w:t>WUTC’s</w:t>
      </w:r>
      <w:r w:rsidR="00FE0DD2" w:rsidRPr="00040AB6">
        <w:rPr>
          <w:rFonts w:asciiTheme="minorHAnsi" w:hAnsiTheme="minorHAnsi"/>
          <w:sz w:val="24"/>
          <w:szCs w:val="24"/>
        </w:rPr>
        <w:t>”</w:t>
      </w:r>
      <w:r w:rsidRPr="00040AB6">
        <w:rPr>
          <w:rFonts w:asciiTheme="minorHAnsi" w:hAnsiTheme="minorHAnsi"/>
          <w:sz w:val="24"/>
          <w:szCs w:val="24"/>
        </w:rPr>
        <w:t xml:space="preserve">) Order No. 04 in the Company’s 2008 rate case, docketed as UG-080546, directed NW Natural to create and begin offering a </w:t>
      </w:r>
      <w:r w:rsidR="00DD1E82" w:rsidRPr="00040AB6">
        <w:rPr>
          <w:rFonts w:asciiTheme="minorHAnsi" w:hAnsiTheme="minorHAnsi"/>
          <w:sz w:val="24"/>
          <w:szCs w:val="24"/>
        </w:rPr>
        <w:t xml:space="preserve">  </w:t>
      </w:r>
      <w:r w:rsidRPr="00040AB6">
        <w:rPr>
          <w:rFonts w:asciiTheme="minorHAnsi" w:hAnsiTheme="minorHAnsi"/>
          <w:sz w:val="24"/>
          <w:szCs w:val="24"/>
        </w:rPr>
        <w:t>program.</w:t>
      </w:r>
    </w:p>
    <w:p w14:paraId="31691CD8" w14:textId="77777777" w:rsidR="00357665" w:rsidRPr="00040AB6" w:rsidRDefault="00357665" w:rsidP="00B12B90">
      <w:pPr>
        <w:pStyle w:val="ListParagraph"/>
        <w:spacing w:after="0" w:line="240" w:lineRule="auto"/>
        <w:ind w:hanging="720"/>
        <w:rPr>
          <w:rFonts w:asciiTheme="minorHAnsi" w:hAnsiTheme="minorHAnsi"/>
          <w:sz w:val="24"/>
          <w:szCs w:val="24"/>
        </w:rPr>
      </w:pPr>
    </w:p>
    <w:p w14:paraId="28846090" w14:textId="77777777" w:rsidR="00357665" w:rsidRPr="00040AB6" w:rsidRDefault="00357665" w:rsidP="00B12B90">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Oversight</w:t>
      </w:r>
    </w:p>
    <w:p w14:paraId="797942D6" w14:textId="77777777" w:rsidR="00357665" w:rsidRPr="00040AB6" w:rsidRDefault="00357665" w:rsidP="000F51D9">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NW Natural’s energy efficiency programs were developed and continue to evolve under the direction and oversight of the Energy Efficiency Advisory Group (“EEAG”) which is comprised of interested parties to the Company’s 2008 rate case.  The EEAG includes representatives from NW Natural, Energy Trust of Oregon (“Energy Trust”), WUTC Staff, Public Counsel, Northwest Industrial Gas Users (“NWIGU”), The Energy Project, and NW Energy Coalition. </w:t>
      </w:r>
    </w:p>
    <w:p w14:paraId="3C05F35E" w14:textId="77777777" w:rsidR="00357665" w:rsidRPr="00040AB6" w:rsidRDefault="00357665" w:rsidP="00B12B90">
      <w:pPr>
        <w:pStyle w:val="ListParagraph"/>
        <w:spacing w:after="0" w:line="240" w:lineRule="auto"/>
        <w:ind w:hanging="720"/>
        <w:rPr>
          <w:rFonts w:asciiTheme="minorHAnsi" w:hAnsiTheme="minorHAnsi"/>
          <w:sz w:val="24"/>
          <w:szCs w:val="24"/>
        </w:rPr>
      </w:pPr>
    </w:p>
    <w:p w14:paraId="4B563F14" w14:textId="77777777" w:rsidR="00357665" w:rsidRPr="00040AB6" w:rsidRDefault="00357665" w:rsidP="00B12B90">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Program Administration</w:t>
      </w:r>
    </w:p>
    <w:p w14:paraId="46BECB9D" w14:textId="77777777" w:rsidR="00357665" w:rsidRPr="00040AB6" w:rsidRDefault="00357665" w:rsidP="00B12B90">
      <w:pPr>
        <w:spacing w:after="0" w:line="240" w:lineRule="auto"/>
        <w:ind w:left="720"/>
        <w:rPr>
          <w:rFonts w:asciiTheme="minorHAnsi" w:hAnsiTheme="minorHAnsi"/>
          <w:sz w:val="24"/>
          <w:szCs w:val="24"/>
        </w:rPr>
      </w:pPr>
      <w:r w:rsidRPr="00040AB6">
        <w:rPr>
          <w:rFonts w:asciiTheme="minorHAnsi" w:hAnsiTheme="minorHAnsi"/>
          <w:sz w:val="24"/>
          <w:szCs w:val="24"/>
        </w:rPr>
        <w:t>NW Natural’s general energy efficiency programs are administered by the Energy Trust, which is an independent, nonprofit organization dedicated to helping utility customers save electric and gas energy.  Energy Trust was formed in 2002 in response to Oregon legislation that restructured electric utilities</w:t>
      </w:r>
      <w:r w:rsidRPr="00040AB6">
        <w:rPr>
          <w:rStyle w:val="FootnoteReference"/>
          <w:rFonts w:asciiTheme="minorHAnsi" w:hAnsiTheme="minorHAnsi"/>
          <w:sz w:val="24"/>
          <w:szCs w:val="24"/>
        </w:rPr>
        <w:footnoteReference w:id="2"/>
      </w:r>
      <w:r w:rsidRPr="00040AB6">
        <w:rPr>
          <w:rFonts w:asciiTheme="minorHAnsi" w:hAnsiTheme="minorHAnsi"/>
          <w:sz w:val="24"/>
          <w:szCs w:val="24"/>
        </w:rPr>
        <w:t xml:space="preserve"> for multiple reasons including allowing non-residential customers to purchase their electricity from providers other than the utility and reassigning the responsibility for demand side management from utility operations to Energy Trust.  </w:t>
      </w:r>
    </w:p>
    <w:p w14:paraId="20962EB6" w14:textId="77777777" w:rsidR="00357665" w:rsidRPr="00040AB6" w:rsidRDefault="00357665" w:rsidP="001E306E">
      <w:pPr>
        <w:spacing w:after="0" w:line="240" w:lineRule="auto"/>
        <w:ind w:left="720"/>
        <w:rPr>
          <w:rFonts w:asciiTheme="minorHAnsi" w:hAnsiTheme="minorHAnsi"/>
          <w:sz w:val="24"/>
          <w:szCs w:val="24"/>
        </w:rPr>
      </w:pPr>
    </w:p>
    <w:p w14:paraId="3C8ACC71" w14:textId="77777777" w:rsidR="00357665" w:rsidRPr="00040AB6" w:rsidRDefault="00357665" w:rsidP="001E306E">
      <w:pPr>
        <w:spacing w:after="0" w:line="240" w:lineRule="auto"/>
        <w:ind w:left="720"/>
        <w:rPr>
          <w:rFonts w:asciiTheme="minorHAnsi" w:hAnsiTheme="minorHAnsi"/>
          <w:sz w:val="24"/>
          <w:szCs w:val="24"/>
        </w:rPr>
      </w:pPr>
      <w:r w:rsidRPr="00040AB6">
        <w:rPr>
          <w:rFonts w:asciiTheme="minorHAnsi" w:hAnsiTheme="minorHAnsi"/>
          <w:sz w:val="24"/>
          <w:szCs w:val="24"/>
        </w:rPr>
        <w:t xml:space="preserve">NW Natural began using Energy Trust as the delivery arm for its </w:t>
      </w:r>
      <w:smartTag w:uri="urn:schemas-microsoft-com:office:smarttags" w:element="State">
        <w:smartTag w:uri="urn:schemas-microsoft-com:office:smarttags" w:element="place">
          <w:r w:rsidRPr="00040AB6">
            <w:rPr>
              <w:rFonts w:asciiTheme="minorHAnsi" w:hAnsiTheme="minorHAnsi"/>
              <w:sz w:val="24"/>
              <w:szCs w:val="24"/>
            </w:rPr>
            <w:t>Oregon</w:t>
          </w:r>
        </w:smartTag>
      </w:smartTag>
      <w:r w:rsidRPr="00040AB6">
        <w:rPr>
          <w:rFonts w:asciiTheme="minorHAnsi" w:hAnsiTheme="minorHAnsi"/>
          <w:sz w:val="24"/>
          <w:szCs w:val="24"/>
        </w:rPr>
        <w:t xml:space="preserve"> energy efficiency program in 2003.  Since NW Natural’s </w:t>
      </w:r>
      <w:smartTag w:uri="urn:schemas-microsoft-com:office:smarttags" w:element="State">
        <w:r w:rsidRPr="00040AB6">
          <w:rPr>
            <w:rFonts w:asciiTheme="minorHAnsi" w:hAnsiTheme="minorHAnsi"/>
            <w:sz w:val="24"/>
            <w:szCs w:val="24"/>
          </w:rPr>
          <w:t>Washington</w:t>
        </w:r>
      </w:smartTag>
      <w:r w:rsidRPr="00040AB6">
        <w:rPr>
          <w:rFonts w:asciiTheme="minorHAnsi" w:hAnsiTheme="minorHAnsi"/>
          <w:sz w:val="24"/>
          <w:szCs w:val="24"/>
        </w:rPr>
        <w:t xml:space="preserve"> service territory is contiguous with its </w:t>
      </w:r>
      <w:smartTag w:uri="urn:schemas-microsoft-com:office:smarttags" w:element="State">
        <w:r w:rsidRPr="00040AB6">
          <w:rPr>
            <w:rFonts w:asciiTheme="minorHAnsi" w:hAnsiTheme="minorHAnsi"/>
            <w:sz w:val="24"/>
            <w:szCs w:val="24"/>
          </w:rPr>
          <w:t>Oregon</w:t>
        </w:r>
      </w:smartTag>
      <w:r w:rsidRPr="00040AB6">
        <w:rPr>
          <w:rFonts w:asciiTheme="minorHAnsi" w:hAnsiTheme="minorHAnsi"/>
          <w:sz w:val="24"/>
          <w:szCs w:val="24"/>
        </w:rPr>
        <w:t xml:space="preserve"> territory, it made sense to have Energy Trust extend the boundaries of the </w:t>
      </w:r>
      <w:smartTag w:uri="urn:schemas-microsoft-com:office:smarttags" w:element="State">
        <w:r w:rsidRPr="00040AB6">
          <w:rPr>
            <w:rFonts w:asciiTheme="minorHAnsi" w:hAnsiTheme="minorHAnsi"/>
            <w:sz w:val="24"/>
            <w:szCs w:val="24"/>
          </w:rPr>
          <w:t>Oregon</w:t>
        </w:r>
      </w:smartTag>
      <w:r w:rsidRPr="00040AB6">
        <w:rPr>
          <w:rFonts w:asciiTheme="minorHAnsi" w:hAnsiTheme="minorHAnsi"/>
          <w:sz w:val="24"/>
          <w:szCs w:val="24"/>
        </w:rPr>
        <w:t xml:space="preserve"> program offerings into </w:t>
      </w:r>
      <w:smartTag w:uri="urn:schemas-microsoft-com:office:smarttags" w:element="State">
        <w:smartTag w:uri="urn:schemas-microsoft-com:office:smarttags" w:element="place">
          <w:r w:rsidRPr="00040AB6">
            <w:rPr>
              <w:rFonts w:asciiTheme="minorHAnsi" w:hAnsiTheme="minorHAnsi"/>
              <w:sz w:val="24"/>
              <w:szCs w:val="24"/>
            </w:rPr>
            <w:t>Washington</w:t>
          </w:r>
        </w:smartTag>
      </w:smartTag>
      <w:r w:rsidRPr="00040AB6">
        <w:rPr>
          <w:rFonts w:asciiTheme="minorHAnsi" w:hAnsiTheme="minorHAnsi"/>
          <w:sz w:val="24"/>
          <w:szCs w:val="24"/>
        </w:rPr>
        <w:t xml:space="preserve">.  </w:t>
      </w:r>
    </w:p>
    <w:p w14:paraId="33D1DA1A" w14:textId="77777777" w:rsidR="00357665" w:rsidRPr="00040AB6" w:rsidRDefault="00357665" w:rsidP="001E306E">
      <w:pPr>
        <w:spacing w:after="0" w:line="240" w:lineRule="auto"/>
        <w:ind w:left="720"/>
        <w:rPr>
          <w:rFonts w:asciiTheme="minorHAnsi" w:hAnsiTheme="minorHAnsi"/>
          <w:sz w:val="24"/>
          <w:szCs w:val="24"/>
        </w:rPr>
      </w:pPr>
    </w:p>
    <w:p w14:paraId="14A8E320" w14:textId="77777777" w:rsidR="00357665" w:rsidRPr="00040AB6" w:rsidRDefault="00357665" w:rsidP="001E306E">
      <w:pPr>
        <w:spacing w:after="0" w:line="240" w:lineRule="auto"/>
        <w:ind w:left="720"/>
        <w:rPr>
          <w:rFonts w:asciiTheme="minorHAnsi" w:hAnsiTheme="minorHAnsi"/>
          <w:sz w:val="24"/>
          <w:szCs w:val="24"/>
        </w:rPr>
      </w:pPr>
      <w:r w:rsidRPr="00040AB6">
        <w:rPr>
          <w:rFonts w:asciiTheme="minorHAnsi" w:hAnsiTheme="minorHAnsi"/>
          <w:sz w:val="24"/>
          <w:szCs w:val="24"/>
        </w:rPr>
        <w:t xml:space="preserve">As agreed to in UG-080546, Energy Trust administered the Company’s program for one pilot year.  During this time, the EEAG monitored the program’s performance and assessed whether Energy Trust should be the ongoing program administrator.  On May 25, 2011, NW Natural made a compliance filing in UG-080546 wherein it stated the </w:t>
      </w:r>
      <w:r w:rsidRPr="00040AB6">
        <w:rPr>
          <w:rFonts w:asciiTheme="minorHAnsi" w:hAnsiTheme="minorHAnsi"/>
          <w:sz w:val="24"/>
          <w:szCs w:val="24"/>
        </w:rPr>
        <w:lastRenderedPageBreak/>
        <w:t xml:space="preserve">EEAG’s opinion to allow Energy Trust to continue administering NW Natural’s energy efficiency programs in </w:t>
      </w:r>
      <w:smartTag w:uri="urn:schemas-microsoft-com:office:smarttags" w:element="State">
        <w:smartTag w:uri="urn:schemas-microsoft-com:office:smarttags" w:element="place">
          <w:r w:rsidRPr="00040AB6">
            <w:rPr>
              <w:rFonts w:asciiTheme="minorHAnsi" w:hAnsiTheme="minorHAnsi"/>
              <w:sz w:val="24"/>
              <w:szCs w:val="24"/>
            </w:rPr>
            <w:t>Washington</w:t>
          </w:r>
        </w:smartTag>
      </w:smartTag>
      <w:r w:rsidRPr="00040AB6">
        <w:rPr>
          <w:rFonts w:asciiTheme="minorHAnsi" w:hAnsiTheme="minorHAnsi"/>
          <w:sz w:val="24"/>
          <w:szCs w:val="24"/>
        </w:rPr>
        <w:t xml:space="preserve">. On June 8, 2011, Public Counsel separately filed a letter supporting this decision.  </w:t>
      </w:r>
    </w:p>
    <w:p w14:paraId="2E1E07A3" w14:textId="77777777" w:rsidR="00357665" w:rsidRPr="00040AB6" w:rsidRDefault="00357665" w:rsidP="00BF2975">
      <w:pPr>
        <w:spacing w:after="0" w:line="240" w:lineRule="auto"/>
        <w:ind w:left="1080"/>
        <w:rPr>
          <w:rFonts w:asciiTheme="minorHAnsi" w:hAnsiTheme="minorHAnsi"/>
          <w:sz w:val="24"/>
          <w:szCs w:val="24"/>
        </w:rPr>
      </w:pPr>
    </w:p>
    <w:p w14:paraId="5117B6DB" w14:textId="77777777"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NW Natural’s Washington Low Income Energy Efficiency Program (</w:t>
      </w:r>
      <w:r w:rsidR="00FE0DD2" w:rsidRPr="00040AB6">
        <w:rPr>
          <w:rFonts w:asciiTheme="minorHAnsi" w:hAnsiTheme="minorHAnsi"/>
          <w:sz w:val="24"/>
          <w:szCs w:val="24"/>
        </w:rPr>
        <w:t>“</w:t>
      </w:r>
      <w:r w:rsidRPr="00040AB6">
        <w:rPr>
          <w:rFonts w:asciiTheme="minorHAnsi" w:hAnsiTheme="minorHAnsi"/>
          <w:sz w:val="24"/>
          <w:szCs w:val="24"/>
        </w:rPr>
        <w:t>WA-LIEE</w:t>
      </w:r>
      <w:r w:rsidR="00FE0DD2" w:rsidRPr="00040AB6">
        <w:rPr>
          <w:rFonts w:asciiTheme="minorHAnsi" w:hAnsiTheme="minorHAnsi"/>
          <w:sz w:val="24"/>
          <w:szCs w:val="24"/>
        </w:rPr>
        <w:t>”</w:t>
      </w:r>
      <w:r w:rsidRPr="00040AB6">
        <w:rPr>
          <w:rFonts w:asciiTheme="minorHAnsi" w:hAnsiTheme="minorHAnsi"/>
          <w:sz w:val="24"/>
          <w:szCs w:val="24"/>
        </w:rPr>
        <w:t xml:space="preserve">) is administered by Clark County Community Action Agency, Klickitat County Community Action Agency and Skamania County Community Action Agency. </w:t>
      </w:r>
    </w:p>
    <w:p w14:paraId="15CEC3B5" w14:textId="77777777" w:rsidR="00357665" w:rsidRPr="00040AB6" w:rsidRDefault="00357665" w:rsidP="00BF2975">
      <w:pPr>
        <w:spacing w:after="0" w:line="240" w:lineRule="auto"/>
        <w:ind w:left="720"/>
        <w:rPr>
          <w:rFonts w:asciiTheme="minorHAnsi" w:hAnsiTheme="minorHAnsi"/>
          <w:sz w:val="24"/>
          <w:szCs w:val="24"/>
        </w:rPr>
      </w:pPr>
    </w:p>
    <w:p w14:paraId="3836A98E" w14:textId="77777777" w:rsidR="00357665" w:rsidRPr="00040AB6" w:rsidRDefault="00357665" w:rsidP="00EB0FF1">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Programs Offered</w:t>
      </w:r>
    </w:p>
    <w:p w14:paraId="24138C45" w14:textId="77777777" w:rsidR="00357665" w:rsidRPr="00040AB6" w:rsidRDefault="00357665" w:rsidP="00EB0FF1">
      <w:pPr>
        <w:pStyle w:val="ListParagraph"/>
        <w:spacing w:after="0" w:line="240" w:lineRule="auto"/>
        <w:rPr>
          <w:rFonts w:asciiTheme="minorHAnsi" w:hAnsiTheme="minorHAnsi"/>
          <w:sz w:val="24"/>
          <w:szCs w:val="24"/>
        </w:rPr>
      </w:pPr>
      <w:r w:rsidRPr="00040AB6">
        <w:rPr>
          <w:rFonts w:asciiTheme="minorHAnsi" w:hAnsiTheme="minorHAnsi"/>
          <w:sz w:val="24"/>
          <w:szCs w:val="24"/>
        </w:rPr>
        <w:t>NW Natural offers the following general energy efficiency programs:</w:t>
      </w:r>
    </w:p>
    <w:p w14:paraId="1CF90B2F" w14:textId="77777777" w:rsidR="00357665" w:rsidRPr="00040AB6" w:rsidRDefault="00357665" w:rsidP="00626123">
      <w:pPr>
        <w:pStyle w:val="ListParagraph"/>
        <w:spacing w:after="0" w:line="240" w:lineRule="auto"/>
        <w:rPr>
          <w:rFonts w:asciiTheme="minorHAnsi" w:hAnsiTheme="minorHAnsi"/>
          <w:sz w:val="24"/>
          <w:szCs w:val="24"/>
        </w:rPr>
      </w:pPr>
    </w:p>
    <w:p w14:paraId="192ED4EE" w14:textId="1559095C"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r w:rsidRPr="00040AB6">
        <w:rPr>
          <w:rFonts w:asciiTheme="minorHAnsi" w:hAnsiTheme="minorHAnsi"/>
          <w:sz w:val="24"/>
          <w:szCs w:val="24"/>
          <w:u w:val="single"/>
        </w:rPr>
        <w:t>Residential</w:t>
      </w:r>
      <w:r w:rsidRPr="00040AB6">
        <w:rPr>
          <w:rFonts w:asciiTheme="minorHAnsi" w:hAnsiTheme="minorHAnsi"/>
          <w:sz w:val="24"/>
          <w:szCs w:val="24"/>
        </w:rPr>
        <w:t xml:space="preserve"> – Residential customers with gas heated homes are offered home energy reviews wherein an energy consultant identifies measures that could be installed to improve the efficiency</w:t>
      </w:r>
      <w:r w:rsidR="00C54531" w:rsidRPr="00040AB6">
        <w:rPr>
          <w:rFonts w:asciiTheme="minorHAnsi" w:hAnsiTheme="minorHAnsi"/>
          <w:sz w:val="24"/>
          <w:szCs w:val="24"/>
        </w:rPr>
        <w:t xml:space="preserve"> of the customer’s home</w:t>
      </w:r>
      <w:r w:rsidRPr="00040AB6">
        <w:rPr>
          <w:rFonts w:asciiTheme="minorHAnsi" w:hAnsiTheme="minorHAnsi"/>
          <w:sz w:val="24"/>
          <w:szCs w:val="24"/>
        </w:rPr>
        <w:t xml:space="preserve">.  Specific incentive offerings are also available for the installation of certain efficient gas appliances.  </w:t>
      </w:r>
      <w:r w:rsidR="00C54531" w:rsidRPr="00040AB6">
        <w:rPr>
          <w:rFonts w:asciiTheme="minorHAnsi" w:hAnsiTheme="minorHAnsi"/>
          <w:sz w:val="24"/>
          <w:szCs w:val="24"/>
        </w:rPr>
        <w:t>The Company also offers on-the-bill repayment services for loans offered by Craft3 for the purpose of installing energy efficiency measures</w:t>
      </w:r>
    </w:p>
    <w:p w14:paraId="34AB738C"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p>
    <w:p w14:paraId="307C8778"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r w:rsidRPr="00040AB6">
        <w:rPr>
          <w:rFonts w:asciiTheme="minorHAnsi" w:hAnsiTheme="minorHAnsi"/>
          <w:sz w:val="24"/>
          <w:szCs w:val="24"/>
          <w:u w:val="single"/>
        </w:rPr>
        <w:t>New Homes</w:t>
      </w:r>
      <w:r w:rsidRPr="00040AB6">
        <w:rPr>
          <w:rFonts w:asciiTheme="minorHAnsi" w:hAnsiTheme="minorHAnsi"/>
          <w:sz w:val="24"/>
          <w:szCs w:val="24"/>
        </w:rPr>
        <w:t xml:space="preserve"> – The New Homes program encourages builders to construct homes to an energy efficiency standard that is better than </w:t>
      </w:r>
      <w:smartTag w:uri="urn:schemas-microsoft-com:office:smarttags" w:element="State">
        <w:smartTag w:uri="urn:schemas-microsoft-com:office:smarttags" w:element="place">
          <w:r w:rsidRPr="00040AB6">
            <w:rPr>
              <w:rFonts w:asciiTheme="minorHAnsi" w:hAnsiTheme="minorHAnsi"/>
              <w:sz w:val="24"/>
              <w:szCs w:val="24"/>
            </w:rPr>
            <w:t>Washington</w:t>
          </w:r>
        </w:smartTag>
      </w:smartTag>
      <w:r w:rsidRPr="00040AB6">
        <w:rPr>
          <w:rFonts w:asciiTheme="minorHAnsi" w:hAnsiTheme="minorHAnsi"/>
          <w:sz w:val="24"/>
          <w:szCs w:val="24"/>
        </w:rPr>
        <w:t xml:space="preserve"> building code.  Qualifying homes must meet the criteria established in E</w:t>
      </w:r>
      <w:r w:rsidR="00123388" w:rsidRPr="00040AB6">
        <w:rPr>
          <w:rFonts w:asciiTheme="minorHAnsi" w:hAnsiTheme="minorHAnsi"/>
          <w:sz w:val="24"/>
          <w:szCs w:val="24"/>
        </w:rPr>
        <w:t>NERGY STAR</w:t>
      </w:r>
      <w:r w:rsidRPr="00040AB6">
        <w:rPr>
          <w:rFonts w:asciiTheme="minorHAnsi" w:hAnsiTheme="minorHAnsi"/>
          <w:sz w:val="24"/>
          <w:szCs w:val="24"/>
        </w:rPr>
        <w:t xml:space="preserve">’s Builder Option Package (“BOP”) for natural gas heated new construction. </w:t>
      </w:r>
    </w:p>
    <w:p w14:paraId="3465D69E" w14:textId="77777777" w:rsidR="00357665" w:rsidRPr="00040AB6" w:rsidRDefault="00357665" w:rsidP="00DC426E">
      <w:pPr>
        <w:pStyle w:val="ListParagraph"/>
        <w:tabs>
          <w:tab w:val="left" w:pos="720"/>
        </w:tabs>
        <w:spacing w:after="0" w:line="240" w:lineRule="auto"/>
        <w:ind w:left="1440"/>
        <w:rPr>
          <w:rFonts w:asciiTheme="minorHAnsi" w:hAnsiTheme="minorHAnsi"/>
        </w:rPr>
      </w:pPr>
    </w:p>
    <w:p w14:paraId="41E744F0"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r w:rsidRPr="00040AB6">
        <w:rPr>
          <w:rFonts w:asciiTheme="minorHAnsi" w:hAnsiTheme="minorHAnsi"/>
          <w:sz w:val="24"/>
          <w:szCs w:val="24"/>
          <w:u w:val="single"/>
        </w:rPr>
        <w:t>Commercial</w:t>
      </w:r>
      <w:r w:rsidRPr="00040AB6">
        <w:rPr>
          <w:rFonts w:asciiTheme="minorHAnsi" w:hAnsiTheme="minorHAnsi"/>
          <w:sz w:val="24"/>
          <w:szCs w:val="24"/>
        </w:rPr>
        <w:t xml:space="preserve"> – Commercial customers are offered incentives for prescriptive efficient gas appliance installations, as well as efficient installations unique to the customer’s facilities that are identified in a custom study. </w:t>
      </w:r>
    </w:p>
    <w:p w14:paraId="604C8759" w14:textId="77777777" w:rsidR="00357665" w:rsidRPr="00040AB6" w:rsidRDefault="00357665" w:rsidP="00626123">
      <w:pPr>
        <w:pStyle w:val="ListParagraph"/>
        <w:spacing w:after="0" w:line="240" w:lineRule="auto"/>
        <w:rPr>
          <w:rFonts w:asciiTheme="minorHAnsi" w:hAnsiTheme="minorHAnsi"/>
          <w:sz w:val="24"/>
          <w:szCs w:val="24"/>
        </w:rPr>
      </w:pPr>
    </w:p>
    <w:p w14:paraId="72F14B34" w14:textId="706BBE21" w:rsidR="00357665" w:rsidRPr="00040AB6" w:rsidRDefault="00357665" w:rsidP="00764461">
      <w:pPr>
        <w:tabs>
          <w:tab w:val="left" w:pos="1440"/>
        </w:tabs>
        <w:spacing w:after="0" w:line="240" w:lineRule="auto"/>
        <w:ind w:left="720"/>
        <w:rPr>
          <w:rFonts w:asciiTheme="minorHAnsi" w:hAnsiTheme="minorHAnsi"/>
          <w:sz w:val="24"/>
          <w:szCs w:val="24"/>
        </w:rPr>
      </w:pPr>
      <w:r w:rsidRPr="00040AB6">
        <w:rPr>
          <w:rFonts w:asciiTheme="minorHAnsi" w:hAnsiTheme="minorHAnsi"/>
          <w:sz w:val="24"/>
          <w:szCs w:val="24"/>
        </w:rPr>
        <w:t>Specific measure offerings are as listed</w:t>
      </w:r>
      <w:r w:rsidR="00676821" w:rsidRPr="00040AB6">
        <w:rPr>
          <w:rFonts w:asciiTheme="minorHAnsi" w:hAnsiTheme="minorHAnsi"/>
          <w:sz w:val="24"/>
          <w:szCs w:val="24"/>
        </w:rPr>
        <w:t xml:space="preserve"> in Appendix A to this Plan</w:t>
      </w:r>
      <w:r w:rsidR="00106C2C" w:rsidRPr="00040AB6">
        <w:rPr>
          <w:rFonts w:asciiTheme="minorHAnsi" w:hAnsiTheme="minorHAnsi"/>
          <w:sz w:val="24"/>
          <w:szCs w:val="24"/>
        </w:rPr>
        <w:t>.</w:t>
      </w:r>
    </w:p>
    <w:p w14:paraId="2DDEFCFB" w14:textId="77777777" w:rsidR="00357665" w:rsidRPr="00040AB6" w:rsidRDefault="00357665" w:rsidP="00764461">
      <w:pPr>
        <w:tabs>
          <w:tab w:val="left" w:pos="1440"/>
        </w:tabs>
        <w:spacing w:after="0" w:line="240" w:lineRule="auto"/>
        <w:ind w:left="720"/>
        <w:rPr>
          <w:rFonts w:asciiTheme="minorHAnsi" w:hAnsiTheme="minorHAnsi"/>
          <w:sz w:val="24"/>
          <w:szCs w:val="24"/>
        </w:rPr>
      </w:pPr>
    </w:p>
    <w:p w14:paraId="5E9C0305" w14:textId="77777777" w:rsidR="00357665" w:rsidRPr="00040AB6" w:rsidRDefault="00357665" w:rsidP="00764461">
      <w:pPr>
        <w:tabs>
          <w:tab w:val="left" w:pos="1440"/>
        </w:tabs>
        <w:spacing w:after="0" w:line="240" w:lineRule="auto"/>
        <w:ind w:left="720"/>
        <w:rPr>
          <w:rFonts w:asciiTheme="minorHAnsi" w:hAnsiTheme="minorHAnsi"/>
          <w:sz w:val="24"/>
          <w:szCs w:val="24"/>
        </w:rPr>
      </w:pPr>
      <w:r w:rsidRPr="00040AB6">
        <w:rPr>
          <w:rFonts w:asciiTheme="minorHAnsi" w:hAnsiTheme="minorHAnsi"/>
          <w:sz w:val="24"/>
          <w:szCs w:val="24"/>
        </w:rPr>
        <w:t xml:space="preserve">Under NW Natural’s low income energy efficiency program, agencies administering the program leverage other funding sources with WA-LIEE dollars to provide whole-house weatherization services to qualifying customers.  Agencies are paid $3,500 per home for cost effective energy efficiency installations as well as an average of $440 per home for health and safety repairs.  Program details are available in the Company’s Schedule I, “Washington Low Income Energy Efficiency Program (WA-LIEE).” </w:t>
      </w:r>
    </w:p>
    <w:p w14:paraId="222CCEDB" w14:textId="77777777" w:rsidR="00357665" w:rsidRPr="00040AB6" w:rsidRDefault="00357665" w:rsidP="00626123">
      <w:pPr>
        <w:pStyle w:val="ListParagraph"/>
        <w:spacing w:after="0" w:line="240" w:lineRule="auto"/>
        <w:rPr>
          <w:rFonts w:asciiTheme="minorHAnsi" w:hAnsiTheme="minorHAnsi"/>
          <w:sz w:val="32"/>
          <w:szCs w:val="32"/>
        </w:rPr>
      </w:pPr>
    </w:p>
    <w:p w14:paraId="2C085A96" w14:textId="77777777" w:rsidR="00822685" w:rsidRPr="00040AB6" w:rsidRDefault="00357665" w:rsidP="00FC75F5">
      <w:pPr>
        <w:tabs>
          <w:tab w:val="left" w:pos="720"/>
        </w:tabs>
        <w:spacing w:after="0" w:line="240" w:lineRule="auto"/>
        <w:rPr>
          <w:rFonts w:asciiTheme="minorHAnsi" w:hAnsiTheme="minorHAnsi"/>
          <w:sz w:val="32"/>
          <w:szCs w:val="32"/>
        </w:rPr>
      </w:pPr>
      <w:r w:rsidRPr="00040AB6">
        <w:rPr>
          <w:rFonts w:asciiTheme="minorHAnsi" w:hAnsiTheme="minorHAnsi"/>
          <w:sz w:val="32"/>
          <w:szCs w:val="32"/>
        </w:rPr>
        <w:t xml:space="preserve">V.      </w:t>
      </w:r>
      <w:r w:rsidR="00822685" w:rsidRPr="00040AB6">
        <w:rPr>
          <w:rFonts w:asciiTheme="minorHAnsi" w:hAnsiTheme="minorHAnsi"/>
          <w:sz w:val="32"/>
          <w:szCs w:val="32"/>
        </w:rPr>
        <w:t>Cost Effectiveness Standard</w:t>
      </w:r>
    </w:p>
    <w:p w14:paraId="5787FAB7" w14:textId="77777777" w:rsidR="00C31476" w:rsidRPr="00040AB6" w:rsidRDefault="00C31476" w:rsidP="00C31476">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The goal of </w:t>
      </w:r>
      <w:r w:rsidR="00822685" w:rsidRPr="00040AB6">
        <w:rPr>
          <w:rFonts w:asciiTheme="minorHAnsi" w:hAnsiTheme="minorHAnsi"/>
          <w:sz w:val="24"/>
          <w:szCs w:val="24"/>
        </w:rPr>
        <w:t xml:space="preserve">NW Natural’s portfolio of residential, new homes, and commercial </w:t>
      </w:r>
      <w:r w:rsidRPr="00040AB6">
        <w:rPr>
          <w:rFonts w:asciiTheme="minorHAnsi" w:hAnsiTheme="minorHAnsi"/>
          <w:sz w:val="24"/>
          <w:szCs w:val="24"/>
        </w:rPr>
        <w:t xml:space="preserve">energy efficiency </w:t>
      </w:r>
      <w:r w:rsidR="00822685" w:rsidRPr="00040AB6">
        <w:rPr>
          <w:rFonts w:asciiTheme="minorHAnsi" w:hAnsiTheme="minorHAnsi"/>
          <w:sz w:val="24"/>
          <w:szCs w:val="24"/>
        </w:rPr>
        <w:t xml:space="preserve">programs </w:t>
      </w:r>
      <w:r w:rsidRPr="00040AB6">
        <w:rPr>
          <w:rFonts w:asciiTheme="minorHAnsi" w:hAnsiTheme="minorHAnsi"/>
          <w:sz w:val="24"/>
          <w:szCs w:val="24"/>
        </w:rPr>
        <w:t xml:space="preserve">is to acquire cost-effective gas </w:t>
      </w:r>
      <w:proofErr w:type="spellStart"/>
      <w:r w:rsidRPr="00040AB6">
        <w:rPr>
          <w:rFonts w:asciiTheme="minorHAnsi" w:hAnsiTheme="minorHAnsi"/>
          <w:sz w:val="24"/>
          <w:szCs w:val="24"/>
        </w:rPr>
        <w:t>therm</w:t>
      </w:r>
      <w:proofErr w:type="spellEnd"/>
      <w:r w:rsidRPr="00040AB6">
        <w:rPr>
          <w:rFonts w:asciiTheme="minorHAnsi" w:hAnsiTheme="minorHAnsi"/>
          <w:sz w:val="24"/>
          <w:szCs w:val="24"/>
        </w:rPr>
        <w:t xml:space="preserve"> savings. The portfolio of programs offered through the Energy Trust will be deemed cost-effective if at the end of </w:t>
      </w:r>
      <w:r w:rsidRPr="00040AB6">
        <w:rPr>
          <w:rFonts w:asciiTheme="minorHAnsi" w:hAnsiTheme="minorHAnsi"/>
          <w:sz w:val="24"/>
          <w:szCs w:val="24"/>
        </w:rPr>
        <w:lastRenderedPageBreak/>
        <w:t>the program year the program portfolio passes the Utility Cost (UCT) test by having a benefit to cost ratio of one or more.  The UCT is defined as follows:</w:t>
      </w:r>
    </w:p>
    <w:p w14:paraId="16AA3099" w14:textId="77777777" w:rsidR="00C31476" w:rsidRPr="00040AB6" w:rsidRDefault="00C31476" w:rsidP="00C31476">
      <w:pPr>
        <w:tabs>
          <w:tab w:val="left" w:pos="9720"/>
        </w:tabs>
        <w:ind w:left="720"/>
        <w:rPr>
          <w:rFonts w:asciiTheme="minorHAnsi" w:hAnsiTheme="minorHAnsi"/>
          <w:sz w:val="24"/>
          <w:szCs w:val="24"/>
        </w:rPr>
      </w:pPr>
    </w:p>
    <w:p w14:paraId="1A172990" w14:textId="05A3FDBE" w:rsidR="00C31476" w:rsidRPr="00040AB6" w:rsidRDefault="00C31476" w:rsidP="008431AD">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The UCT measures the present value of the energy savings </w:t>
      </w:r>
      <w:r w:rsidR="00137135" w:rsidRPr="00040AB6">
        <w:rPr>
          <w:rFonts w:asciiTheme="minorHAnsi" w:hAnsiTheme="minorHAnsi"/>
          <w:sz w:val="24"/>
          <w:szCs w:val="24"/>
        </w:rPr>
        <w:t>in relation to</w:t>
      </w:r>
      <w:r w:rsidRPr="00040AB6">
        <w:rPr>
          <w:rFonts w:asciiTheme="minorHAnsi" w:hAnsiTheme="minorHAnsi"/>
          <w:sz w:val="24"/>
          <w:szCs w:val="24"/>
        </w:rPr>
        <w:t xml:space="preserve"> the net costs incurred by the program, including incentive costs and excluding any net costs incurred by the participant.  The UCT is </w:t>
      </w:r>
      <w:r w:rsidR="00137135" w:rsidRPr="00040AB6">
        <w:rPr>
          <w:rFonts w:asciiTheme="minorHAnsi" w:hAnsiTheme="minorHAnsi"/>
          <w:sz w:val="24"/>
          <w:szCs w:val="24"/>
        </w:rPr>
        <w:t>Benefits</w:t>
      </w:r>
      <w:r w:rsidRPr="00040AB6">
        <w:rPr>
          <w:rFonts w:asciiTheme="minorHAnsi" w:hAnsiTheme="minorHAnsi"/>
          <w:sz w:val="24"/>
          <w:szCs w:val="24"/>
        </w:rPr>
        <w:t xml:space="preserve"> divided by </w:t>
      </w:r>
      <w:r w:rsidR="008431AD" w:rsidRPr="00040AB6">
        <w:rPr>
          <w:rFonts w:asciiTheme="minorHAnsi" w:hAnsiTheme="minorHAnsi"/>
          <w:sz w:val="24"/>
          <w:szCs w:val="24"/>
        </w:rPr>
        <w:t>Costs</w:t>
      </w:r>
      <w:r w:rsidRPr="00040AB6">
        <w:rPr>
          <w:rFonts w:asciiTheme="minorHAnsi" w:hAnsiTheme="minorHAnsi"/>
          <w:sz w:val="24"/>
          <w:szCs w:val="24"/>
        </w:rPr>
        <w:t xml:space="preserve"> where each is defined as follows:</w:t>
      </w:r>
    </w:p>
    <w:p w14:paraId="05A233D6" w14:textId="77777777" w:rsidR="00C31476" w:rsidRPr="00040AB6" w:rsidRDefault="00C31476" w:rsidP="00C31476">
      <w:pPr>
        <w:tabs>
          <w:tab w:val="num" w:pos="1080"/>
          <w:tab w:val="left" w:pos="9720"/>
        </w:tabs>
        <w:autoSpaceDE w:val="0"/>
        <w:autoSpaceDN w:val="0"/>
        <w:adjustRightInd w:val="0"/>
        <w:spacing w:after="0" w:line="240" w:lineRule="auto"/>
        <w:ind w:left="1080"/>
        <w:rPr>
          <w:rFonts w:asciiTheme="minorHAnsi" w:hAnsiTheme="minorHAnsi"/>
          <w:sz w:val="24"/>
          <w:szCs w:val="24"/>
        </w:rPr>
      </w:pPr>
    </w:p>
    <w:p w14:paraId="3AAB46E6" w14:textId="77777777" w:rsidR="00C31476" w:rsidRPr="00040AB6" w:rsidRDefault="001D659E" w:rsidP="001D659E">
      <w:pPr>
        <w:tabs>
          <w:tab w:val="left" w:pos="9720"/>
        </w:tabs>
        <w:spacing w:after="0" w:line="240" w:lineRule="auto"/>
        <w:ind w:left="720"/>
        <w:outlineLvl w:val="0"/>
        <w:rPr>
          <w:rFonts w:asciiTheme="minorHAnsi" w:hAnsiTheme="minorHAnsi"/>
          <w:sz w:val="24"/>
          <w:szCs w:val="24"/>
        </w:rPr>
      </w:pPr>
      <w:r w:rsidRPr="00040AB6">
        <w:rPr>
          <w:rFonts w:asciiTheme="minorHAnsi" w:hAnsiTheme="minorHAnsi"/>
          <w:sz w:val="24"/>
          <w:szCs w:val="24"/>
        </w:rPr>
        <w:t>UCT</w:t>
      </w:r>
      <w:r w:rsidR="00C31476" w:rsidRPr="00040AB6">
        <w:rPr>
          <w:rFonts w:asciiTheme="minorHAnsi" w:hAnsiTheme="minorHAnsi"/>
          <w:sz w:val="24"/>
          <w:szCs w:val="24"/>
        </w:rPr>
        <w:t xml:space="preserve"> </w:t>
      </w:r>
      <w:r w:rsidR="00C31476" w:rsidRPr="00040AB6">
        <w:rPr>
          <w:rFonts w:asciiTheme="minorHAnsi" w:hAnsiTheme="minorHAnsi"/>
          <w:b/>
          <w:sz w:val="24"/>
          <w:szCs w:val="24"/>
        </w:rPr>
        <w:t>Benefits</w:t>
      </w:r>
      <w:r w:rsidR="00C31476" w:rsidRPr="00040AB6">
        <w:rPr>
          <w:rFonts w:asciiTheme="minorHAnsi" w:hAnsiTheme="minorHAnsi"/>
          <w:sz w:val="24"/>
          <w:szCs w:val="24"/>
        </w:rPr>
        <w:t xml:space="preserve"> are:</w:t>
      </w:r>
    </w:p>
    <w:p w14:paraId="2063CBF5" w14:textId="64D10548" w:rsidR="008431AD" w:rsidRPr="00040AB6" w:rsidRDefault="00C31476" w:rsidP="008431AD">
      <w:pPr>
        <w:pStyle w:val="ListParagraph"/>
        <w:numPr>
          <w:ilvl w:val="0"/>
          <w:numId w:val="20"/>
        </w:numPr>
        <w:tabs>
          <w:tab w:val="left" w:pos="1440"/>
          <w:tab w:val="left" w:pos="9720"/>
        </w:tabs>
        <w:autoSpaceDE w:val="0"/>
        <w:autoSpaceDN w:val="0"/>
        <w:adjustRightInd w:val="0"/>
        <w:spacing w:after="0" w:line="240" w:lineRule="auto"/>
        <w:rPr>
          <w:rFonts w:asciiTheme="minorHAnsi" w:hAnsiTheme="minorHAnsi"/>
          <w:sz w:val="24"/>
          <w:szCs w:val="24"/>
        </w:rPr>
      </w:pPr>
      <w:r w:rsidRPr="00040AB6">
        <w:rPr>
          <w:rFonts w:asciiTheme="minorHAnsi" w:hAnsiTheme="minorHAnsi"/>
          <w:sz w:val="24"/>
          <w:szCs w:val="24"/>
        </w:rPr>
        <w:t>The value of gas energy saved based on the Company’s avoided costs</w:t>
      </w:r>
      <w:r w:rsidR="008431AD" w:rsidRPr="00040AB6">
        <w:rPr>
          <w:rFonts w:asciiTheme="minorHAnsi" w:hAnsiTheme="minorHAnsi"/>
          <w:sz w:val="24"/>
          <w:szCs w:val="24"/>
        </w:rPr>
        <w:t>.  The Company’s avoided costs include the following values:</w:t>
      </w:r>
    </w:p>
    <w:p w14:paraId="44C6D74F" w14:textId="14FB75F1" w:rsidR="008431AD" w:rsidRPr="00040AB6" w:rsidRDefault="008431AD" w:rsidP="008431AD">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The long term gas price forecast compiled from a consultant’s gas price forecast;</w:t>
      </w:r>
    </w:p>
    <w:p w14:paraId="1B3ECBC4" w14:textId="0DE85E9E" w:rsidR="008431AD" w:rsidRPr="00040AB6" w:rsidRDefault="008431AD" w:rsidP="008431AD">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A price for carbon included in the gas price forecast.</w:t>
      </w:r>
    </w:p>
    <w:p w14:paraId="531BDE6A" w14:textId="2682927D" w:rsidR="008431AD" w:rsidRPr="00040AB6" w:rsidRDefault="008431AD" w:rsidP="008431AD">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Gas storage carrying costs for inventory;</w:t>
      </w:r>
    </w:p>
    <w:p w14:paraId="6F307BE5" w14:textId="39ED6D68" w:rsidR="008431AD" w:rsidRPr="00040AB6" w:rsidRDefault="008431AD" w:rsidP="008431AD">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 xml:space="preserve">Upstream variable transmission costs; and </w:t>
      </w:r>
    </w:p>
    <w:p w14:paraId="57CBBB32" w14:textId="4169D4E1" w:rsidR="00C31476" w:rsidRPr="00040AB6" w:rsidRDefault="008431AD" w:rsidP="008431AD">
      <w:pPr>
        <w:pStyle w:val="ListParagraph"/>
        <w:tabs>
          <w:tab w:val="left" w:pos="1440"/>
          <w:tab w:val="left" w:pos="9720"/>
        </w:tabs>
        <w:autoSpaceDE w:val="0"/>
        <w:autoSpaceDN w:val="0"/>
        <w:adjustRightInd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r>
      <w:r w:rsidRPr="00040AB6">
        <w:rPr>
          <w:rFonts w:asciiTheme="minorHAnsi" w:hAnsiTheme="minorHAnsi"/>
          <w:sz w:val="24"/>
          <w:szCs w:val="24"/>
        </w:rPr>
        <w:tab/>
        <w:t>Peak related on‐system transmission costs</w:t>
      </w:r>
      <w:r w:rsidR="001D659E" w:rsidRPr="00040AB6">
        <w:rPr>
          <w:rFonts w:asciiTheme="minorHAnsi" w:hAnsiTheme="minorHAnsi"/>
          <w:sz w:val="24"/>
          <w:szCs w:val="24"/>
        </w:rPr>
        <w:t>;</w:t>
      </w:r>
      <w:r w:rsidRPr="00040AB6">
        <w:rPr>
          <w:rFonts w:asciiTheme="minorHAnsi" w:hAnsiTheme="minorHAnsi"/>
          <w:sz w:val="24"/>
          <w:szCs w:val="24"/>
        </w:rPr>
        <w:t xml:space="preserve"> and</w:t>
      </w:r>
    </w:p>
    <w:p w14:paraId="3DD95E9B" w14:textId="0CC210DE" w:rsidR="00C31476" w:rsidRPr="00040AB6" w:rsidRDefault="00C31476" w:rsidP="001D659E">
      <w:pPr>
        <w:tabs>
          <w:tab w:val="left" w:pos="1440"/>
          <w:tab w:val="left" w:pos="9720"/>
        </w:tabs>
        <w:autoSpaceDE w:val="0"/>
        <w:autoSpaceDN w:val="0"/>
        <w:adjustRightInd w:val="0"/>
        <w:spacing w:after="0" w:line="240" w:lineRule="auto"/>
        <w:ind w:left="990" w:hanging="270"/>
        <w:rPr>
          <w:rFonts w:asciiTheme="minorHAnsi" w:hAnsiTheme="minorHAnsi"/>
          <w:sz w:val="24"/>
          <w:szCs w:val="24"/>
        </w:rPr>
      </w:pPr>
      <w:r w:rsidRPr="00040AB6">
        <w:rPr>
          <w:rFonts w:asciiTheme="minorHAnsi" w:hAnsiTheme="minorHAnsi"/>
          <w:sz w:val="24"/>
          <w:szCs w:val="24"/>
        </w:rPr>
        <w:t>2.  The 10% credit for the benefits of conservation in addressing risk and uncertainty as well as unquantified environmental benefits</w:t>
      </w:r>
      <w:r w:rsidR="008431AD" w:rsidRPr="00040AB6">
        <w:rPr>
          <w:rFonts w:asciiTheme="minorHAnsi" w:hAnsiTheme="minorHAnsi"/>
          <w:sz w:val="24"/>
          <w:szCs w:val="24"/>
        </w:rPr>
        <w:t>.</w:t>
      </w:r>
    </w:p>
    <w:p w14:paraId="7E3C5537"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p>
    <w:p w14:paraId="6B9E167D" w14:textId="77777777" w:rsidR="00C31476" w:rsidRPr="00040AB6" w:rsidRDefault="001D659E"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UCT</w:t>
      </w:r>
      <w:r w:rsidR="00C31476" w:rsidRPr="00040AB6">
        <w:rPr>
          <w:rFonts w:asciiTheme="minorHAnsi" w:hAnsiTheme="minorHAnsi"/>
          <w:sz w:val="24"/>
          <w:szCs w:val="24"/>
        </w:rPr>
        <w:t xml:space="preserve"> </w:t>
      </w:r>
      <w:r w:rsidR="00C31476" w:rsidRPr="00040AB6">
        <w:rPr>
          <w:rFonts w:asciiTheme="minorHAnsi" w:hAnsiTheme="minorHAnsi"/>
          <w:b/>
          <w:sz w:val="24"/>
          <w:szCs w:val="24"/>
        </w:rPr>
        <w:t>Costs</w:t>
      </w:r>
      <w:r w:rsidR="00C31476" w:rsidRPr="00040AB6">
        <w:rPr>
          <w:rFonts w:asciiTheme="minorHAnsi" w:hAnsiTheme="minorHAnsi"/>
          <w:sz w:val="24"/>
          <w:szCs w:val="24"/>
        </w:rPr>
        <w:t xml:space="preserve"> </w:t>
      </w:r>
      <w:r w:rsidRPr="00040AB6">
        <w:rPr>
          <w:rFonts w:asciiTheme="minorHAnsi" w:hAnsiTheme="minorHAnsi"/>
          <w:sz w:val="24"/>
          <w:szCs w:val="24"/>
        </w:rPr>
        <w:t>are</w:t>
      </w:r>
      <w:r w:rsidR="00C31476" w:rsidRPr="00040AB6">
        <w:rPr>
          <w:rFonts w:asciiTheme="minorHAnsi" w:hAnsiTheme="minorHAnsi"/>
          <w:sz w:val="24"/>
          <w:szCs w:val="24"/>
        </w:rPr>
        <w:t xml:space="preserve">: </w:t>
      </w:r>
    </w:p>
    <w:p w14:paraId="2AD1AED3"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1.  Incentives paid to the participant</w:t>
      </w:r>
      <w:r w:rsidR="001D659E" w:rsidRPr="00040AB6">
        <w:rPr>
          <w:rFonts w:asciiTheme="minorHAnsi" w:hAnsiTheme="minorHAnsi"/>
          <w:sz w:val="24"/>
          <w:szCs w:val="24"/>
        </w:rPr>
        <w:t>;</w:t>
      </w:r>
    </w:p>
    <w:p w14:paraId="492CA068"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2.  Administrative costs</w:t>
      </w:r>
      <w:r w:rsidR="001D659E" w:rsidRPr="00040AB6">
        <w:rPr>
          <w:rFonts w:asciiTheme="minorHAnsi" w:hAnsiTheme="minorHAnsi"/>
          <w:sz w:val="24"/>
          <w:szCs w:val="24"/>
        </w:rPr>
        <w:t>; and</w:t>
      </w:r>
    </w:p>
    <w:p w14:paraId="501281C2"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3.  </w:t>
      </w:r>
      <w:r w:rsidR="001D659E" w:rsidRPr="00040AB6">
        <w:rPr>
          <w:rFonts w:asciiTheme="minorHAnsi" w:hAnsiTheme="minorHAnsi"/>
          <w:sz w:val="24"/>
          <w:szCs w:val="24"/>
        </w:rPr>
        <w:t>Evaluation, verification, and monitoring.</w:t>
      </w:r>
    </w:p>
    <w:p w14:paraId="7108D05B" w14:textId="77777777" w:rsidR="00C31476" w:rsidRPr="00040AB6" w:rsidRDefault="00C31476" w:rsidP="008431AD">
      <w:pPr>
        <w:tabs>
          <w:tab w:val="left" w:pos="9720"/>
        </w:tabs>
        <w:spacing w:after="0" w:line="240" w:lineRule="auto"/>
        <w:ind w:left="720"/>
        <w:rPr>
          <w:rFonts w:asciiTheme="minorHAnsi" w:hAnsiTheme="minorHAnsi"/>
          <w:sz w:val="24"/>
          <w:szCs w:val="24"/>
        </w:rPr>
      </w:pPr>
    </w:p>
    <w:p w14:paraId="7A2E2DF0" w14:textId="59D3EDE7" w:rsidR="001D659E" w:rsidRPr="00040AB6" w:rsidRDefault="001D659E" w:rsidP="008431AD">
      <w:pPr>
        <w:tabs>
          <w:tab w:val="left" w:pos="9720"/>
        </w:tabs>
        <w:spacing w:after="0" w:line="240" w:lineRule="auto"/>
        <w:ind w:left="720"/>
        <w:rPr>
          <w:rFonts w:asciiTheme="minorHAnsi" w:hAnsiTheme="minorHAnsi"/>
          <w:sz w:val="24"/>
          <w:szCs w:val="24"/>
        </w:rPr>
      </w:pPr>
      <w:r w:rsidRPr="00040AB6">
        <w:rPr>
          <w:rFonts w:asciiTheme="minorHAnsi" w:hAnsiTheme="minorHAnsi"/>
          <w:sz w:val="24"/>
          <w:szCs w:val="24"/>
        </w:rPr>
        <w:t xml:space="preserve">The Company will continue to monitor and report the how the portfolio fairs using the Total Resource Cost (TRC), which is </w:t>
      </w:r>
      <w:r w:rsidR="005720E9" w:rsidRPr="00040AB6">
        <w:rPr>
          <w:rFonts w:asciiTheme="minorHAnsi" w:hAnsiTheme="minorHAnsi"/>
          <w:sz w:val="24"/>
          <w:szCs w:val="24"/>
        </w:rPr>
        <w:t>benefits</w:t>
      </w:r>
      <w:r w:rsidRPr="00040AB6">
        <w:rPr>
          <w:rFonts w:asciiTheme="minorHAnsi" w:hAnsiTheme="minorHAnsi"/>
          <w:sz w:val="24"/>
          <w:szCs w:val="24"/>
        </w:rPr>
        <w:t xml:space="preserve"> divided by </w:t>
      </w:r>
      <w:r w:rsidR="005720E9" w:rsidRPr="00040AB6">
        <w:rPr>
          <w:rFonts w:asciiTheme="minorHAnsi" w:hAnsiTheme="minorHAnsi"/>
          <w:sz w:val="24"/>
          <w:szCs w:val="24"/>
        </w:rPr>
        <w:t>costs</w:t>
      </w:r>
      <w:r w:rsidRPr="00040AB6">
        <w:rPr>
          <w:rFonts w:asciiTheme="minorHAnsi" w:hAnsiTheme="minorHAnsi"/>
          <w:sz w:val="24"/>
          <w:szCs w:val="24"/>
        </w:rPr>
        <w:t xml:space="preserve"> when each is defined as follows:</w:t>
      </w:r>
    </w:p>
    <w:p w14:paraId="58A54C31" w14:textId="77777777" w:rsidR="001D659E" w:rsidRPr="00040AB6" w:rsidRDefault="001D659E" w:rsidP="005A39B1">
      <w:pPr>
        <w:tabs>
          <w:tab w:val="left" w:pos="9720"/>
        </w:tabs>
        <w:spacing w:after="0" w:line="240" w:lineRule="auto"/>
        <w:ind w:left="1080"/>
        <w:rPr>
          <w:rFonts w:asciiTheme="minorHAnsi" w:hAnsiTheme="minorHAnsi"/>
          <w:sz w:val="24"/>
          <w:szCs w:val="24"/>
        </w:rPr>
      </w:pPr>
    </w:p>
    <w:p w14:paraId="4A998EC7" w14:textId="77777777" w:rsidR="005A39B1" w:rsidRPr="00040AB6" w:rsidRDefault="001D659E" w:rsidP="008431AD">
      <w:pPr>
        <w:tabs>
          <w:tab w:val="left" w:pos="9720"/>
        </w:tabs>
        <w:spacing w:after="0" w:line="240" w:lineRule="auto"/>
        <w:ind w:left="720"/>
        <w:outlineLvl w:val="0"/>
        <w:rPr>
          <w:rFonts w:asciiTheme="minorHAnsi" w:hAnsiTheme="minorHAnsi"/>
          <w:sz w:val="24"/>
          <w:szCs w:val="24"/>
        </w:rPr>
      </w:pPr>
      <w:r w:rsidRPr="00040AB6">
        <w:rPr>
          <w:rFonts w:asciiTheme="minorHAnsi" w:hAnsiTheme="minorHAnsi"/>
          <w:sz w:val="24"/>
          <w:szCs w:val="24"/>
        </w:rPr>
        <w:t>TRC</w:t>
      </w:r>
      <w:r w:rsidR="00C31476" w:rsidRPr="00040AB6">
        <w:rPr>
          <w:rFonts w:asciiTheme="minorHAnsi" w:hAnsiTheme="minorHAnsi"/>
          <w:sz w:val="24"/>
          <w:szCs w:val="24"/>
        </w:rPr>
        <w:t xml:space="preserve"> </w:t>
      </w:r>
      <w:r w:rsidR="00C31476" w:rsidRPr="00040AB6">
        <w:rPr>
          <w:rFonts w:asciiTheme="minorHAnsi" w:hAnsiTheme="minorHAnsi"/>
          <w:b/>
          <w:sz w:val="24"/>
          <w:szCs w:val="24"/>
        </w:rPr>
        <w:t xml:space="preserve">Benefits </w:t>
      </w:r>
      <w:r w:rsidR="00C31476" w:rsidRPr="00040AB6">
        <w:rPr>
          <w:rFonts w:asciiTheme="minorHAnsi" w:hAnsiTheme="minorHAnsi"/>
          <w:sz w:val="24"/>
          <w:szCs w:val="24"/>
        </w:rPr>
        <w:t>includes</w:t>
      </w:r>
      <w:r w:rsidR="00C31476" w:rsidRPr="00040AB6">
        <w:rPr>
          <w:rFonts w:asciiTheme="minorHAnsi" w:hAnsiTheme="minorHAnsi"/>
          <w:sz w:val="24"/>
          <w:szCs w:val="24"/>
        </w:rPr>
        <w:tab/>
      </w:r>
    </w:p>
    <w:p w14:paraId="69559CE8" w14:textId="77777777" w:rsidR="005A39B1" w:rsidRPr="00040AB6" w:rsidRDefault="005A39B1" w:rsidP="005A39B1">
      <w:pPr>
        <w:pStyle w:val="ListParagraph"/>
        <w:numPr>
          <w:ilvl w:val="0"/>
          <w:numId w:val="22"/>
        </w:numPr>
        <w:tabs>
          <w:tab w:val="left" w:pos="1440"/>
          <w:tab w:val="left" w:pos="9720"/>
        </w:tabs>
        <w:autoSpaceDE w:val="0"/>
        <w:autoSpaceDN w:val="0"/>
        <w:adjustRightInd w:val="0"/>
        <w:spacing w:after="0" w:line="240" w:lineRule="auto"/>
        <w:rPr>
          <w:rFonts w:asciiTheme="minorHAnsi" w:hAnsiTheme="minorHAnsi"/>
          <w:sz w:val="24"/>
          <w:szCs w:val="24"/>
        </w:rPr>
      </w:pPr>
      <w:r w:rsidRPr="00040AB6">
        <w:rPr>
          <w:rFonts w:asciiTheme="minorHAnsi" w:hAnsiTheme="minorHAnsi"/>
          <w:sz w:val="24"/>
          <w:szCs w:val="24"/>
        </w:rPr>
        <w:t>The value of gas energy saved based on the Company’s avoided costs.  The Company’s avoided costs include the following values:</w:t>
      </w:r>
    </w:p>
    <w:p w14:paraId="14716266" w14:textId="77777777" w:rsidR="005A39B1" w:rsidRPr="00040AB6" w:rsidRDefault="005A39B1" w:rsidP="005A39B1">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The long term gas price forecast compiled from a consultant’s gas price forecast;</w:t>
      </w:r>
    </w:p>
    <w:p w14:paraId="5CD8AF08" w14:textId="77777777" w:rsidR="005A39B1" w:rsidRPr="00040AB6" w:rsidRDefault="005A39B1" w:rsidP="005A39B1">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A price for carbon included in the gas price forecast.</w:t>
      </w:r>
    </w:p>
    <w:p w14:paraId="7FBFA6C9" w14:textId="77777777" w:rsidR="005A39B1" w:rsidRPr="00040AB6" w:rsidRDefault="005A39B1" w:rsidP="005A39B1">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Gas storage carrying costs for inventory;</w:t>
      </w:r>
    </w:p>
    <w:p w14:paraId="766E67E6" w14:textId="77777777" w:rsidR="005A39B1" w:rsidRPr="00040AB6" w:rsidRDefault="005A39B1" w:rsidP="005A39B1">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t xml:space="preserve">Upstream variable transmission costs; and </w:t>
      </w:r>
    </w:p>
    <w:p w14:paraId="0494DE91" w14:textId="77777777" w:rsidR="005A39B1" w:rsidRPr="00040AB6" w:rsidRDefault="005A39B1" w:rsidP="005A39B1">
      <w:pPr>
        <w:pStyle w:val="ListParagraph"/>
        <w:tabs>
          <w:tab w:val="left" w:pos="1440"/>
          <w:tab w:val="left" w:pos="9720"/>
        </w:tabs>
        <w:autoSpaceDE w:val="0"/>
        <w:autoSpaceDN w:val="0"/>
        <w:adjustRightInd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r>
      <w:r w:rsidRPr="00040AB6">
        <w:rPr>
          <w:rFonts w:asciiTheme="minorHAnsi" w:hAnsiTheme="minorHAnsi"/>
          <w:sz w:val="24"/>
          <w:szCs w:val="24"/>
        </w:rPr>
        <w:tab/>
        <w:t>Peak related on‐system transmission costs; and</w:t>
      </w:r>
    </w:p>
    <w:p w14:paraId="6036CC16" w14:textId="1E1A575A" w:rsidR="00C31476" w:rsidRPr="00040AB6" w:rsidRDefault="00C31476" w:rsidP="008431AD">
      <w:pPr>
        <w:tabs>
          <w:tab w:val="left" w:pos="99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2.  </w:t>
      </w:r>
      <w:r w:rsidR="001D659E" w:rsidRPr="00040AB6">
        <w:rPr>
          <w:rFonts w:asciiTheme="minorHAnsi" w:hAnsiTheme="minorHAnsi"/>
          <w:sz w:val="24"/>
          <w:szCs w:val="24"/>
        </w:rPr>
        <w:tab/>
      </w:r>
      <w:r w:rsidRPr="00040AB6">
        <w:rPr>
          <w:rFonts w:asciiTheme="minorHAnsi" w:hAnsiTheme="minorHAnsi"/>
          <w:sz w:val="24"/>
          <w:szCs w:val="24"/>
        </w:rPr>
        <w:t>Non-energy benefits as quantified by a reasonable and practical method</w:t>
      </w:r>
      <w:r w:rsidR="001D659E" w:rsidRPr="00040AB6">
        <w:rPr>
          <w:rFonts w:asciiTheme="minorHAnsi" w:hAnsiTheme="minorHAnsi"/>
          <w:sz w:val="24"/>
          <w:szCs w:val="24"/>
        </w:rPr>
        <w:t>;</w:t>
      </w:r>
      <w:r w:rsidR="008431AD" w:rsidRPr="00040AB6">
        <w:rPr>
          <w:rFonts w:asciiTheme="minorHAnsi" w:hAnsiTheme="minorHAnsi"/>
          <w:sz w:val="24"/>
          <w:szCs w:val="24"/>
        </w:rPr>
        <w:t xml:space="preserve"> and</w:t>
      </w:r>
    </w:p>
    <w:p w14:paraId="31405FE1" w14:textId="2F46808E" w:rsidR="00C31476" w:rsidRPr="00040AB6" w:rsidRDefault="00C31476" w:rsidP="008431AD">
      <w:pPr>
        <w:tabs>
          <w:tab w:val="left" w:pos="99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3.  </w:t>
      </w:r>
      <w:r w:rsidR="001D659E" w:rsidRPr="00040AB6">
        <w:rPr>
          <w:rFonts w:asciiTheme="minorHAnsi" w:hAnsiTheme="minorHAnsi"/>
          <w:sz w:val="24"/>
          <w:szCs w:val="24"/>
        </w:rPr>
        <w:tab/>
        <w:t>The 10% credit for the benefits of conservation in addressing risk and uncertainty as well as unquantified environmental benefits</w:t>
      </w:r>
      <w:r w:rsidR="008431AD" w:rsidRPr="00040AB6">
        <w:rPr>
          <w:rFonts w:asciiTheme="minorHAnsi" w:hAnsiTheme="minorHAnsi"/>
          <w:sz w:val="24"/>
          <w:szCs w:val="24"/>
        </w:rPr>
        <w:t>.</w:t>
      </w:r>
    </w:p>
    <w:p w14:paraId="75195C44" w14:textId="77777777" w:rsidR="00C31476" w:rsidRPr="00040AB6" w:rsidRDefault="00C31476" w:rsidP="008431AD">
      <w:pPr>
        <w:tabs>
          <w:tab w:val="left" w:pos="9720"/>
        </w:tabs>
        <w:autoSpaceDE w:val="0"/>
        <w:autoSpaceDN w:val="0"/>
        <w:adjustRightInd w:val="0"/>
        <w:spacing w:after="0" w:line="240" w:lineRule="auto"/>
        <w:ind w:left="720"/>
        <w:rPr>
          <w:rFonts w:asciiTheme="minorHAnsi" w:hAnsiTheme="minorHAnsi"/>
          <w:sz w:val="24"/>
          <w:szCs w:val="24"/>
        </w:rPr>
      </w:pPr>
    </w:p>
    <w:p w14:paraId="68F58E11" w14:textId="1196FABB" w:rsidR="00C31476" w:rsidRPr="00040AB6" w:rsidRDefault="00EB0E8F" w:rsidP="008431AD">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TRC</w:t>
      </w:r>
      <w:r w:rsidR="001D659E" w:rsidRPr="00040AB6">
        <w:rPr>
          <w:rFonts w:asciiTheme="minorHAnsi" w:hAnsiTheme="minorHAnsi"/>
          <w:sz w:val="24"/>
          <w:szCs w:val="24"/>
        </w:rPr>
        <w:t xml:space="preserve"> </w:t>
      </w:r>
      <w:r w:rsidR="001D659E" w:rsidRPr="00040AB6">
        <w:rPr>
          <w:rFonts w:asciiTheme="minorHAnsi" w:hAnsiTheme="minorHAnsi"/>
          <w:b/>
          <w:sz w:val="24"/>
          <w:szCs w:val="24"/>
        </w:rPr>
        <w:t xml:space="preserve">Costs </w:t>
      </w:r>
      <w:r w:rsidR="008431AD" w:rsidRPr="00040AB6">
        <w:rPr>
          <w:rFonts w:asciiTheme="minorHAnsi" w:hAnsiTheme="minorHAnsi"/>
          <w:sz w:val="24"/>
          <w:szCs w:val="24"/>
        </w:rPr>
        <w:t>are</w:t>
      </w:r>
      <w:r w:rsidR="00C31476" w:rsidRPr="00040AB6">
        <w:rPr>
          <w:rFonts w:asciiTheme="minorHAnsi" w:hAnsiTheme="minorHAnsi"/>
          <w:sz w:val="24"/>
          <w:szCs w:val="24"/>
        </w:rPr>
        <w:t xml:space="preserve">: </w:t>
      </w:r>
    </w:p>
    <w:p w14:paraId="2F581BA3" w14:textId="77777777" w:rsidR="00C31476" w:rsidRPr="00040AB6" w:rsidRDefault="00C31476" w:rsidP="008431AD">
      <w:pPr>
        <w:tabs>
          <w:tab w:val="left" w:pos="1080"/>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1. </w:t>
      </w:r>
      <w:r w:rsidR="00854330" w:rsidRPr="00040AB6">
        <w:rPr>
          <w:rFonts w:asciiTheme="minorHAnsi" w:hAnsiTheme="minorHAnsi"/>
          <w:sz w:val="24"/>
          <w:szCs w:val="24"/>
        </w:rPr>
        <w:tab/>
      </w:r>
      <w:r w:rsidRPr="00040AB6">
        <w:rPr>
          <w:rFonts w:asciiTheme="minorHAnsi" w:hAnsiTheme="minorHAnsi"/>
          <w:sz w:val="24"/>
          <w:szCs w:val="24"/>
        </w:rPr>
        <w:t>Incentives paid to the participant</w:t>
      </w:r>
      <w:r w:rsidR="001D659E" w:rsidRPr="00040AB6">
        <w:rPr>
          <w:rFonts w:asciiTheme="minorHAnsi" w:hAnsiTheme="minorHAnsi"/>
          <w:sz w:val="24"/>
          <w:szCs w:val="24"/>
        </w:rPr>
        <w:t xml:space="preserve">; </w:t>
      </w:r>
    </w:p>
    <w:p w14:paraId="6229008C" w14:textId="77777777" w:rsidR="00C31476" w:rsidRPr="00040AB6" w:rsidRDefault="00C31476" w:rsidP="008431AD">
      <w:pPr>
        <w:tabs>
          <w:tab w:val="left" w:pos="1080"/>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2. </w:t>
      </w:r>
      <w:r w:rsidR="00854330" w:rsidRPr="00040AB6">
        <w:rPr>
          <w:rFonts w:asciiTheme="minorHAnsi" w:hAnsiTheme="minorHAnsi"/>
          <w:sz w:val="24"/>
          <w:szCs w:val="24"/>
        </w:rPr>
        <w:tab/>
      </w:r>
      <w:r w:rsidRPr="00040AB6">
        <w:rPr>
          <w:rFonts w:asciiTheme="minorHAnsi" w:hAnsiTheme="minorHAnsi"/>
          <w:sz w:val="24"/>
          <w:szCs w:val="24"/>
        </w:rPr>
        <w:t>Administrative costs</w:t>
      </w:r>
      <w:r w:rsidR="001D659E" w:rsidRPr="00040AB6">
        <w:rPr>
          <w:rFonts w:asciiTheme="minorHAnsi" w:hAnsiTheme="minorHAnsi"/>
          <w:sz w:val="24"/>
          <w:szCs w:val="24"/>
        </w:rPr>
        <w:t xml:space="preserve">; </w:t>
      </w:r>
    </w:p>
    <w:p w14:paraId="5A06EDDF" w14:textId="77777777" w:rsidR="00C31476" w:rsidRPr="00040AB6" w:rsidRDefault="00C31476" w:rsidP="008431AD">
      <w:pPr>
        <w:tabs>
          <w:tab w:val="left" w:pos="108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3. </w:t>
      </w:r>
      <w:r w:rsidR="00854330" w:rsidRPr="00040AB6">
        <w:rPr>
          <w:rFonts w:asciiTheme="minorHAnsi" w:hAnsiTheme="minorHAnsi"/>
          <w:sz w:val="24"/>
          <w:szCs w:val="24"/>
        </w:rPr>
        <w:tab/>
      </w:r>
      <w:r w:rsidR="001D659E" w:rsidRPr="00040AB6">
        <w:rPr>
          <w:rFonts w:asciiTheme="minorHAnsi" w:hAnsiTheme="minorHAnsi"/>
          <w:sz w:val="24"/>
          <w:szCs w:val="24"/>
        </w:rPr>
        <w:t>Evaluation, verification, and monitoring; and</w:t>
      </w:r>
    </w:p>
    <w:p w14:paraId="56E07D3F" w14:textId="77777777" w:rsidR="00C31476" w:rsidRPr="00040AB6" w:rsidRDefault="00C31476" w:rsidP="008431AD">
      <w:pPr>
        <w:tabs>
          <w:tab w:val="left" w:pos="108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4. </w:t>
      </w:r>
      <w:r w:rsidR="00854330" w:rsidRPr="00040AB6">
        <w:rPr>
          <w:rFonts w:asciiTheme="minorHAnsi" w:hAnsiTheme="minorHAnsi"/>
          <w:sz w:val="24"/>
          <w:szCs w:val="24"/>
        </w:rPr>
        <w:tab/>
      </w:r>
      <w:r w:rsidRPr="00040AB6">
        <w:rPr>
          <w:rFonts w:asciiTheme="minorHAnsi" w:hAnsiTheme="minorHAnsi"/>
          <w:sz w:val="24"/>
          <w:szCs w:val="24"/>
        </w:rPr>
        <w:t>The participant’s remaining out-of-pocket costs for the installed cost of the measures after incentives and Federal tax credits.</w:t>
      </w:r>
    </w:p>
    <w:p w14:paraId="7D31AFAD" w14:textId="77777777" w:rsidR="00C31476" w:rsidRPr="00040AB6" w:rsidRDefault="00C31476" w:rsidP="005A39B1">
      <w:pPr>
        <w:tabs>
          <w:tab w:val="num" w:pos="360"/>
          <w:tab w:val="left" w:pos="9720"/>
        </w:tabs>
        <w:autoSpaceDE w:val="0"/>
        <w:autoSpaceDN w:val="0"/>
        <w:adjustRightInd w:val="0"/>
        <w:spacing w:after="0" w:line="240" w:lineRule="auto"/>
        <w:ind w:left="720" w:hanging="360"/>
        <w:rPr>
          <w:rFonts w:asciiTheme="minorHAnsi" w:hAnsiTheme="minorHAnsi"/>
          <w:sz w:val="24"/>
          <w:szCs w:val="24"/>
        </w:rPr>
      </w:pPr>
    </w:p>
    <w:p w14:paraId="762D7F39" w14:textId="48983377" w:rsidR="00C31476" w:rsidRPr="00040AB6" w:rsidRDefault="00C31476" w:rsidP="00C31476">
      <w:pPr>
        <w:pStyle w:val="BodyText"/>
        <w:widowControl/>
        <w:tabs>
          <w:tab w:val="left" w:pos="9720"/>
        </w:tabs>
        <w:ind w:left="720"/>
        <w:rPr>
          <w:rFonts w:asciiTheme="minorHAnsi" w:hAnsiTheme="minorHAnsi"/>
          <w:sz w:val="24"/>
          <w:szCs w:val="24"/>
          <w:u w:val="single"/>
        </w:rPr>
      </w:pPr>
      <w:proofErr w:type="spellStart"/>
      <w:r w:rsidRPr="00040AB6">
        <w:rPr>
          <w:rFonts w:asciiTheme="minorHAnsi" w:hAnsiTheme="minorHAnsi"/>
          <w:sz w:val="24"/>
          <w:szCs w:val="24"/>
          <w:u w:val="single"/>
        </w:rPr>
        <w:t>L</w:t>
      </w:r>
      <w:r w:rsidR="00106C2C" w:rsidRPr="00040AB6">
        <w:rPr>
          <w:rFonts w:asciiTheme="minorHAnsi" w:hAnsiTheme="minorHAnsi"/>
          <w:sz w:val="24"/>
          <w:szCs w:val="24"/>
          <w:u w:val="single"/>
        </w:rPr>
        <w:t>evelized</w:t>
      </w:r>
      <w:proofErr w:type="spellEnd"/>
      <w:r w:rsidR="00106C2C" w:rsidRPr="00040AB6">
        <w:rPr>
          <w:rFonts w:asciiTheme="minorHAnsi" w:hAnsiTheme="minorHAnsi"/>
          <w:sz w:val="24"/>
          <w:szCs w:val="24"/>
          <w:u w:val="single"/>
        </w:rPr>
        <w:t xml:space="preserve"> Cost Metric</w:t>
      </w:r>
    </w:p>
    <w:p w14:paraId="4A76A5D1" w14:textId="681D97C5" w:rsidR="00C31476" w:rsidRPr="00040AB6" w:rsidRDefault="00C31476" w:rsidP="00C31476">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The portfolio of measures promoted through the program will also meet </w:t>
      </w:r>
      <w:r w:rsidR="00EB0E8F" w:rsidRPr="00040AB6">
        <w:rPr>
          <w:rFonts w:asciiTheme="minorHAnsi" w:hAnsiTheme="minorHAnsi"/>
          <w:sz w:val="24"/>
          <w:szCs w:val="24"/>
        </w:rPr>
        <w:t xml:space="preserve"> and report on a</w:t>
      </w:r>
      <w:r w:rsidRPr="00040AB6">
        <w:rPr>
          <w:rFonts w:asciiTheme="minorHAnsi" w:hAnsiTheme="minorHAnsi"/>
          <w:sz w:val="24"/>
          <w:szCs w:val="24"/>
        </w:rPr>
        <w:t xml:space="preserve"> </w:t>
      </w:r>
      <w:proofErr w:type="spellStart"/>
      <w:r w:rsidRPr="00040AB6">
        <w:rPr>
          <w:rFonts w:asciiTheme="minorHAnsi" w:hAnsiTheme="minorHAnsi"/>
          <w:sz w:val="24"/>
          <w:szCs w:val="24"/>
        </w:rPr>
        <w:t>Levelized</w:t>
      </w:r>
      <w:proofErr w:type="spellEnd"/>
      <w:r w:rsidRPr="00040AB6">
        <w:rPr>
          <w:rFonts w:asciiTheme="minorHAnsi" w:hAnsiTheme="minorHAnsi"/>
          <w:sz w:val="24"/>
          <w:szCs w:val="24"/>
        </w:rPr>
        <w:t xml:space="preserve"> Cost metric, which is determined as follows:</w:t>
      </w:r>
    </w:p>
    <w:p w14:paraId="44C4235C" w14:textId="77777777" w:rsidR="00C31476" w:rsidRPr="00040AB6" w:rsidRDefault="00C31476" w:rsidP="00C31476">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 </w:t>
      </w:r>
    </w:p>
    <w:p w14:paraId="338D517F" w14:textId="77777777" w:rsidR="00C31476" w:rsidRPr="00040AB6" w:rsidRDefault="00C31476" w:rsidP="00C31476">
      <w:pPr>
        <w:tabs>
          <w:tab w:val="left" w:pos="9720"/>
        </w:tabs>
        <w:autoSpaceDE w:val="0"/>
        <w:autoSpaceDN w:val="0"/>
        <w:adjustRightInd w:val="0"/>
        <w:ind w:left="720"/>
        <w:rPr>
          <w:rFonts w:asciiTheme="minorHAnsi" w:hAnsiTheme="minorHAnsi"/>
          <w:sz w:val="24"/>
          <w:szCs w:val="24"/>
        </w:rPr>
      </w:pPr>
      <w:r w:rsidRPr="00040AB6">
        <w:rPr>
          <w:rFonts w:asciiTheme="minorHAnsi" w:hAnsiTheme="minorHAnsi"/>
          <w:sz w:val="24"/>
          <w:szCs w:val="24"/>
        </w:rPr>
        <w:t xml:space="preserve">The </w:t>
      </w:r>
      <w:proofErr w:type="spellStart"/>
      <w:r w:rsidRPr="00040AB6">
        <w:rPr>
          <w:rFonts w:asciiTheme="minorHAnsi" w:hAnsiTheme="minorHAnsi"/>
          <w:sz w:val="24"/>
          <w:szCs w:val="24"/>
        </w:rPr>
        <w:t>levelized</w:t>
      </w:r>
      <w:proofErr w:type="spellEnd"/>
      <w:r w:rsidRPr="00040AB6">
        <w:rPr>
          <w:rFonts w:asciiTheme="minorHAnsi" w:hAnsiTheme="minorHAnsi"/>
          <w:sz w:val="24"/>
          <w:szCs w:val="24"/>
        </w:rPr>
        <w:t xml:space="preserve"> cost is the present value of the total cost of a measure over its economic life, converted to equal annual payments.  The </w:t>
      </w:r>
      <w:proofErr w:type="spellStart"/>
      <w:r w:rsidRPr="00040AB6">
        <w:rPr>
          <w:rFonts w:asciiTheme="minorHAnsi" w:hAnsiTheme="minorHAnsi"/>
          <w:sz w:val="24"/>
          <w:szCs w:val="24"/>
        </w:rPr>
        <w:t>levelized</w:t>
      </w:r>
      <w:proofErr w:type="spellEnd"/>
      <w:r w:rsidRPr="00040AB6">
        <w:rPr>
          <w:rFonts w:asciiTheme="minorHAnsi" w:hAnsiTheme="minorHAnsi"/>
          <w:sz w:val="24"/>
          <w:szCs w:val="24"/>
        </w:rPr>
        <w:t xml:space="preserve"> cost calculation starts with the incremental capital cost of a given measure or package of measures.  The total cost is amortized over an estimated measure lifetime using the discount rate established in the Company’s most current IRP.  The annual net measure cost is then divided by the annual net energy savings (therms) from the measure application (again relative to a standard technology) to produce the </w:t>
      </w:r>
      <w:proofErr w:type="spellStart"/>
      <w:r w:rsidRPr="00040AB6">
        <w:rPr>
          <w:rFonts w:asciiTheme="minorHAnsi" w:hAnsiTheme="minorHAnsi"/>
          <w:sz w:val="24"/>
          <w:szCs w:val="24"/>
        </w:rPr>
        <w:t>levelized</w:t>
      </w:r>
      <w:proofErr w:type="spellEnd"/>
      <w:r w:rsidRPr="00040AB6">
        <w:rPr>
          <w:rFonts w:asciiTheme="minorHAnsi" w:hAnsiTheme="minorHAnsi"/>
          <w:sz w:val="24"/>
          <w:szCs w:val="24"/>
        </w:rPr>
        <w:t xml:space="preserve"> cost estimate in dollars per </w:t>
      </w:r>
      <w:proofErr w:type="spellStart"/>
      <w:r w:rsidRPr="00040AB6">
        <w:rPr>
          <w:rFonts w:asciiTheme="minorHAnsi" w:hAnsiTheme="minorHAnsi"/>
          <w:sz w:val="24"/>
          <w:szCs w:val="24"/>
        </w:rPr>
        <w:t>therm</w:t>
      </w:r>
      <w:proofErr w:type="spellEnd"/>
      <w:r w:rsidRPr="00040AB6">
        <w:rPr>
          <w:rFonts w:asciiTheme="minorHAnsi" w:hAnsiTheme="minorHAnsi"/>
          <w:sz w:val="24"/>
          <w:szCs w:val="24"/>
        </w:rPr>
        <w:t xml:space="preserve"> saved, as illustrated in the following formula. </w:t>
      </w:r>
    </w:p>
    <w:p w14:paraId="4F7C3D24" w14:textId="77777777" w:rsidR="00C31476" w:rsidRPr="00040AB6" w:rsidRDefault="00C31476" w:rsidP="00C31476">
      <w:pPr>
        <w:tabs>
          <w:tab w:val="left" w:pos="1710"/>
          <w:tab w:val="left" w:pos="9720"/>
        </w:tabs>
        <w:autoSpaceDE w:val="0"/>
        <w:autoSpaceDN w:val="0"/>
        <w:adjustRightInd w:val="0"/>
        <w:ind w:left="720"/>
        <w:rPr>
          <w:rFonts w:asciiTheme="minorHAnsi" w:hAnsiTheme="minorHAnsi"/>
          <w:sz w:val="24"/>
          <w:szCs w:val="24"/>
        </w:rPr>
      </w:pPr>
      <w:r w:rsidRPr="00040AB6">
        <w:rPr>
          <w:rFonts w:asciiTheme="minorHAnsi" w:hAnsiTheme="minorHAnsi"/>
          <w:sz w:val="24"/>
          <w:szCs w:val="24"/>
        </w:rPr>
        <w:object w:dxaOrig="4099" w:dyaOrig="700" w14:anchorId="6CF5C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5pt;height:31.7pt" o:ole="">
            <v:imagedata r:id="rId13" o:title=""/>
          </v:shape>
          <o:OLEObject Type="Embed" ProgID="Equation.3" ShapeID="_x0000_i1025" DrawAspect="Content" ObjectID="_1502539806" r:id="rId14"/>
        </w:object>
      </w:r>
    </w:p>
    <w:p w14:paraId="4069864D" w14:textId="075E40C7" w:rsidR="00822685" w:rsidRPr="00040AB6" w:rsidRDefault="00C31476" w:rsidP="005A39B1">
      <w:pPr>
        <w:ind w:left="720"/>
        <w:rPr>
          <w:rFonts w:asciiTheme="minorHAnsi" w:hAnsiTheme="minorHAnsi"/>
          <w:sz w:val="24"/>
          <w:szCs w:val="24"/>
        </w:rPr>
      </w:pPr>
      <w:r w:rsidRPr="00040AB6">
        <w:rPr>
          <w:rFonts w:asciiTheme="minorHAnsi" w:hAnsiTheme="minorHAnsi"/>
          <w:sz w:val="24"/>
          <w:szCs w:val="24"/>
        </w:rPr>
        <w:t xml:space="preserve">The </w:t>
      </w:r>
      <w:proofErr w:type="spellStart"/>
      <w:r w:rsidRPr="00040AB6">
        <w:rPr>
          <w:rFonts w:asciiTheme="minorHAnsi" w:hAnsiTheme="minorHAnsi"/>
          <w:sz w:val="24"/>
          <w:szCs w:val="24"/>
        </w:rPr>
        <w:t>levelized</w:t>
      </w:r>
      <w:proofErr w:type="spellEnd"/>
      <w:r w:rsidRPr="00040AB6">
        <w:rPr>
          <w:rFonts w:asciiTheme="minorHAnsi" w:hAnsiTheme="minorHAnsi"/>
          <w:sz w:val="24"/>
          <w:szCs w:val="24"/>
        </w:rPr>
        <w:t xml:space="preserve"> cost of an energy efficiency measure is cost-effective if it is less than the average </w:t>
      </w:r>
      <w:proofErr w:type="spellStart"/>
      <w:r w:rsidRPr="00040AB6">
        <w:rPr>
          <w:rFonts w:asciiTheme="minorHAnsi" w:hAnsiTheme="minorHAnsi"/>
          <w:sz w:val="24"/>
          <w:szCs w:val="24"/>
        </w:rPr>
        <w:t>levelized</w:t>
      </w:r>
      <w:proofErr w:type="spellEnd"/>
      <w:r w:rsidRPr="00040AB6">
        <w:rPr>
          <w:rFonts w:asciiTheme="minorHAnsi" w:hAnsiTheme="minorHAnsi"/>
          <w:sz w:val="24"/>
          <w:szCs w:val="24"/>
        </w:rPr>
        <w:t xml:space="preserve"> costs of other supply-side options.  A cost-effective threshold is established in the Company’s most current Integrated Resource Plan (IRP) and further refined through the BCR test.</w:t>
      </w:r>
    </w:p>
    <w:p w14:paraId="2B5204DA" w14:textId="77777777" w:rsidR="00822685" w:rsidRPr="00040AB6" w:rsidRDefault="00822685" w:rsidP="00FC75F5">
      <w:pPr>
        <w:tabs>
          <w:tab w:val="left" w:pos="720"/>
        </w:tabs>
        <w:spacing w:after="0" w:line="240" w:lineRule="auto"/>
        <w:rPr>
          <w:rFonts w:asciiTheme="minorHAnsi" w:hAnsiTheme="minorHAnsi"/>
          <w:sz w:val="24"/>
          <w:szCs w:val="24"/>
        </w:rPr>
      </w:pPr>
    </w:p>
    <w:p w14:paraId="0490E09D" w14:textId="77777777" w:rsidR="00357665" w:rsidRPr="00040AB6" w:rsidRDefault="00C628A6" w:rsidP="00FC75F5">
      <w:pPr>
        <w:tabs>
          <w:tab w:val="left" w:pos="720"/>
        </w:tabs>
        <w:spacing w:after="0" w:line="240" w:lineRule="auto"/>
        <w:rPr>
          <w:rFonts w:asciiTheme="minorHAnsi" w:hAnsiTheme="minorHAnsi"/>
          <w:sz w:val="44"/>
          <w:szCs w:val="44"/>
        </w:rPr>
      </w:pPr>
      <w:r w:rsidRPr="00040AB6">
        <w:rPr>
          <w:rFonts w:asciiTheme="minorHAnsi" w:hAnsiTheme="minorHAnsi"/>
          <w:sz w:val="32"/>
          <w:szCs w:val="32"/>
        </w:rPr>
        <w:t xml:space="preserve">VI. </w:t>
      </w:r>
      <w:r w:rsidRPr="00040AB6">
        <w:rPr>
          <w:rFonts w:asciiTheme="minorHAnsi" w:hAnsiTheme="minorHAnsi"/>
          <w:sz w:val="32"/>
          <w:szCs w:val="32"/>
        </w:rPr>
        <w:tab/>
      </w:r>
      <w:r w:rsidR="00357665" w:rsidRPr="00040AB6">
        <w:rPr>
          <w:rFonts w:asciiTheme="minorHAnsi" w:hAnsiTheme="minorHAnsi"/>
          <w:sz w:val="32"/>
          <w:szCs w:val="32"/>
        </w:rPr>
        <w:t>Program Evaluation, Monitoring and Verification (“EM&amp;V”)</w:t>
      </w:r>
      <w:r w:rsidR="00357665" w:rsidRPr="00040AB6">
        <w:rPr>
          <w:rFonts w:asciiTheme="minorHAnsi" w:hAnsiTheme="minorHAnsi"/>
          <w:sz w:val="44"/>
          <w:szCs w:val="44"/>
        </w:rPr>
        <w:t xml:space="preserve"> </w:t>
      </w:r>
    </w:p>
    <w:p w14:paraId="45058A1A" w14:textId="77777777" w:rsidR="00FA7971" w:rsidRPr="00040AB6" w:rsidRDefault="00357665" w:rsidP="00FC75F5">
      <w:pPr>
        <w:tabs>
          <w:tab w:val="left" w:pos="720"/>
        </w:tabs>
        <w:spacing w:after="0" w:line="240" w:lineRule="auto"/>
        <w:rPr>
          <w:rFonts w:asciiTheme="minorHAnsi" w:hAnsiTheme="minorHAnsi" w:cs="Calibri"/>
          <w:sz w:val="24"/>
          <w:szCs w:val="24"/>
        </w:rPr>
      </w:pPr>
      <w:r w:rsidRPr="00040AB6">
        <w:rPr>
          <w:rFonts w:asciiTheme="minorHAnsi" w:hAnsiTheme="minorHAnsi" w:cs="Calibri"/>
          <w:sz w:val="24"/>
          <w:szCs w:val="24"/>
        </w:rPr>
        <w:tab/>
      </w:r>
    </w:p>
    <w:p w14:paraId="008FE197" w14:textId="77777777" w:rsidR="00357665" w:rsidRPr="00040AB6" w:rsidRDefault="00FA7971" w:rsidP="00FC75F5">
      <w:pPr>
        <w:tabs>
          <w:tab w:val="left" w:pos="720"/>
        </w:tabs>
        <w:spacing w:after="0" w:line="240" w:lineRule="auto"/>
        <w:rPr>
          <w:rFonts w:asciiTheme="minorHAnsi" w:hAnsiTheme="minorHAnsi" w:cs="Calibri"/>
          <w:sz w:val="24"/>
          <w:szCs w:val="24"/>
          <w:u w:val="single"/>
        </w:rPr>
      </w:pPr>
      <w:r w:rsidRPr="00040AB6">
        <w:rPr>
          <w:rFonts w:asciiTheme="minorHAnsi" w:hAnsiTheme="minorHAnsi" w:cs="Calibri"/>
          <w:sz w:val="24"/>
          <w:szCs w:val="24"/>
        </w:rPr>
        <w:tab/>
      </w:r>
      <w:r w:rsidR="00357665" w:rsidRPr="00040AB6">
        <w:rPr>
          <w:rFonts w:asciiTheme="minorHAnsi" w:hAnsiTheme="minorHAnsi" w:cs="Calibri"/>
          <w:sz w:val="24"/>
          <w:szCs w:val="24"/>
          <w:u w:val="single"/>
        </w:rPr>
        <w:t>Impact Evaluations</w:t>
      </w:r>
    </w:p>
    <w:p w14:paraId="2ACDFEAD" w14:textId="4F920C2A" w:rsidR="00106C2C" w:rsidRPr="00040AB6" w:rsidRDefault="00357665" w:rsidP="00C54531">
      <w:pPr>
        <w:tabs>
          <w:tab w:val="center" w:pos="720"/>
        </w:tabs>
        <w:spacing w:after="0" w:line="240" w:lineRule="auto"/>
        <w:ind w:left="720"/>
        <w:rPr>
          <w:rFonts w:asciiTheme="minorHAnsi" w:hAnsiTheme="minorHAnsi" w:cs="Calibri"/>
          <w:sz w:val="24"/>
          <w:szCs w:val="24"/>
        </w:rPr>
      </w:pPr>
      <w:r w:rsidRPr="00040AB6">
        <w:rPr>
          <w:rFonts w:asciiTheme="minorHAnsi" w:hAnsiTheme="minorHAnsi" w:cs="Calibri"/>
          <w:sz w:val="24"/>
          <w:szCs w:val="24"/>
        </w:rPr>
        <w:t xml:space="preserve">Deemed gross savings by measure are used to determine total therms reported as saved per program year.  The deemed savings used will be consistent with the most current impact studies performed on the programs that the Energy Trust delivers in Oregon until after mid-2012 when such impact evaluations will include results from the </w:t>
      </w:r>
      <w:r w:rsidR="00FE0DD2" w:rsidRPr="00040AB6">
        <w:rPr>
          <w:rFonts w:asciiTheme="minorHAnsi" w:hAnsiTheme="minorHAnsi" w:cs="Calibri"/>
          <w:sz w:val="24"/>
          <w:szCs w:val="24"/>
        </w:rPr>
        <w:t xml:space="preserve">Washington-delivered programs. </w:t>
      </w:r>
      <w:r w:rsidRPr="00040AB6">
        <w:rPr>
          <w:rFonts w:asciiTheme="minorHAnsi" w:hAnsiTheme="minorHAnsi" w:cs="Calibri"/>
          <w:sz w:val="24"/>
          <w:szCs w:val="24"/>
        </w:rPr>
        <w:t xml:space="preserve"> The Energy Trust performs the impact study wherein they analyze customers’ energy usage data before and after a measure </w:t>
      </w:r>
      <w:r w:rsidR="00FE0DD2" w:rsidRPr="00040AB6">
        <w:rPr>
          <w:rFonts w:asciiTheme="minorHAnsi" w:hAnsiTheme="minorHAnsi" w:cs="Calibri"/>
          <w:sz w:val="24"/>
          <w:szCs w:val="24"/>
        </w:rPr>
        <w:t>i</w:t>
      </w:r>
      <w:r w:rsidRPr="00040AB6">
        <w:rPr>
          <w:rFonts w:asciiTheme="minorHAnsi" w:hAnsiTheme="minorHAnsi" w:cs="Calibri"/>
          <w:sz w:val="24"/>
          <w:szCs w:val="24"/>
        </w:rPr>
        <w:t xml:space="preserve">s installed.  </w:t>
      </w:r>
      <w:r w:rsidR="00FE0DD2" w:rsidRPr="00040AB6">
        <w:rPr>
          <w:rFonts w:asciiTheme="minorHAnsi" w:hAnsiTheme="minorHAnsi" w:cs="Calibri"/>
          <w:sz w:val="24"/>
          <w:szCs w:val="24"/>
        </w:rPr>
        <w:t xml:space="preserve">The </w:t>
      </w:r>
      <w:r w:rsidR="00FE0DD2" w:rsidRPr="00040AB6">
        <w:rPr>
          <w:rFonts w:asciiTheme="minorHAnsi" w:hAnsiTheme="minorHAnsi"/>
          <w:sz w:val="24"/>
          <w:szCs w:val="24"/>
        </w:rPr>
        <w:t>savings from a</w:t>
      </w:r>
      <w:r w:rsidR="000A1DFE" w:rsidRPr="00040AB6">
        <w:rPr>
          <w:rFonts w:asciiTheme="minorHAnsi" w:hAnsiTheme="minorHAnsi"/>
          <w:sz w:val="24"/>
          <w:szCs w:val="24"/>
        </w:rPr>
        <w:t xml:space="preserve">ll </w:t>
      </w:r>
      <w:r w:rsidR="00FE0DD2" w:rsidRPr="00040AB6">
        <w:rPr>
          <w:rFonts w:asciiTheme="minorHAnsi" w:hAnsiTheme="minorHAnsi"/>
          <w:sz w:val="24"/>
          <w:szCs w:val="24"/>
        </w:rPr>
        <w:t xml:space="preserve">measures’ </w:t>
      </w:r>
      <w:r w:rsidR="000A1DFE" w:rsidRPr="00040AB6">
        <w:rPr>
          <w:rFonts w:asciiTheme="minorHAnsi" w:hAnsiTheme="minorHAnsi"/>
          <w:sz w:val="24"/>
          <w:szCs w:val="24"/>
        </w:rPr>
        <w:t xml:space="preserve">are analyzed annually unless sample sizes based on participation rates are not statistically significant.  </w:t>
      </w:r>
      <w:r w:rsidR="00FE0DD2" w:rsidRPr="00040AB6">
        <w:rPr>
          <w:rFonts w:asciiTheme="minorHAnsi" w:hAnsiTheme="minorHAnsi"/>
          <w:sz w:val="24"/>
          <w:szCs w:val="24"/>
        </w:rPr>
        <w:t xml:space="preserve">From </w:t>
      </w:r>
      <w:r w:rsidRPr="00040AB6">
        <w:rPr>
          <w:rFonts w:asciiTheme="minorHAnsi" w:hAnsiTheme="minorHAnsi"/>
          <w:sz w:val="24"/>
          <w:szCs w:val="24"/>
        </w:rPr>
        <w:t>th</w:t>
      </w:r>
      <w:r w:rsidR="00FE0DD2" w:rsidRPr="00040AB6">
        <w:rPr>
          <w:rFonts w:asciiTheme="minorHAnsi" w:hAnsiTheme="minorHAnsi"/>
          <w:sz w:val="24"/>
          <w:szCs w:val="24"/>
        </w:rPr>
        <w:t>e impact evaluation</w:t>
      </w:r>
      <w:r w:rsidRPr="00040AB6">
        <w:rPr>
          <w:rFonts w:asciiTheme="minorHAnsi" w:hAnsiTheme="minorHAnsi"/>
          <w:sz w:val="24"/>
          <w:szCs w:val="24"/>
        </w:rPr>
        <w:t>, the</w:t>
      </w:r>
      <w:r w:rsidR="000A1DFE" w:rsidRPr="00040AB6">
        <w:rPr>
          <w:rFonts w:asciiTheme="minorHAnsi" w:hAnsiTheme="minorHAnsi"/>
          <w:sz w:val="24"/>
          <w:szCs w:val="24"/>
        </w:rPr>
        <w:t xml:space="preserve"> Energy Trust is </w:t>
      </w:r>
      <w:r w:rsidRPr="00040AB6">
        <w:rPr>
          <w:rFonts w:asciiTheme="minorHAnsi" w:hAnsiTheme="minorHAnsi"/>
          <w:sz w:val="24"/>
          <w:szCs w:val="24"/>
        </w:rPr>
        <w:t xml:space="preserve">able to determine if average savings are consistent with deemed savings.  If they are not, the deemed savings are “trued-up” </w:t>
      </w:r>
      <w:r w:rsidR="000A1DFE" w:rsidRPr="00040AB6">
        <w:rPr>
          <w:rFonts w:asciiTheme="minorHAnsi" w:hAnsiTheme="minorHAnsi"/>
          <w:sz w:val="24"/>
          <w:szCs w:val="24"/>
        </w:rPr>
        <w:t xml:space="preserve">once annually </w:t>
      </w:r>
      <w:r w:rsidRPr="00040AB6">
        <w:rPr>
          <w:rFonts w:asciiTheme="minorHAnsi" w:hAnsiTheme="minorHAnsi"/>
          <w:sz w:val="24"/>
          <w:szCs w:val="24"/>
        </w:rPr>
        <w:t xml:space="preserve">to reflect the findings.  </w:t>
      </w:r>
      <w:r w:rsidR="000A1DFE" w:rsidRPr="00040AB6">
        <w:rPr>
          <w:rFonts w:asciiTheme="minorHAnsi" w:hAnsiTheme="minorHAnsi"/>
          <w:sz w:val="24"/>
          <w:szCs w:val="24"/>
        </w:rPr>
        <w:t xml:space="preserve">A link to the annual true up report as well as </w:t>
      </w:r>
      <w:r w:rsidR="00FE0DD2" w:rsidRPr="00040AB6">
        <w:rPr>
          <w:rFonts w:asciiTheme="minorHAnsi" w:hAnsiTheme="minorHAnsi"/>
          <w:sz w:val="24"/>
          <w:szCs w:val="24"/>
        </w:rPr>
        <w:t xml:space="preserve">a short summary of the results </w:t>
      </w:r>
      <w:r w:rsidR="000A1DFE" w:rsidRPr="00040AB6">
        <w:rPr>
          <w:rFonts w:asciiTheme="minorHAnsi" w:hAnsiTheme="minorHAnsi"/>
          <w:sz w:val="24"/>
          <w:szCs w:val="24"/>
        </w:rPr>
        <w:t>will be provided in the quarterly report following the report’s release.</w:t>
      </w:r>
      <w:r w:rsidR="000A1DFE" w:rsidRPr="00040AB6">
        <w:rPr>
          <w:rFonts w:asciiTheme="minorHAnsi" w:hAnsiTheme="minorHAnsi" w:cs="Calibri"/>
          <w:sz w:val="24"/>
          <w:szCs w:val="24"/>
        </w:rPr>
        <w:t xml:space="preserve"> </w:t>
      </w:r>
    </w:p>
    <w:p w14:paraId="30E97F4D" w14:textId="43521D74" w:rsidR="00040AB6" w:rsidRPr="00040AB6" w:rsidRDefault="00040AB6">
      <w:pPr>
        <w:spacing w:after="0" w:line="240" w:lineRule="auto"/>
        <w:rPr>
          <w:rFonts w:asciiTheme="minorHAnsi" w:hAnsiTheme="minorHAnsi" w:cs="Calibri"/>
          <w:sz w:val="24"/>
          <w:szCs w:val="24"/>
        </w:rPr>
      </w:pPr>
      <w:r w:rsidRPr="00040AB6">
        <w:rPr>
          <w:rFonts w:asciiTheme="minorHAnsi" w:hAnsiTheme="minorHAnsi" w:cs="Calibri"/>
          <w:sz w:val="24"/>
          <w:szCs w:val="24"/>
        </w:rPr>
        <w:br w:type="page"/>
      </w:r>
    </w:p>
    <w:p w14:paraId="4040C607" w14:textId="77777777" w:rsidR="00106C2C" w:rsidRPr="00040AB6" w:rsidRDefault="00106C2C" w:rsidP="00C54531">
      <w:pPr>
        <w:spacing w:after="0" w:line="240" w:lineRule="auto"/>
        <w:rPr>
          <w:rFonts w:asciiTheme="minorHAnsi" w:hAnsiTheme="minorHAnsi" w:cs="Calibri"/>
          <w:sz w:val="24"/>
          <w:szCs w:val="24"/>
        </w:rPr>
      </w:pPr>
    </w:p>
    <w:p w14:paraId="3BAFFBC1" w14:textId="77777777" w:rsidR="00357665" w:rsidRPr="00040AB6" w:rsidRDefault="00357665" w:rsidP="00C54531">
      <w:pPr>
        <w:pStyle w:val="ListParagraph"/>
        <w:spacing w:after="0" w:line="240" w:lineRule="auto"/>
        <w:rPr>
          <w:rFonts w:asciiTheme="minorHAnsi" w:hAnsiTheme="minorHAnsi" w:cs="Calibri"/>
          <w:sz w:val="24"/>
          <w:szCs w:val="24"/>
          <w:u w:val="single"/>
        </w:rPr>
      </w:pPr>
      <w:r w:rsidRPr="00040AB6">
        <w:rPr>
          <w:rFonts w:asciiTheme="minorHAnsi" w:hAnsiTheme="minorHAnsi" w:cs="Calibri"/>
          <w:sz w:val="24"/>
          <w:szCs w:val="24"/>
          <w:u w:val="single"/>
        </w:rPr>
        <w:t>Process Evaluations</w:t>
      </w:r>
    </w:p>
    <w:p w14:paraId="6959F656" w14:textId="77777777" w:rsidR="00357665" w:rsidRPr="00040AB6" w:rsidRDefault="00357665" w:rsidP="00C54531">
      <w:pPr>
        <w:tabs>
          <w:tab w:val="center" w:pos="720"/>
        </w:tabs>
        <w:spacing w:after="0" w:line="240" w:lineRule="auto"/>
        <w:ind w:left="720"/>
        <w:rPr>
          <w:rFonts w:asciiTheme="minorHAnsi" w:hAnsiTheme="minorHAnsi"/>
          <w:sz w:val="24"/>
          <w:szCs w:val="24"/>
        </w:rPr>
      </w:pPr>
      <w:r w:rsidRPr="00040AB6">
        <w:rPr>
          <w:rFonts w:asciiTheme="minorHAnsi" w:hAnsiTheme="minorHAnsi"/>
          <w:sz w:val="24"/>
          <w:szCs w:val="24"/>
        </w:rPr>
        <w:t xml:space="preserve">Besides impact evaluations, the Energy Trust </w:t>
      </w:r>
      <w:r w:rsidR="0061226F" w:rsidRPr="00040AB6">
        <w:rPr>
          <w:rFonts w:asciiTheme="minorHAnsi" w:hAnsiTheme="minorHAnsi"/>
          <w:sz w:val="24"/>
          <w:szCs w:val="24"/>
        </w:rPr>
        <w:t xml:space="preserve">contracts with </w:t>
      </w:r>
      <w:r w:rsidRPr="00040AB6">
        <w:rPr>
          <w:rFonts w:asciiTheme="minorHAnsi" w:hAnsiTheme="minorHAnsi"/>
          <w:sz w:val="24"/>
          <w:szCs w:val="24"/>
        </w:rPr>
        <w:t>a third party to perform a process evaluation on all general energy efficiency programs offered</w:t>
      </w:r>
      <w:r w:rsidR="0061226F" w:rsidRPr="00040AB6">
        <w:rPr>
          <w:rFonts w:asciiTheme="minorHAnsi" w:hAnsiTheme="minorHAnsi"/>
          <w:sz w:val="24"/>
          <w:szCs w:val="24"/>
        </w:rPr>
        <w:t>, typically on an annual basis</w:t>
      </w:r>
      <w:r w:rsidRPr="00040AB6">
        <w:rPr>
          <w:rFonts w:asciiTheme="minorHAnsi" w:hAnsiTheme="minorHAnsi"/>
          <w:sz w:val="24"/>
          <w:szCs w:val="24"/>
        </w:rPr>
        <w:t xml:space="preserve">.  The third party studies and reports on the processes employed for each program.  Study results are available on the Energy Trust’s website:  </w:t>
      </w:r>
      <w:r w:rsidR="006E130D" w:rsidRPr="00040AB6">
        <w:rPr>
          <w:rFonts w:asciiTheme="minorHAnsi" w:hAnsiTheme="minorHAnsi"/>
          <w:sz w:val="24"/>
          <w:szCs w:val="24"/>
        </w:rPr>
        <w:t>www.energytrust.org</w:t>
      </w:r>
      <w:r w:rsidRPr="00040AB6">
        <w:rPr>
          <w:rFonts w:asciiTheme="minorHAnsi" w:hAnsiTheme="minorHAnsi"/>
          <w:sz w:val="24"/>
          <w:szCs w:val="24"/>
        </w:rPr>
        <w:t>.</w:t>
      </w:r>
      <w:r w:rsidR="000A1DFE" w:rsidRPr="00040AB6">
        <w:rPr>
          <w:rFonts w:asciiTheme="minorHAnsi" w:hAnsiTheme="minorHAnsi"/>
          <w:sz w:val="24"/>
          <w:szCs w:val="24"/>
        </w:rPr>
        <w:t xml:space="preserve">  A link to the annual process evaluation as well as </w:t>
      </w:r>
      <w:r w:rsidR="00FE0DD2" w:rsidRPr="00040AB6">
        <w:rPr>
          <w:rFonts w:asciiTheme="minorHAnsi" w:hAnsiTheme="minorHAnsi"/>
          <w:sz w:val="24"/>
          <w:szCs w:val="24"/>
        </w:rPr>
        <w:t>a short summary of the results</w:t>
      </w:r>
      <w:r w:rsidR="000A1DFE" w:rsidRPr="00040AB6">
        <w:rPr>
          <w:rFonts w:asciiTheme="minorHAnsi" w:hAnsiTheme="minorHAnsi"/>
          <w:sz w:val="24"/>
          <w:szCs w:val="24"/>
        </w:rPr>
        <w:t xml:space="preserve"> will be provided in the quarterly report following the report’s release. </w:t>
      </w:r>
    </w:p>
    <w:p w14:paraId="021C033E" w14:textId="77777777" w:rsidR="005A39B1" w:rsidRPr="00040AB6" w:rsidRDefault="005A39B1" w:rsidP="005A39B1">
      <w:pPr>
        <w:tabs>
          <w:tab w:val="center" w:pos="720"/>
        </w:tabs>
        <w:spacing w:after="0" w:line="240" w:lineRule="auto"/>
        <w:ind w:left="720"/>
        <w:rPr>
          <w:rFonts w:asciiTheme="minorHAnsi" w:hAnsiTheme="minorHAnsi" w:cs="Calibri"/>
          <w:sz w:val="24"/>
          <w:szCs w:val="24"/>
        </w:rPr>
      </w:pPr>
    </w:p>
    <w:p w14:paraId="3B4C33E2" w14:textId="77777777" w:rsidR="00357665" w:rsidRPr="00040AB6" w:rsidRDefault="00357665" w:rsidP="005A39B1">
      <w:pPr>
        <w:pStyle w:val="ListParagraph"/>
        <w:numPr>
          <w:ilvl w:val="0"/>
          <w:numId w:val="17"/>
        </w:numPr>
        <w:tabs>
          <w:tab w:val="left" w:pos="720"/>
        </w:tabs>
        <w:spacing w:after="0" w:line="240" w:lineRule="auto"/>
        <w:ind w:hanging="1260"/>
        <w:rPr>
          <w:rFonts w:asciiTheme="minorHAnsi" w:hAnsiTheme="minorHAnsi"/>
          <w:sz w:val="32"/>
          <w:szCs w:val="32"/>
        </w:rPr>
      </w:pPr>
      <w:r w:rsidRPr="00040AB6">
        <w:rPr>
          <w:rFonts w:asciiTheme="minorHAnsi" w:hAnsiTheme="minorHAnsi"/>
          <w:sz w:val="32"/>
          <w:szCs w:val="32"/>
        </w:rPr>
        <w:t>Process for Program Changes</w:t>
      </w:r>
    </w:p>
    <w:p w14:paraId="756F3B7E" w14:textId="77777777" w:rsidR="00357665" w:rsidRPr="00040AB6" w:rsidRDefault="00357665" w:rsidP="00E5636B">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NW Natural will file to revise </w:t>
      </w:r>
      <w:r w:rsidR="00676821" w:rsidRPr="00040AB6">
        <w:rPr>
          <w:rFonts w:asciiTheme="minorHAnsi" w:hAnsiTheme="minorHAnsi"/>
          <w:sz w:val="24"/>
          <w:szCs w:val="24"/>
        </w:rPr>
        <w:t>Appendix A of its Energy Efficiency Plan</w:t>
      </w:r>
      <w:r w:rsidRPr="00040AB6">
        <w:rPr>
          <w:rFonts w:asciiTheme="minorHAnsi" w:hAnsiTheme="minorHAnsi"/>
          <w:sz w:val="24"/>
          <w:szCs w:val="24"/>
        </w:rPr>
        <w:t xml:space="preserve"> when it plans to add, change</w:t>
      </w:r>
      <w:r w:rsidR="00FE0DD2" w:rsidRPr="00040AB6">
        <w:rPr>
          <w:rFonts w:asciiTheme="minorHAnsi" w:hAnsiTheme="minorHAnsi"/>
          <w:sz w:val="24"/>
          <w:szCs w:val="24"/>
        </w:rPr>
        <w:t>,</w:t>
      </w:r>
      <w:r w:rsidRPr="00040AB6">
        <w:rPr>
          <w:rFonts w:asciiTheme="minorHAnsi" w:hAnsiTheme="minorHAnsi"/>
          <w:sz w:val="24"/>
          <w:szCs w:val="24"/>
        </w:rPr>
        <w:t xml:space="preserve"> or remove a long- term incentive offering.  </w:t>
      </w:r>
      <w:r w:rsidR="00676821" w:rsidRPr="00040AB6">
        <w:rPr>
          <w:rFonts w:asciiTheme="minorHAnsi" w:hAnsiTheme="minorHAnsi"/>
          <w:sz w:val="24"/>
          <w:szCs w:val="24"/>
        </w:rPr>
        <w:t xml:space="preserve">Every year the Company will consider if </w:t>
      </w:r>
      <w:r w:rsidRPr="00040AB6">
        <w:rPr>
          <w:rFonts w:asciiTheme="minorHAnsi" w:hAnsiTheme="minorHAnsi"/>
          <w:sz w:val="24"/>
          <w:szCs w:val="24"/>
        </w:rPr>
        <w:t xml:space="preserve">program year changes are </w:t>
      </w:r>
      <w:r w:rsidR="00676821" w:rsidRPr="00040AB6">
        <w:rPr>
          <w:rFonts w:asciiTheme="minorHAnsi" w:hAnsiTheme="minorHAnsi"/>
          <w:sz w:val="24"/>
          <w:szCs w:val="24"/>
        </w:rPr>
        <w:t>needed.  If they are</w:t>
      </w:r>
      <w:r w:rsidRPr="00040AB6">
        <w:rPr>
          <w:rFonts w:asciiTheme="minorHAnsi" w:hAnsiTheme="minorHAnsi"/>
          <w:sz w:val="24"/>
          <w:szCs w:val="24"/>
        </w:rPr>
        <w:t>, the Company will</w:t>
      </w:r>
      <w:r w:rsidR="00676821" w:rsidRPr="00040AB6">
        <w:rPr>
          <w:rFonts w:asciiTheme="minorHAnsi" w:hAnsiTheme="minorHAnsi"/>
          <w:sz w:val="24"/>
          <w:szCs w:val="24"/>
        </w:rPr>
        <w:t xml:space="preserve"> revise its EE Plan</w:t>
      </w:r>
      <w:r w:rsidRPr="00040AB6">
        <w:rPr>
          <w:rFonts w:asciiTheme="minorHAnsi" w:hAnsiTheme="minorHAnsi"/>
          <w:sz w:val="24"/>
          <w:szCs w:val="24"/>
        </w:rPr>
        <w:t xml:space="preserve"> to make requested program modifications when it makes its annual advice filing, submitted no later than December 1, to revise the performance metrics</w:t>
      </w:r>
      <w:r w:rsidR="00676821" w:rsidRPr="00040AB6">
        <w:rPr>
          <w:rFonts w:asciiTheme="minorHAnsi" w:hAnsiTheme="minorHAnsi"/>
          <w:sz w:val="24"/>
          <w:szCs w:val="24"/>
        </w:rPr>
        <w:t xml:space="preserve"> and budget that are also</w:t>
      </w:r>
      <w:r w:rsidRPr="00040AB6">
        <w:rPr>
          <w:rFonts w:asciiTheme="minorHAnsi" w:hAnsiTheme="minorHAnsi"/>
          <w:sz w:val="24"/>
          <w:szCs w:val="24"/>
        </w:rPr>
        <w:t xml:space="preserve"> included in the Plan.  This does not preclude the Company from filing to revise Schedule G or its EE Plan at any time during the year.  Advice filings revising or adding measures will include:</w:t>
      </w:r>
    </w:p>
    <w:p w14:paraId="474A3B2C" w14:textId="77777777" w:rsidR="00357665" w:rsidRPr="00040AB6" w:rsidRDefault="00357665" w:rsidP="00E5636B">
      <w:pPr>
        <w:pStyle w:val="ListParagraph"/>
        <w:spacing w:after="0" w:line="240" w:lineRule="auto"/>
        <w:rPr>
          <w:rFonts w:asciiTheme="minorHAnsi" w:hAnsiTheme="minorHAnsi"/>
          <w:sz w:val="24"/>
          <w:szCs w:val="24"/>
        </w:rPr>
      </w:pPr>
    </w:p>
    <w:p w14:paraId="05CCDE21" w14:textId="77777777" w:rsidR="00357665" w:rsidRPr="00040AB6" w:rsidRDefault="00357665" w:rsidP="002B3884">
      <w:pPr>
        <w:pStyle w:val="ListParagraph"/>
        <w:numPr>
          <w:ilvl w:val="0"/>
          <w:numId w:val="12"/>
        </w:numPr>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 xml:space="preserve">A benefit cost ratio (“BCR”) calculator demonstrating the measure’s life, measure cost, the quantifiable non-energy benefits, the utility system benefits and the societal BCR; and </w:t>
      </w:r>
    </w:p>
    <w:p w14:paraId="1F7254FB" w14:textId="77777777" w:rsidR="00676821" w:rsidRPr="00040AB6" w:rsidRDefault="00676821" w:rsidP="002B3884">
      <w:pPr>
        <w:pStyle w:val="ListParagraph"/>
        <w:tabs>
          <w:tab w:val="left" w:pos="2160"/>
        </w:tabs>
        <w:spacing w:after="0" w:line="240" w:lineRule="auto"/>
        <w:ind w:left="1800"/>
        <w:rPr>
          <w:rFonts w:asciiTheme="minorHAnsi" w:hAnsiTheme="minorHAnsi"/>
          <w:sz w:val="24"/>
          <w:szCs w:val="24"/>
        </w:rPr>
      </w:pPr>
    </w:p>
    <w:p w14:paraId="0032F57B" w14:textId="77777777" w:rsidR="00357665" w:rsidRPr="00040AB6" w:rsidRDefault="000E1BC9" w:rsidP="004D1E3F">
      <w:pPr>
        <w:pStyle w:val="ListParagraph"/>
        <w:numPr>
          <w:ilvl w:val="0"/>
          <w:numId w:val="12"/>
        </w:numPr>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For new measures, a</w:t>
      </w:r>
      <w:r w:rsidR="00357665" w:rsidRPr="00040AB6">
        <w:rPr>
          <w:rFonts w:asciiTheme="minorHAnsi" w:hAnsiTheme="minorHAnsi"/>
          <w:sz w:val="24"/>
          <w:szCs w:val="24"/>
        </w:rPr>
        <w:t xml:space="preserve"> blessing memo which refers to an in-house Energy Trust document that summarizes the vetting of a measure before it is introduced as a program offering.  The EEAG will be given the opportunity to review all tariff filings before they are filed.  The Company will generally give the EEAG ten business days to review a draft filing.  The EEAG’s review process will not be less than five business days.  </w:t>
      </w:r>
    </w:p>
    <w:p w14:paraId="3E00306C" w14:textId="77777777" w:rsidR="00676821" w:rsidRPr="00040AB6" w:rsidRDefault="00676821" w:rsidP="002B3884">
      <w:pPr>
        <w:pStyle w:val="ListParagraph"/>
        <w:tabs>
          <w:tab w:val="left" w:pos="2160"/>
        </w:tabs>
        <w:spacing w:after="0" w:line="240" w:lineRule="auto"/>
        <w:ind w:left="1800"/>
        <w:rPr>
          <w:rFonts w:asciiTheme="minorHAnsi" w:hAnsiTheme="minorHAnsi"/>
          <w:sz w:val="24"/>
          <w:szCs w:val="24"/>
        </w:rPr>
      </w:pPr>
    </w:p>
    <w:p w14:paraId="284E76AE" w14:textId="77777777" w:rsidR="00357665" w:rsidRPr="00040AB6" w:rsidRDefault="00357665" w:rsidP="00676821">
      <w:pPr>
        <w:pStyle w:val="ListParagraph"/>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3)</w:t>
      </w:r>
      <w:r w:rsidR="00676821" w:rsidRPr="00040AB6">
        <w:rPr>
          <w:rFonts w:asciiTheme="minorHAnsi" w:hAnsiTheme="minorHAnsi"/>
          <w:sz w:val="24"/>
          <w:szCs w:val="24"/>
        </w:rPr>
        <w:tab/>
      </w:r>
      <w:r w:rsidRPr="00040AB6">
        <w:rPr>
          <w:rFonts w:asciiTheme="minorHAnsi" w:hAnsiTheme="minorHAnsi"/>
          <w:sz w:val="24"/>
          <w:szCs w:val="24"/>
        </w:rPr>
        <w:t>New programs</w:t>
      </w:r>
      <w:r w:rsidR="00FE0DD2" w:rsidRPr="00040AB6">
        <w:rPr>
          <w:rFonts w:asciiTheme="minorHAnsi" w:hAnsiTheme="minorHAnsi"/>
          <w:sz w:val="24"/>
          <w:szCs w:val="24"/>
        </w:rPr>
        <w:t xml:space="preserve"> proposed mid-cycle</w:t>
      </w:r>
      <w:r w:rsidRPr="00040AB6">
        <w:rPr>
          <w:rFonts w:asciiTheme="minorHAnsi" w:hAnsiTheme="minorHAnsi"/>
          <w:sz w:val="24"/>
          <w:szCs w:val="24"/>
        </w:rPr>
        <w:t xml:space="preserve"> will include a program-specific plan addressing the possible need for program-specific metrics.</w:t>
      </w:r>
    </w:p>
    <w:p w14:paraId="652BB219" w14:textId="77777777" w:rsidR="00357665" w:rsidRPr="00040AB6" w:rsidRDefault="00357665" w:rsidP="00BE4A87">
      <w:pPr>
        <w:pStyle w:val="ListParagraph"/>
        <w:spacing w:after="0" w:line="240" w:lineRule="auto"/>
        <w:ind w:left="1440"/>
        <w:rPr>
          <w:rFonts w:asciiTheme="minorHAnsi" w:hAnsiTheme="minorHAnsi"/>
          <w:sz w:val="24"/>
          <w:szCs w:val="24"/>
        </w:rPr>
      </w:pPr>
    </w:p>
    <w:p w14:paraId="585C4E75" w14:textId="77777777" w:rsidR="00357665" w:rsidRPr="00040AB6" w:rsidRDefault="00FE0DD2" w:rsidP="00FE0DD2">
      <w:pPr>
        <w:spacing w:after="0" w:line="240" w:lineRule="auto"/>
        <w:ind w:left="720"/>
        <w:rPr>
          <w:rFonts w:asciiTheme="minorHAnsi" w:hAnsiTheme="minorHAnsi"/>
          <w:sz w:val="24"/>
          <w:szCs w:val="24"/>
        </w:rPr>
      </w:pPr>
      <w:r w:rsidRPr="00040AB6">
        <w:rPr>
          <w:rFonts w:asciiTheme="minorHAnsi" w:hAnsiTheme="minorHAnsi"/>
          <w:sz w:val="24"/>
          <w:szCs w:val="24"/>
        </w:rPr>
        <w:t>Please note that not all a</w:t>
      </w:r>
      <w:r w:rsidR="00357665" w:rsidRPr="00040AB6">
        <w:rPr>
          <w:rFonts w:asciiTheme="minorHAnsi" w:hAnsiTheme="minorHAnsi"/>
          <w:sz w:val="24"/>
          <w:szCs w:val="24"/>
        </w:rPr>
        <w:t xml:space="preserve">dvice </w:t>
      </w:r>
      <w:r w:rsidRPr="00040AB6">
        <w:rPr>
          <w:rFonts w:asciiTheme="minorHAnsi" w:hAnsiTheme="minorHAnsi"/>
          <w:sz w:val="24"/>
          <w:szCs w:val="24"/>
        </w:rPr>
        <w:t>f</w:t>
      </w:r>
      <w:r w:rsidR="00357665" w:rsidRPr="00040AB6">
        <w:rPr>
          <w:rFonts w:asciiTheme="minorHAnsi" w:hAnsiTheme="minorHAnsi"/>
          <w:sz w:val="24"/>
          <w:szCs w:val="24"/>
        </w:rPr>
        <w:t xml:space="preserve">ilings must include the EE Plan.  The EE Plan will only be included when it is being revised. </w:t>
      </w:r>
    </w:p>
    <w:p w14:paraId="683AD57D" w14:textId="77777777" w:rsidR="00357665" w:rsidRPr="00040AB6" w:rsidRDefault="00357665" w:rsidP="00E5636B">
      <w:pPr>
        <w:pStyle w:val="ListParagraph"/>
        <w:spacing w:after="0" w:line="240" w:lineRule="auto"/>
        <w:rPr>
          <w:rFonts w:asciiTheme="minorHAnsi" w:hAnsiTheme="minorHAnsi"/>
          <w:sz w:val="24"/>
          <w:szCs w:val="24"/>
        </w:rPr>
      </w:pPr>
    </w:p>
    <w:p w14:paraId="341D0755" w14:textId="77777777" w:rsidR="00357665" w:rsidRPr="00040AB6" w:rsidRDefault="00357665" w:rsidP="00BC0AB3">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The Company will work to resolve issues with EEAG members before filing.  If the EEAG cannot completely recommend approval of a filing, the Company may still choose to make the filing with the WUTC with the understanding that EEAG members may intervene in that public proceeding.  </w:t>
      </w:r>
    </w:p>
    <w:p w14:paraId="58AF296F" w14:textId="08C570DD" w:rsidR="00106C2C" w:rsidRPr="00040AB6" w:rsidRDefault="00106C2C">
      <w:pPr>
        <w:spacing w:after="0" w:line="240" w:lineRule="auto"/>
        <w:rPr>
          <w:rFonts w:asciiTheme="minorHAnsi" w:hAnsiTheme="minorHAnsi"/>
          <w:sz w:val="24"/>
          <w:szCs w:val="24"/>
        </w:rPr>
      </w:pPr>
      <w:r w:rsidRPr="00040AB6">
        <w:rPr>
          <w:rFonts w:asciiTheme="minorHAnsi" w:hAnsiTheme="minorHAnsi"/>
          <w:sz w:val="24"/>
          <w:szCs w:val="24"/>
        </w:rPr>
        <w:br w:type="page"/>
      </w:r>
    </w:p>
    <w:p w14:paraId="52D57432" w14:textId="77777777" w:rsidR="00357665" w:rsidRPr="00040AB6" w:rsidRDefault="00357665" w:rsidP="005A39B1">
      <w:pPr>
        <w:pStyle w:val="ListParagraph"/>
        <w:numPr>
          <w:ilvl w:val="0"/>
          <w:numId w:val="17"/>
        </w:numPr>
        <w:spacing w:after="0" w:line="240" w:lineRule="auto"/>
        <w:ind w:left="720"/>
        <w:rPr>
          <w:rFonts w:asciiTheme="minorHAnsi" w:hAnsiTheme="minorHAnsi"/>
          <w:sz w:val="32"/>
          <w:szCs w:val="32"/>
        </w:rPr>
      </w:pPr>
      <w:r w:rsidRPr="00040AB6">
        <w:rPr>
          <w:rFonts w:asciiTheme="minorHAnsi" w:hAnsiTheme="minorHAnsi"/>
          <w:sz w:val="32"/>
          <w:szCs w:val="32"/>
        </w:rPr>
        <w:t>Annual Schedule for Program Planning</w:t>
      </w:r>
    </w:p>
    <w:p w14:paraId="61D77914" w14:textId="77777777" w:rsidR="00357665" w:rsidRPr="00040AB6" w:rsidRDefault="00357665" w:rsidP="001F07EE">
      <w:pPr>
        <w:pStyle w:val="ListParagraph"/>
        <w:spacing w:after="0" w:line="240" w:lineRule="auto"/>
        <w:rPr>
          <w:rFonts w:asciiTheme="minorHAnsi" w:hAnsiTheme="minorHAnsi"/>
          <w:sz w:val="24"/>
          <w:szCs w:val="24"/>
        </w:rPr>
      </w:pPr>
      <w:r w:rsidRPr="00040AB6">
        <w:rPr>
          <w:rFonts w:asciiTheme="minorHAnsi" w:hAnsiTheme="minorHAnsi"/>
          <w:sz w:val="24"/>
          <w:szCs w:val="24"/>
        </w:rPr>
        <w:t>By November 15 of each year, the Company will provide the EEAG with the following proposals for the next program year, which will subsequently be filed with the WUTC in a new docket that will contain all the required reporting for the calendar year, including a link to the Purchased Gas Adjustment (PGA) filing wherein program costs are recovered:</w:t>
      </w:r>
    </w:p>
    <w:p w14:paraId="224CE915" w14:textId="77777777" w:rsidR="00357665" w:rsidRPr="00040AB6" w:rsidRDefault="00357665" w:rsidP="001F07EE">
      <w:pPr>
        <w:pStyle w:val="ListParagraph"/>
        <w:spacing w:after="0" w:line="240" w:lineRule="auto"/>
        <w:ind w:left="1440"/>
        <w:rPr>
          <w:rFonts w:asciiTheme="minorHAnsi" w:hAnsiTheme="minorHAnsi"/>
          <w:sz w:val="24"/>
          <w:szCs w:val="24"/>
          <w:u w:val="single"/>
        </w:rPr>
      </w:pPr>
    </w:p>
    <w:p w14:paraId="7B9684EB"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u w:val="single"/>
        </w:rPr>
        <w:t>Budget</w:t>
      </w:r>
    </w:p>
    <w:p w14:paraId="587637B6"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The Company will provide a total estimated program budget for the next calendar year.  The budget will present expected expenditures by program and customer class. </w:t>
      </w:r>
    </w:p>
    <w:p w14:paraId="4A442333"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33072C73" w14:textId="77777777" w:rsidR="00357665" w:rsidRPr="00040AB6" w:rsidRDefault="00357665" w:rsidP="004873B8">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Please note that this budget forecast will be based on the best information available at the time.  As the year progresses, budgeted dollars may be reallocated among various programs or new offerings that are approved by the WUTC.  </w:t>
      </w:r>
    </w:p>
    <w:p w14:paraId="35411836" w14:textId="77777777" w:rsidR="00357665" w:rsidRPr="00040AB6" w:rsidRDefault="00357665" w:rsidP="004873B8">
      <w:pPr>
        <w:spacing w:after="0" w:line="240" w:lineRule="auto"/>
        <w:rPr>
          <w:rFonts w:asciiTheme="minorHAnsi" w:hAnsiTheme="minorHAnsi"/>
          <w:sz w:val="24"/>
          <w:szCs w:val="24"/>
        </w:rPr>
      </w:pPr>
    </w:p>
    <w:p w14:paraId="1D4AA0B1" w14:textId="77777777" w:rsidR="00357665" w:rsidRPr="00040AB6" w:rsidRDefault="00357665" w:rsidP="004873B8">
      <w:pPr>
        <w:pStyle w:val="ListParagraph"/>
        <w:spacing w:after="0" w:line="240" w:lineRule="auto"/>
        <w:ind w:left="1440"/>
        <w:rPr>
          <w:rFonts w:asciiTheme="minorHAnsi" w:hAnsiTheme="minorHAnsi"/>
          <w:sz w:val="24"/>
          <w:szCs w:val="24"/>
          <w:u w:val="single"/>
        </w:rPr>
      </w:pPr>
      <w:r w:rsidRPr="00040AB6">
        <w:rPr>
          <w:rFonts w:asciiTheme="minorHAnsi" w:hAnsiTheme="minorHAnsi"/>
          <w:sz w:val="24"/>
          <w:szCs w:val="24"/>
          <w:u w:val="single"/>
        </w:rPr>
        <w:t>Funding Schedule</w:t>
      </w:r>
    </w:p>
    <w:p w14:paraId="53036E4E"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A funding schedule is a contractually-agreed-to timeline between NW Natural and Energy Trust wherewith NW Natural will provide Energy Trust the necessary money for program administration and delivery.  The amounts dispersed to the Energy Trust in one year are the sum of all funds needed for that program year determined by subtracting any unspent or uncommitted funds previously dispersed to the Energy Trust for the Washington program from the total forecasted budget.  </w:t>
      </w:r>
    </w:p>
    <w:p w14:paraId="45AB9588"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62944B29" w14:textId="77777777" w:rsidR="00357665" w:rsidRPr="00040AB6" w:rsidRDefault="00357665" w:rsidP="001F07EE">
      <w:pPr>
        <w:pStyle w:val="ListParagraph"/>
        <w:spacing w:after="0" w:line="240" w:lineRule="auto"/>
        <w:ind w:left="1440"/>
        <w:rPr>
          <w:rFonts w:asciiTheme="minorHAnsi" w:hAnsiTheme="minorHAnsi"/>
          <w:sz w:val="24"/>
          <w:szCs w:val="24"/>
          <w:u w:val="single"/>
        </w:rPr>
      </w:pPr>
      <w:r w:rsidRPr="00040AB6">
        <w:rPr>
          <w:rFonts w:asciiTheme="minorHAnsi" w:hAnsiTheme="minorHAnsi"/>
          <w:sz w:val="24"/>
          <w:szCs w:val="24"/>
          <w:u w:val="single"/>
        </w:rPr>
        <w:t>Metrics</w:t>
      </w:r>
    </w:p>
    <w:p w14:paraId="6E144C0B"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The Company will propose performance metrics that will address the following:</w:t>
      </w:r>
    </w:p>
    <w:p w14:paraId="1BB62E45"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3719D2AD"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Total program costs</w:t>
      </w:r>
    </w:p>
    <w:p w14:paraId="74B406DE"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 xml:space="preserve">Projected </w:t>
      </w:r>
      <w:proofErr w:type="spellStart"/>
      <w:r w:rsidRPr="00040AB6">
        <w:rPr>
          <w:rFonts w:asciiTheme="minorHAnsi" w:hAnsiTheme="minorHAnsi"/>
          <w:sz w:val="24"/>
          <w:szCs w:val="24"/>
        </w:rPr>
        <w:t>therm</w:t>
      </w:r>
      <w:proofErr w:type="spellEnd"/>
      <w:r w:rsidRPr="00040AB6">
        <w:rPr>
          <w:rFonts w:asciiTheme="minorHAnsi" w:hAnsiTheme="minorHAnsi"/>
          <w:sz w:val="24"/>
          <w:szCs w:val="24"/>
        </w:rPr>
        <w:t xml:space="preserve"> savings consistent with most recent IRP</w:t>
      </w:r>
    </w:p>
    <w:p w14:paraId="3978728D"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 xml:space="preserve">Average </w:t>
      </w:r>
      <w:proofErr w:type="spellStart"/>
      <w:r w:rsidRPr="00040AB6">
        <w:rPr>
          <w:rFonts w:asciiTheme="minorHAnsi" w:hAnsiTheme="minorHAnsi"/>
          <w:sz w:val="24"/>
          <w:szCs w:val="24"/>
        </w:rPr>
        <w:t>levelized</w:t>
      </w:r>
      <w:proofErr w:type="spellEnd"/>
      <w:r w:rsidRPr="00040AB6">
        <w:rPr>
          <w:rFonts w:asciiTheme="minorHAnsi" w:hAnsiTheme="minorHAnsi"/>
          <w:sz w:val="24"/>
          <w:szCs w:val="24"/>
        </w:rPr>
        <w:t xml:space="preserve"> cost for measures</w:t>
      </w:r>
    </w:p>
    <w:p w14:paraId="5CCF6775"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 xml:space="preserve">A ceiling for average cost per </w:t>
      </w:r>
      <w:proofErr w:type="spellStart"/>
      <w:r w:rsidRPr="00040AB6">
        <w:rPr>
          <w:rFonts w:asciiTheme="minorHAnsi" w:hAnsiTheme="minorHAnsi"/>
          <w:sz w:val="24"/>
          <w:szCs w:val="24"/>
        </w:rPr>
        <w:t>therm</w:t>
      </w:r>
      <w:proofErr w:type="spellEnd"/>
    </w:p>
    <w:p w14:paraId="1BC0E459"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Projected homes to be weatherized in the WA-LIEE program</w:t>
      </w:r>
    </w:p>
    <w:p w14:paraId="5204F2F0" w14:textId="77777777" w:rsidR="00357665" w:rsidRPr="00040AB6" w:rsidRDefault="00357665" w:rsidP="001F07EE">
      <w:pPr>
        <w:spacing w:after="0" w:line="240" w:lineRule="auto"/>
        <w:ind w:left="1440"/>
        <w:rPr>
          <w:rFonts w:asciiTheme="minorHAnsi" w:hAnsiTheme="minorHAnsi"/>
          <w:sz w:val="24"/>
          <w:szCs w:val="24"/>
        </w:rPr>
      </w:pPr>
    </w:p>
    <w:p w14:paraId="22E8BB67" w14:textId="3BA5E1AD" w:rsidR="00357665" w:rsidRPr="00040AB6" w:rsidRDefault="00357665" w:rsidP="001F07EE">
      <w:pPr>
        <w:spacing w:after="0" w:line="240" w:lineRule="auto"/>
        <w:ind w:left="1440"/>
        <w:rPr>
          <w:rFonts w:asciiTheme="minorHAnsi" w:hAnsiTheme="minorHAnsi"/>
          <w:sz w:val="24"/>
          <w:szCs w:val="24"/>
        </w:rPr>
      </w:pPr>
      <w:r w:rsidRPr="00040AB6">
        <w:rPr>
          <w:rFonts w:asciiTheme="minorHAnsi" w:hAnsiTheme="minorHAnsi"/>
          <w:sz w:val="24"/>
          <w:szCs w:val="24"/>
        </w:rPr>
        <w:t xml:space="preserve">The Company expects that Utility Cost (UC) at the portfolio level </w:t>
      </w:r>
      <w:proofErr w:type="spellStart"/>
      <w:r w:rsidRPr="00040AB6">
        <w:rPr>
          <w:rFonts w:asciiTheme="minorHAnsi" w:hAnsiTheme="minorHAnsi"/>
          <w:sz w:val="24"/>
          <w:szCs w:val="24"/>
        </w:rPr>
        <w:t>shouldbe</w:t>
      </w:r>
      <w:proofErr w:type="spellEnd"/>
      <w:r w:rsidRPr="00040AB6">
        <w:rPr>
          <w:rFonts w:asciiTheme="minorHAnsi" w:hAnsiTheme="minorHAnsi"/>
          <w:sz w:val="24"/>
          <w:szCs w:val="24"/>
        </w:rPr>
        <w:t xml:space="preserve"> greater than 1.0 and will report compliance to this on an annual basis.</w:t>
      </w:r>
      <w:r w:rsidR="00C54531" w:rsidRPr="00040AB6">
        <w:rPr>
          <w:rFonts w:asciiTheme="minorHAnsi" w:hAnsiTheme="minorHAnsi"/>
          <w:sz w:val="24"/>
          <w:szCs w:val="24"/>
        </w:rPr>
        <w:t xml:space="preserve"> The Company will also report on the portfolio TRC.</w:t>
      </w:r>
    </w:p>
    <w:p w14:paraId="556A2C91" w14:textId="77777777" w:rsidR="00357665" w:rsidRPr="00040AB6" w:rsidRDefault="00357665" w:rsidP="001F07EE">
      <w:pPr>
        <w:spacing w:after="0" w:line="240" w:lineRule="auto"/>
        <w:ind w:left="1440"/>
        <w:rPr>
          <w:rFonts w:asciiTheme="minorHAnsi" w:hAnsiTheme="minorHAnsi"/>
          <w:sz w:val="24"/>
          <w:szCs w:val="24"/>
        </w:rPr>
      </w:pPr>
    </w:p>
    <w:p w14:paraId="653CA1D2" w14:textId="77777777" w:rsidR="00357665" w:rsidRPr="00040AB6" w:rsidRDefault="00357665" w:rsidP="001F07EE">
      <w:pPr>
        <w:spacing w:after="0" w:line="240" w:lineRule="auto"/>
        <w:ind w:left="1440"/>
        <w:rPr>
          <w:rFonts w:asciiTheme="minorHAnsi" w:hAnsiTheme="minorHAnsi"/>
          <w:sz w:val="24"/>
          <w:szCs w:val="24"/>
        </w:rPr>
      </w:pPr>
      <w:r w:rsidRPr="00040AB6">
        <w:rPr>
          <w:rFonts w:asciiTheme="minorHAnsi" w:hAnsiTheme="minorHAnsi"/>
          <w:sz w:val="24"/>
          <w:szCs w:val="24"/>
        </w:rPr>
        <w:t xml:space="preserve">The Company will come to agreement with the EEAG on the next year’s budget and performance metrics before making a tariff filing with the WUTC to modify this plan so that it incorporates the next year’s projected costs and metrics accordingly.  This filing will be made annually not later than December 1 for a January 1 effective date. </w:t>
      </w:r>
    </w:p>
    <w:p w14:paraId="6218EBC0"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71190541"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Generally, milestones for the program year will be as follows:</w:t>
      </w:r>
    </w:p>
    <w:p w14:paraId="67EB8D04" w14:textId="77777777" w:rsidR="00357665" w:rsidRPr="00040AB6" w:rsidRDefault="00357665" w:rsidP="001F07EE">
      <w:pPr>
        <w:pStyle w:val="ListParagraph"/>
        <w:spacing w:after="0" w:line="240" w:lineRule="auto"/>
        <w:ind w:left="1440"/>
        <w:rPr>
          <w:rFonts w:asciiTheme="minorHAnsi" w:hAnsiTheme="minorHAnsi"/>
          <w:sz w:val="24"/>
          <w:szCs w:val="24"/>
          <w:u w:val="single"/>
        </w:rPr>
      </w:pPr>
    </w:p>
    <w:tbl>
      <w:tblPr>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353"/>
      </w:tblGrid>
      <w:tr w:rsidR="00357665" w:rsidRPr="00040AB6" w14:paraId="228FEE78" w14:textId="77777777" w:rsidTr="004873B8">
        <w:tc>
          <w:tcPr>
            <w:tcW w:w="9198" w:type="dxa"/>
            <w:gridSpan w:val="2"/>
          </w:tcPr>
          <w:p w14:paraId="528DBCC7" w14:textId="77777777" w:rsidR="00357665" w:rsidRPr="00040AB6" w:rsidRDefault="00357665" w:rsidP="004873B8">
            <w:pPr>
              <w:tabs>
                <w:tab w:val="left" w:pos="720"/>
              </w:tabs>
              <w:spacing w:after="0" w:line="240" w:lineRule="auto"/>
              <w:ind w:left="720"/>
              <w:rPr>
                <w:rFonts w:asciiTheme="minorHAnsi" w:hAnsiTheme="minorHAnsi"/>
                <w:sz w:val="24"/>
                <w:szCs w:val="24"/>
              </w:rPr>
            </w:pPr>
            <w:r w:rsidRPr="00040AB6">
              <w:rPr>
                <w:rFonts w:asciiTheme="minorHAnsi" w:hAnsiTheme="minorHAnsi"/>
                <w:sz w:val="24"/>
                <w:szCs w:val="24"/>
              </w:rPr>
              <w:t>Program Year Schedule</w:t>
            </w:r>
          </w:p>
        </w:tc>
      </w:tr>
      <w:tr w:rsidR="00357665" w:rsidRPr="00040AB6" w14:paraId="6F693A1B" w14:textId="77777777" w:rsidTr="004873B8">
        <w:tc>
          <w:tcPr>
            <w:tcW w:w="2845" w:type="dxa"/>
          </w:tcPr>
          <w:p w14:paraId="06BC32B6"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January 1</w:t>
            </w:r>
          </w:p>
        </w:tc>
        <w:tc>
          <w:tcPr>
            <w:tcW w:w="6353" w:type="dxa"/>
          </w:tcPr>
          <w:p w14:paraId="7CF21DAC"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Start of program year</w:t>
            </w:r>
          </w:p>
        </w:tc>
      </w:tr>
      <w:tr w:rsidR="00357665" w:rsidRPr="00040AB6" w14:paraId="3EFE9D35" w14:textId="77777777" w:rsidTr="004873B8">
        <w:tc>
          <w:tcPr>
            <w:tcW w:w="2845" w:type="dxa"/>
          </w:tcPr>
          <w:p w14:paraId="32E709EE"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April 25</w:t>
            </w:r>
          </w:p>
        </w:tc>
        <w:tc>
          <w:tcPr>
            <w:tcW w:w="6353" w:type="dxa"/>
          </w:tcPr>
          <w:p w14:paraId="6474CD7E" w14:textId="77777777" w:rsidR="00357665" w:rsidRPr="00040AB6" w:rsidRDefault="00357665" w:rsidP="00500691">
            <w:pPr>
              <w:tabs>
                <w:tab w:val="left" w:pos="492"/>
              </w:tabs>
              <w:spacing w:after="0" w:line="240" w:lineRule="auto"/>
              <w:ind w:left="12"/>
              <w:rPr>
                <w:rFonts w:asciiTheme="minorHAnsi" w:hAnsiTheme="minorHAnsi"/>
                <w:sz w:val="24"/>
                <w:szCs w:val="24"/>
              </w:rPr>
            </w:pPr>
            <w:r w:rsidRPr="00040AB6">
              <w:rPr>
                <w:rFonts w:asciiTheme="minorHAnsi" w:hAnsiTheme="minorHAnsi"/>
                <w:sz w:val="24"/>
                <w:szCs w:val="24"/>
              </w:rPr>
              <w:t>Annual report for previous program year</w:t>
            </w:r>
            <w:r w:rsidR="006C5306" w:rsidRPr="00040AB6">
              <w:rPr>
                <w:rFonts w:asciiTheme="minorHAnsi" w:hAnsiTheme="minorHAnsi"/>
                <w:sz w:val="24"/>
                <w:szCs w:val="24"/>
              </w:rPr>
              <w:t xml:space="preserve"> is filed.</w:t>
            </w:r>
          </w:p>
          <w:p w14:paraId="6FFC5966" w14:textId="77777777" w:rsidR="00357665" w:rsidRPr="00040AB6" w:rsidRDefault="00357665" w:rsidP="00FE0DD2">
            <w:pPr>
              <w:tabs>
                <w:tab w:val="left" w:pos="492"/>
                <w:tab w:val="left" w:pos="1680"/>
              </w:tabs>
              <w:spacing w:after="0" w:line="240" w:lineRule="auto"/>
              <w:ind w:left="12"/>
              <w:rPr>
                <w:rFonts w:asciiTheme="minorHAnsi" w:hAnsiTheme="minorHAnsi"/>
                <w:sz w:val="24"/>
                <w:szCs w:val="24"/>
              </w:rPr>
            </w:pPr>
          </w:p>
        </w:tc>
      </w:tr>
      <w:tr w:rsidR="00357665" w:rsidRPr="00040AB6" w14:paraId="4549E9F1" w14:textId="77777777" w:rsidTr="004873B8">
        <w:tc>
          <w:tcPr>
            <w:tcW w:w="2845" w:type="dxa"/>
          </w:tcPr>
          <w:p w14:paraId="48E1DD89"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May 25</w:t>
            </w:r>
          </w:p>
        </w:tc>
        <w:tc>
          <w:tcPr>
            <w:tcW w:w="6353" w:type="dxa"/>
          </w:tcPr>
          <w:p w14:paraId="1BFC9E19"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Q1 report on January 1 through  March 31 of current year</w:t>
            </w:r>
          </w:p>
        </w:tc>
      </w:tr>
      <w:tr w:rsidR="00357665" w:rsidRPr="00040AB6" w14:paraId="10D3DD70" w14:textId="77777777" w:rsidTr="004873B8">
        <w:tc>
          <w:tcPr>
            <w:tcW w:w="2845" w:type="dxa"/>
          </w:tcPr>
          <w:p w14:paraId="3FA0999E"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August 25</w:t>
            </w:r>
          </w:p>
        </w:tc>
        <w:tc>
          <w:tcPr>
            <w:tcW w:w="6353" w:type="dxa"/>
          </w:tcPr>
          <w:p w14:paraId="0F321ECA"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Q2 report on April 1 through June 30 and YTD</w:t>
            </w:r>
          </w:p>
        </w:tc>
      </w:tr>
      <w:tr w:rsidR="00357665" w:rsidRPr="00040AB6" w14:paraId="7116820B" w14:textId="77777777" w:rsidTr="004873B8">
        <w:tc>
          <w:tcPr>
            <w:tcW w:w="2845" w:type="dxa"/>
          </w:tcPr>
          <w:p w14:paraId="2AE2D20D"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October 1</w:t>
            </w:r>
          </w:p>
        </w:tc>
        <w:tc>
          <w:tcPr>
            <w:tcW w:w="6353" w:type="dxa"/>
          </w:tcPr>
          <w:p w14:paraId="5AA117AF" w14:textId="77777777" w:rsidR="00357665" w:rsidRPr="00040AB6" w:rsidRDefault="00E2128A" w:rsidP="00E2128A">
            <w:pPr>
              <w:tabs>
                <w:tab w:val="left" w:pos="720"/>
              </w:tabs>
              <w:spacing w:after="0" w:line="240" w:lineRule="auto"/>
              <w:rPr>
                <w:rFonts w:asciiTheme="minorHAnsi" w:hAnsiTheme="minorHAnsi"/>
                <w:sz w:val="24"/>
                <w:szCs w:val="24"/>
              </w:rPr>
            </w:pPr>
            <w:r w:rsidRPr="00040AB6">
              <w:rPr>
                <w:rFonts w:asciiTheme="minorHAnsi" w:hAnsiTheme="minorHAnsi"/>
                <w:sz w:val="24"/>
                <w:szCs w:val="24"/>
              </w:rPr>
              <w:t>Tariff filing submitted for program cost recovery.</w:t>
            </w:r>
          </w:p>
        </w:tc>
      </w:tr>
      <w:tr w:rsidR="00E2128A" w:rsidRPr="00040AB6" w14:paraId="6B5848CB" w14:textId="77777777" w:rsidTr="004873B8">
        <w:tc>
          <w:tcPr>
            <w:tcW w:w="2845" w:type="dxa"/>
          </w:tcPr>
          <w:p w14:paraId="0787C84D" w14:textId="77777777" w:rsidR="00E2128A" w:rsidRPr="00040AB6" w:rsidRDefault="00E2128A"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1</w:t>
            </w:r>
          </w:p>
        </w:tc>
        <w:tc>
          <w:tcPr>
            <w:tcW w:w="6353" w:type="dxa"/>
          </w:tcPr>
          <w:p w14:paraId="7F1BDF73" w14:textId="77777777" w:rsidR="00E2128A" w:rsidRPr="00040AB6" w:rsidDel="00E2128A" w:rsidRDefault="00E2128A" w:rsidP="00E2128A">
            <w:pPr>
              <w:tabs>
                <w:tab w:val="left" w:pos="720"/>
              </w:tabs>
              <w:spacing w:after="0" w:line="240" w:lineRule="auto"/>
              <w:rPr>
                <w:rFonts w:asciiTheme="minorHAnsi" w:hAnsiTheme="minorHAnsi"/>
                <w:sz w:val="24"/>
                <w:szCs w:val="24"/>
              </w:rPr>
            </w:pPr>
            <w:r w:rsidRPr="00040AB6">
              <w:rPr>
                <w:rFonts w:asciiTheme="minorHAnsi" w:hAnsiTheme="minorHAnsi"/>
                <w:sz w:val="24"/>
                <w:szCs w:val="24"/>
              </w:rPr>
              <w:t>Requested effective date of program cost recovery filing.</w:t>
            </w:r>
          </w:p>
        </w:tc>
      </w:tr>
      <w:tr w:rsidR="00357665" w:rsidRPr="00040AB6" w14:paraId="19984CB8" w14:textId="77777777" w:rsidTr="004873B8">
        <w:tc>
          <w:tcPr>
            <w:tcW w:w="2845" w:type="dxa"/>
          </w:tcPr>
          <w:p w14:paraId="34ED8411"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15</w:t>
            </w:r>
          </w:p>
        </w:tc>
        <w:tc>
          <w:tcPr>
            <w:tcW w:w="6353" w:type="dxa"/>
          </w:tcPr>
          <w:p w14:paraId="16F03E72" w14:textId="77777777" w:rsidR="00357665" w:rsidRPr="00040AB6" w:rsidRDefault="00357665" w:rsidP="00A879A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Share next year’s budget range, funding schedule, and proposed performance metrics with EEAG no later than this date</w:t>
            </w:r>
          </w:p>
        </w:tc>
      </w:tr>
      <w:tr w:rsidR="00357665" w:rsidRPr="00040AB6" w14:paraId="2A0FD02D" w14:textId="77777777" w:rsidTr="004873B8">
        <w:tc>
          <w:tcPr>
            <w:tcW w:w="2845" w:type="dxa"/>
          </w:tcPr>
          <w:p w14:paraId="02C3F641"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25</w:t>
            </w:r>
          </w:p>
        </w:tc>
        <w:tc>
          <w:tcPr>
            <w:tcW w:w="6353" w:type="dxa"/>
          </w:tcPr>
          <w:p w14:paraId="32CAD310"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Q3 report on July 1 through September 30 and YTD</w:t>
            </w:r>
          </w:p>
        </w:tc>
      </w:tr>
      <w:tr w:rsidR="00357665" w:rsidRPr="00040AB6" w14:paraId="65573477" w14:textId="77777777" w:rsidTr="004873B8">
        <w:tc>
          <w:tcPr>
            <w:tcW w:w="2845" w:type="dxa"/>
          </w:tcPr>
          <w:p w14:paraId="3BB22424"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December 1</w:t>
            </w:r>
          </w:p>
        </w:tc>
        <w:tc>
          <w:tcPr>
            <w:tcW w:w="6353" w:type="dxa"/>
          </w:tcPr>
          <w:p w14:paraId="3C215218"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Latest date to file EE Plan for next program year</w:t>
            </w:r>
          </w:p>
        </w:tc>
      </w:tr>
      <w:tr w:rsidR="00357665" w:rsidRPr="00040AB6" w14:paraId="31DC4C7F" w14:textId="77777777" w:rsidTr="004873B8">
        <w:tc>
          <w:tcPr>
            <w:tcW w:w="2845" w:type="dxa"/>
          </w:tcPr>
          <w:p w14:paraId="5D849996"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January 1</w:t>
            </w:r>
          </w:p>
        </w:tc>
        <w:tc>
          <w:tcPr>
            <w:tcW w:w="6353" w:type="dxa"/>
          </w:tcPr>
          <w:p w14:paraId="4304FFF6"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Start of next program year; new EE Plan effective</w:t>
            </w:r>
          </w:p>
        </w:tc>
      </w:tr>
    </w:tbl>
    <w:p w14:paraId="6B6F6C97" w14:textId="77777777" w:rsidR="00357665" w:rsidRPr="00040AB6" w:rsidRDefault="00357665" w:rsidP="00E5636B">
      <w:pPr>
        <w:pStyle w:val="ListParagraph"/>
        <w:spacing w:after="0" w:line="240" w:lineRule="auto"/>
        <w:rPr>
          <w:rFonts w:asciiTheme="minorHAnsi" w:hAnsiTheme="minorHAnsi"/>
          <w:sz w:val="32"/>
          <w:szCs w:val="32"/>
        </w:rPr>
      </w:pPr>
    </w:p>
    <w:p w14:paraId="2CA5CF7F" w14:textId="77777777" w:rsidR="00357665" w:rsidRPr="00040AB6" w:rsidRDefault="00357665" w:rsidP="005A39B1">
      <w:pPr>
        <w:pStyle w:val="ListParagraph"/>
        <w:numPr>
          <w:ilvl w:val="0"/>
          <w:numId w:val="17"/>
        </w:numPr>
        <w:spacing w:after="0" w:line="240" w:lineRule="auto"/>
        <w:ind w:left="720"/>
        <w:rPr>
          <w:rFonts w:asciiTheme="minorHAnsi" w:hAnsiTheme="minorHAnsi"/>
          <w:sz w:val="32"/>
          <w:szCs w:val="32"/>
        </w:rPr>
      </w:pPr>
      <w:r w:rsidRPr="00040AB6">
        <w:rPr>
          <w:rFonts w:asciiTheme="minorHAnsi" w:hAnsiTheme="minorHAnsi"/>
          <w:sz w:val="32"/>
          <w:szCs w:val="32"/>
        </w:rPr>
        <w:t>Reporting</w:t>
      </w:r>
    </w:p>
    <w:p w14:paraId="701611AD" w14:textId="77777777" w:rsidR="00357665" w:rsidRPr="00040AB6" w:rsidRDefault="00DC7F29" w:rsidP="000245F6">
      <w:pPr>
        <w:pStyle w:val="ListParagraph"/>
        <w:rPr>
          <w:rFonts w:asciiTheme="minorHAnsi" w:hAnsiTheme="minorHAnsi"/>
          <w:sz w:val="24"/>
          <w:szCs w:val="24"/>
        </w:rPr>
      </w:pPr>
      <w:r w:rsidRPr="00040AB6">
        <w:rPr>
          <w:rFonts w:asciiTheme="minorHAnsi" w:hAnsiTheme="minorHAnsi"/>
          <w:sz w:val="24"/>
          <w:szCs w:val="24"/>
        </w:rPr>
        <w:t>The Company will file a</w:t>
      </w:r>
      <w:r w:rsidR="00357665" w:rsidRPr="00040AB6">
        <w:rPr>
          <w:rFonts w:asciiTheme="minorHAnsi" w:hAnsiTheme="minorHAnsi"/>
          <w:sz w:val="24"/>
          <w:szCs w:val="24"/>
        </w:rPr>
        <w:t xml:space="preserve">ll required reporting with the WUTC in the docket established for the current program year.  </w:t>
      </w:r>
    </w:p>
    <w:p w14:paraId="19B1122F" w14:textId="77777777" w:rsidR="00357665" w:rsidRPr="00040AB6" w:rsidRDefault="00357665" w:rsidP="000245F6">
      <w:pPr>
        <w:pStyle w:val="ListParagraph"/>
        <w:rPr>
          <w:rFonts w:asciiTheme="minorHAnsi" w:hAnsiTheme="minorHAnsi"/>
          <w:sz w:val="24"/>
          <w:szCs w:val="24"/>
          <w:u w:val="single"/>
        </w:rPr>
      </w:pPr>
    </w:p>
    <w:p w14:paraId="39136420" w14:textId="77777777" w:rsidR="00357665" w:rsidRPr="00040AB6" w:rsidRDefault="00357665" w:rsidP="000245F6">
      <w:pPr>
        <w:pStyle w:val="ListParagraph"/>
        <w:rPr>
          <w:rFonts w:asciiTheme="minorHAnsi" w:hAnsiTheme="minorHAnsi"/>
          <w:sz w:val="24"/>
          <w:szCs w:val="24"/>
          <w:u w:val="single"/>
        </w:rPr>
      </w:pPr>
      <w:r w:rsidRPr="00040AB6">
        <w:rPr>
          <w:rFonts w:asciiTheme="minorHAnsi" w:hAnsiTheme="minorHAnsi"/>
          <w:sz w:val="24"/>
          <w:szCs w:val="24"/>
          <w:u w:val="single"/>
        </w:rPr>
        <w:t>Quarterly</w:t>
      </w:r>
    </w:p>
    <w:p w14:paraId="37F4EB4E" w14:textId="77777777" w:rsidR="00357665" w:rsidRPr="00040AB6" w:rsidRDefault="00357665" w:rsidP="000245F6">
      <w:pPr>
        <w:pStyle w:val="ListParagraph"/>
        <w:rPr>
          <w:rFonts w:asciiTheme="minorHAnsi" w:hAnsiTheme="minorHAnsi"/>
          <w:sz w:val="24"/>
          <w:szCs w:val="24"/>
        </w:rPr>
      </w:pPr>
      <w:r w:rsidRPr="00040AB6">
        <w:rPr>
          <w:rFonts w:asciiTheme="minorHAnsi" w:hAnsiTheme="minorHAnsi"/>
          <w:sz w:val="24"/>
          <w:szCs w:val="24"/>
        </w:rPr>
        <w:t>The Company will report on its program on a calendar year basis.  Quarterly reports will be provided to the EEAG and filed with the WUTC on the following schedule:</w:t>
      </w:r>
    </w:p>
    <w:p w14:paraId="49F3D458" w14:textId="77777777" w:rsidR="00357665" w:rsidRPr="00040AB6" w:rsidRDefault="00357665" w:rsidP="008A7584">
      <w:pPr>
        <w:pStyle w:val="ListParagraph"/>
        <w:ind w:left="1440"/>
        <w:rPr>
          <w:rFonts w:asciiTheme="minorHAnsi" w:hAnsiTheme="minorHAnsi"/>
          <w:sz w:val="24"/>
          <w:szCs w:val="24"/>
        </w:rPr>
      </w:pPr>
      <w:r w:rsidRPr="00040AB6">
        <w:rPr>
          <w:rFonts w:asciiTheme="minorHAnsi" w:hAnsiTheme="minorHAnsi"/>
          <w:sz w:val="24"/>
          <w:szCs w:val="24"/>
        </w:rPr>
        <w:t>1Q – May 25</w:t>
      </w:r>
    </w:p>
    <w:p w14:paraId="2A2618F9" w14:textId="77777777" w:rsidR="00357665" w:rsidRPr="00040AB6" w:rsidRDefault="00357665" w:rsidP="008A7584">
      <w:pPr>
        <w:pStyle w:val="ListParagraph"/>
        <w:ind w:left="1440"/>
        <w:rPr>
          <w:rFonts w:asciiTheme="minorHAnsi" w:hAnsiTheme="minorHAnsi"/>
          <w:sz w:val="24"/>
          <w:szCs w:val="24"/>
        </w:rPr>
      </w:pPr>
      <w:r w:rsidRPr="00040AB6">
        <w:rPr>
          <w:rFonts w:asciiTheme="minorHAnsi" w:hAnsiTheme="minorHAnsi"/>
          <w:sz w:val="24"/>
          <w:szCs w:val="24"/>
        </w:rPr>
        <w:t>2Q – August 25</w:t>
      </w:r>
    </w:p>
    <w:p w14:paraId="1298DC9B" w14:textId="6FF7A370" w:rsidR="00A879A1" w:rsidRPr="00040AB6" w:rsidRDefault="00357665" w:rsidP="00A879A1">
      <w:pPr>
        <w:pStyle w:val="ListParagraph"/>
        <w:ind w:left="1440"/>
        <w:rPr>
          <w:rFonts w:asciiTheme="minorHAnsi" w:hAnsiTheme="minorHAnsi"/>
          <w:sz w:val="24"/>
          <w:szCs w:val="24"/>
        </w:rPr>
      </w:pPr>
      <w:r w:rsidRPr="00040AB6">
        <w:rPr>
          <w:rFonts w:asciiTheme="minorHAnsi" w:hAnsiTheme="minorHAnsi"/>
          <w:sz w:val="24"/>
          <w:szCs w:val="24"/>
        </w:rPr>
        <w:t>3Q – November 25</w:t>
      </w:r>
    </w:p>
    <w:p w14:paraId="0D53D91D" w14:textId="77777777" w:rsidR="00357665" w:rsidRPr="00040AB6" w:rsidRDefault="00357665" w:rsidP="008A7584">
      <w:pPr>
        <w:pStyle w:val="ListParagraph"/>
        <w:ind w:left="1440"/>
        <w:rPr>
          <w:rFonts w:asciiTheme="minorHAnsi" w:hAnsiTheme="minorHAnsi"/>
          <w:sz w:val="24"/>
          <w:szCs w:val="24"/>
        </w:rPr>
      </w:pPr>
    </w:p>
    <w:p w14:paraId="64BCE6DA" w14:textId="77777777" w:rsidR="00357665" w:rsidRPr="00040AB6" w:rsidRDefault="00357665" w:rsidP="000245F6">
      <w:pPr>
        <w:pStyle w:val="ListParagraph"/>
        <w:rPr>
          <w:rFonts w:asciiTheme="minorHAnsi" w:hAnsiTheme="minorHAnsi"/>
          <w:sz w:val="24"/>
          <w:szCs w:val="24"/>
          <w:u w:val="single"/>
        </w:rPr>
      </w:pPr>
      <w:r w:rsidRPr="00040AB6">
        <w:rPr>
          <w:rFonts w:asciiTheme="minorHAnsi" w:hAnsiTheme="minorHAnsi"/>
          <w:sz w:val="24"/>
          <w:szCs w:val="24"/>
          <w:u w:val="single"/>
        </w:rPr>
        <w:t>Annual</w:t>
      </w:r>
    </w:p>
    <w:p w14:paraId="3DF137AD" w14:textId="77777777" w:rsidR="00357665" w:rsidRPr="00040AB6" w:rsidRDefault="00357665" w:rsidP="008A7584">
      <w:pPr>
        <w:pStyle w:val="ListParagraph"/>
        <w:rPr>
          <w:rFonts w:asciiTheme="minorHAnsi" w:hAnsiTheme="minorHAnsi"/>
          <w:sz w:val="24"/>
          <w:szCs w:val="24"/>
        </w:rPr>
      </w:pPr>
      <w:r w:rsidRPr="00040AB6">
        <w:rPr>
          <w:rFonts w:asciiTheme="minorHAnsi" w:hAnsiTheme="minorHAnsi"/>
          <w:sz w:val="24"/>
          <w:szCs w:val="24"/>
        </w:rPr>
        <w:t>An annual report will be due annually for the previous year by April 25</w:t>
      </w:r>
      <w:r w:rsidRPr="00040AB6">
        <w:rPr>
          <w:rFonts w:asciiTheme="minorHAnsi" w:hAnsiTheme="minorHAnsi"/>
          <w:sz w:val="24"/>
          <w:szCs w:val="24"/>
          <w:vertAlign w:val="superscript"/>
        </w:rPr>
        <w:t>th</w:t>
      </w:r>
      <w:r w:rsidRPr="00040AB6">
        <w:rPr>
          <w:rFonts w:asciiTheme="minorHAnsi" w:hAnsiTheme="minorHAnsi"/>
          <w:sz w:val="24"/>
          <w:szCs w:val="24"/>
        </w:rPr>
        <w:t xml:space="preserve">. </w:t>
      </w:r>
    </w:p>
    <w:p w14:paraId="69F1B2B3" w14:textId="77777777" w:rsidR="004D1E3F" w:rsidRPr="00040AB6" w:rsidRDefault="00357665" w:rsidP="002B3884">
      <w:pPr>
        <w:spacing w:after="0" w:line="240" w:lineRule="auto"/>
        <w:rPr>
          <w:rFonts w:asciiTheme="minorHAnsi" w:hAnsiTheme="minorHAnsi"/>
          <w:sz w:val="24"/>
          <w:szCs w:val="24"/>
          <w:u w:val="single"/>
        </w:rPr>
      </w:pPr>
      <w:r w:rsidRPr="00040AB6">
        <w:rPr>
          <w:rFonts w:asciiTheme="minorHAnsi" w:hAnsiTheme="minorHAnsi"/>
          <w:sz w:val="24"/>
          <w:szCs w:val="24"/>
          <w:u w:val="single"/>
        </w:rPr>
        <w:t>EEAG Review</w:t>
      </w:r>
    </w:p>
    <w:p w14:paraId="78616879" w14:textId="77777777" w:rsidR="00357665" w:rsidRPr="00040AB6" w:rsidRDefault="00357665" w:rsidP="002B3884">
      <w:pPr>
        <w:spacing w:after="0" w:line="240" w:lineRule="auto"/>
        <w:rPr>
          <w:rFonts w:asciiTheme="minorHAnsi" w:hAnsiTheme="minorHAnsi"/>
          <w:sz w:val="24"/>
          <w:szCs w:val="24"/>
        </w:rPr>
      </w:pPr>
      <w:r w:rsidRPr="00040AB6">
        <w:rPr>
          <w:rFonts w:asciiTheme="minorHAnsi" w:hAnsiTheme="minorHAnsi"/>
          <w:sz w:val="24"/>
          <w:szCs w:val="24"/>
        </w:rPr>
        <w:t xml:space="preserve">The EEAG will meet either in person or by teleconference to review </w:t>
      </w:r>
      <w:r w:rsidR="00CB32EA" w:rsidRPr="00040AB6">
        <w:rPr>
          <w:rFonts w:asciiTheme="minorHAnsi" w:hAnsiTheme="minorHAnsi"/>
          <w:sz w:val="24"/>
          <w:szCs w:val="24"/>
        </w:rPr>
        <w:t>the</w:t>
      </w:r>
      <w:r w:rsidRPr="00040AB6">
        <w:rPr>
          <w:rFonts w:asciiTheme="minorHAnsi" w:hAnsiTheme="minorHAnsi"/>
          <w:sz w:val="24"/>
          <w:szCs w:val="24"/>
        </w:rPr>
        <w:t xml:space="preserve"> annual report</w:t>
      </w:r>
      <w:r w:rsidR="00CB32EA" w:rsidRPr="00040AB6">
        <w:rPr>
          <w:rFonts w:asciiTheme="minorHAnsi" w:hAnsiTheme="minorHAnsi"/>
          <w:sz w:val="24"/>
          <w:szCs w:val="24"/>
        </w:rPr>
        <w:t xml:space="preserve"> and on an as requested basis</w:t>
      </w:r>
      <w:r w:rsidRPr="00040AB6">
        <w:rPr>
          <w:rFonts w:asciiTheme="minorHAnsi" w:hAnsiTheme="minorHAnsi"/>
          <w:sz w:val="24"/>
          <w:szCs w:val="24"/>
        </w:rPr>
        <w:t>.</w:t>
      </w:r>
    </w:p>
    <w:p w14:paraId="4BF1D5EE" w14:textId="77777777" w:rsidR="00357665" w:rsidRPr="00040AB6" w:rsidRDefault="00357665" w:rsidP="008A7584">
      <w:pPr>
        <w:pStyle w:val="ListParagraph"/>
        <w:spacing w:after="0" w:line="240" w:lineRule="auto"/>
        <w:rPr>
          <w:rFonts w:asciiTheme="minorHAnsi" w:hAnsiTheme="minorHAnsi"/>
          <w:sz w:val="24"/>
          <w:szCs w:val="24"/>
        </w:rPr>
      </w:pPr>
    </w:p>
    <w:p w14:paraId="17A8DB90" w14:textId="77777777" w:rsidR="00357665" w:rsidRPr="00040AB6" w:rsidRDefault="00357665" w:rsidP="008A7584">
      <w:pPr>
        <w:pStyle w:val="ListParagraph"/>
        <w:spacing w:after="0" w:line="240" w:lineRule="auto"/>
        <w:rPr>
          <w:rFonts w:asciiTheme="minorHAnsi" w:hAnsiTheme="minorHAnsi"/>
          <w:sz w:val="24"/>
          <w:szCs w:val="24"/>
          <w:u w:val="single"/>
        </w:rPr>
      </w:pPr>
      <w:r w:rsidRPr="00040AB6">
        <w:rPr>
          <w:rFonts w:asciiTheme="minorHAnsi" w:hAnsiTheme="minorHAnsi"/>
          <w:sz w:val="24"/>
          <w:szCs w:val="24"/>
          <w:u w:val="single"/>
        </w:rPr>
        <w:t>Content of Reports</w:t>
      </w:r>
    </w:p>
    <w:p w14:paraId="43FBDD75" w14:textId="77777777" w:rsidR="00357665" w:rsidRPr="00040AB6" w:rsidRDefault="00357665" w:rsidP="008A7584">
      <w:pPr>
        <w:pStyle w:val="ListParagraph"/>
        <w:spacing w:after="0" w:line="240" w:lineRule="auto"/>
        <w:rPr>
          <w:rFonts w:asciiTheme="minorHAnsi" w:hAnsiTheme="minorHAnsi"/>
          <w:sz w:val="24"/>
          <w:szCs w:val="24"/>
        </w:rPr>
      </w:pPr>
      <w:r w:rsidRPr="00040AB6">
        <w:rPr>
          <w:rFonts w:asciiTheme="minorHAnsi" w:hAnsiTheme="minorHAnsi"/>
          <w:sz w:val="24"/>
          <w:szCs w:val="24"/>
        </w:rPr>
        <w:t>The quarterly reports will include</w:t>
      </w:r>
    </w:p>
    <w:p w14:paraId="306BA98C" w14:textId="77777777" w:rsidR="00357665" w:rsidRPr="00040AB6" w:rsidRDefault="00357665" w:rsidP="00676821">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Quarterly progress toward annual program metrics</w:t>
      </w:r>
    </w:p>
    <w:p w14:paraId="2D5423BF" w14:textId="77777777" w:rsidR="00357665" w:rsidRPr="00040AB6" w:rsidRDefault="00357665" w:rsidP="00DC7F29">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A breakdown of costs by program and customer sector</w:t>
      </w:r>
    </w:p>
    <w:p w14:paraId="0FEC1F98" w14:textId="77777777" w:rsidR="00357665" w:rsidRPr="00040AB6" w:rsidRDefault="00357665">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A reporting on percentage of program costs spent on customer incentives</w:t>
      </w:r>
    </w:p>
    <w:p w14:paraId="7084CF73" w14:textId="77777777" w:rsidR="00357665" w:rsidRPr="00040AB6" w:rsidRDefault="00357665">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The funding received to date</w:t>
      </w:r>
    </w:p>
    <w:p w14:paraId="77C91F6D" w14:textId="03F55FA1" w:rsidR="005B4B2B" w:rsidRPr="00040AB6" w:rsidRDefault="005B4B2B" w:rsidP="005B4B2B">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Energy payback estimator site traffic statistics</w:t>
      </w:r>
      <w:r w:rsidRPr="00040AB6">
        <w:rPr>
          <w:rFonts w:asciiTheme="minorHAnsi" w:hAnsiTheme="minorHAnsi" w:cstheme="minorHAnsi"/>
          <w:sz w:val="24"/>
          <w:szCs w:val="24"/>
        </w:rPr>
        <w:t xml:space="preserve"> both in aggregate and by geography, detailing the volume of visits to the URL</w:t>
      </w:r>
    </w:p>
    <w:p w14:paraId="40AD702B" w14:textId="58B4FFF4" w:rsidR="00C54531" w:rsidRPr="00040AB6" w:rsidRDefault="00C54531">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A status report on NEEA, market transformation efforts, spending, and activity</w:t>
      </w:r>
    </w:p>
    <w:p w14:paraId="66964A30" w14:textId="32CC27C8" w:rsidR="00C54531" w:rsidRPr="00040AB6" w:rsidRDefault="00C54531">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The 2Q report will include a report on the Company’s mid-year transactional review of the Energy Trust’s expenses</w:t>
      </w:r>
    </w:p>
    <w:p w14:paraId="321768B0" w14:textId="77777777" w:rsidR="00357665" w:rsidRPr="00040AB6" w:rsidRDefault="00357665">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 xml:space="preserve">The 2Q report will include a 6 month check in on WA-LIEE </w:t>
      </w:r>
    </w:p>
    <w:p w14:paraId="4717EFCB" w14:textId="77777777" w:rsidR="00357665" w:rsidRPr="00040AB6" w:rsidRDefault="00357665" w:rsidP="00AD743B">
      <w:pPr>
        <w:pStyle w:val="ListParagraph"/>
        <w:numPr>
          <w:ilvl w:val="4"/>
          <w:numId w:val="5"/>
        </w:numPr>
        <w:spacing w:after="0" w:line="240" w:lineRule="auto"/>
        <w:ind w:left="1800"/>
        <w:rPr>
          <w:rFonts w:asciiTheme="minorHAnsi" w:hAnsiTheme="minorHAnsi"/>
          <w:sz w:val="24"/>
          <w:szCs w:val="24"/>
        </w:rPr>
      </w:pPr>
      <w:r w:rsidRPr="00040AB6">
        <w:rPr>
          <w:rFonts w:asciiTheme="minorHAnsi" w:hAnsiTheme="minorHAnsi"/>
          <w:sz w:val="24"/>
          <w:szCs w:val="24"/>
        </w:rPr>
        <w:t xml:space="preserve">program year costs, </w:t>
      </w:r>
    </w:p>
    <w:p w14:paraId="7C572000" w14:textId="77777777" w:rsidR="00357665" w:rsidRPr="00040AB6" w:rsidRDefault="00357665" w:rsidP="00AD743B">
      <w:pPr>
        <w:pStyle w:val="ListParagraph"/>
        <w:numPr>
          <w:ilvl w:val="4"/>
          <w:numId w:val="5"/>
        </w:numPr>
        <w:spacing w:after="0" w:line="240" w:lineRule="auto"/>
        <w:ind w:left="1800"/>
        <w:rPr>
          <w:rFonts w:asciiTheme="minorHAnsi" w:hAnsiTheme="minorHAnsi"/>
          <w:sz w:val="24"/>
          <w:szCs w:val="24"/>
        </w:rPr>
      </w:pPr>
      <w:r w:rsidRPr="00040AB6">
        <w:rPr>
          <w:rFonts w:asciiTheme="minorHAnsi" w:hAnsiTheme="minorHAnsi"/>
          <w:sz w:val="24"/>
          <w:szCs w:val="24"/>
        </w:rPr>
        <w:t xml:space="preserve">homes served, </w:t>
      </w:r>
    </w:p>
    <w:p w14:paraId="3573975D" w14:textId="77777777" w:rsidR="00357665" w:rsidRPr="00040AB6" w:rsidRDefault="00357665" w:rsidP="00AD743B">
      <w:pPr>
        <w:pStyle w:val="ListParagraph"/>
        <w:numPr>
          <w:ilvl w:val="2"/>
          <w:numId w:val="5"/>
        </w:numPr>
        <w:ind w:left="1800"/>
        <w:rPr>
          <w:rFonts w:asciiTheme="minorHAnsi" w:hAnsiTheme="minorHAnsi"/>
          <w:sz w:val="24"/>
          <w:szCs w:val="24"/>
          <w:u w:val="single"/>
        </w:rPr>
      </w:pPr>
      <w:r w:rsidRPr="00040AB6">
        <w:rPr>
          <w:rFonts w:asciiTheme="minorHAnsi" w:hAnsiTheme="minorHAnsi"/>
          <w:sz w:val="24"/>
          <w:szCs w:val="24"/>
        </w:rPr>
        <w:t xml:space="preserve">estimated total therms saved per home, and </w:t>
      </w:r>
    </w:p>
    <w:p w14:paraId="613DCA79" w14:textId="26C54F7F" w:rsidR="00FE0DD2" w:rsidRPr="00040AB6" w:rsidRDefault="00357665" w:rsidP="00FE0DD2">
      <w:pPr>
        <w:pStyle w:val="ListParagraph"/>
        <w:numPr>
          <w:ilvl w:val="0"/>
          <w:numId w:val="5"/>
        </w:numPr>
        <w:spacing w:after="0" w:line="240" w:lineRule="auto"/>
        <w:ind w:left="1440"/>
        <w:rPr>
          <w:rFonts w:asciiTheme="minorHAnsi" w:hAnsiTheme="minorHAnsi"/>
          <w:sz w:val="24"/>
          <w:szCs w:val="24"/>
        </w:rPr>
      </w:pPr>
      <w:r w:rsidRPr="00040AB6">
        <w:rPr>
          <w:rFonts w:asciiTheme="minorHAnsi" w:hAnsiTheme="minorHAnsi"/>
          <w:sz w:val="24"/>
          <w:szCs w:val="24"/>
        </w:rPr>
        <w:t xml:space="preserve">total </w:t>
      </w:r>
      <w:proofErr w:type="spellStart"/>
      <w:r w:rsidRPr="00040AB6">
        <w:rPr>
          <w:rFonts w:asciiTheme="minorHAnsi" w:hAnsiTheme="minorHAnsi"/>
          <w:sz w:val="24"/>
          <w:szCs w:val="24"/>
        </w:rPr>
        <w:t>therm</w:t>
      </w:r>
      <w:proofErr w:type="spellEnd"/>
      <w:r w:rsidRPr="00040AB6">
        <w:rPr>
          <w:rFonts w:asciiTheme="minorHAnsi" w:hAnsiTheme="minorHAnsi"/>
          <w:sz w:val="24"/>
          <w:szCs w:val="24"/>
        </w:rPr>
        <w:t xml:space="preserve"> savings to-</w:t>
      </w:r>
      <w:proofErr w:type="spellStart"/>
      <w:r w:rsidRPr="00040AB6">
        <w:rPr>
          <w:rFonts w:asciiTheme="minorHAnsi" w:hAnsiTheme="minorHAnsi"/>
          <w:sz w:val="24"/>
          <w:szCs w:val="24"/>
        </w:rPr>
        <w:t>date</w:t>
      </w:r>
      <w:r w:rsidR="00FE0DD2" w:rsidRPr="00040AB6">
        <w:rPr>
          <w:rFonts w:asciiTheme="minorHAnsi" w:hAnsiTheme="minorHAnsi"/>
          <w:sz w:val="24"/>
          <w:szCs w:val="24"/>
        </w:rPr>
        <w:t>The</w:t>
      </w:r>
      <w:proofErr w:type="spellEnd"/>
      <w:r w:rsidR="00FE0DD2" w:rsidRPr="00040AB6">
        <w:rPr>
          <w:rFonts w:asciiTheme="minorHAnsi" w:hAnsiTheme="minorHAnsi"/>
          <w:sz w:val="24"/>
          <w:szCs w:val="24"/>
        </w:rPr>
        <w:t xml:space="preserve"> quarterly report following the annual release of the impact and process report will include a link to that report and a short summary of the findings</w:t>
      </w:r>
    </w:p>
    <w:p w14:paraId="1A8D6E95" w14:textId="77777777" w:rsidR="00357665" w:rsidRPr="00040AB6" w:rsidRDefault="00357665" w:rsidP="008A7584">
      <w:pPr>
        <w:pStyle w:val="ListParagraph"/>
        <w:spacing w:after="0" w:line="240" w:lineRule="auto"/>
        <w:rPr>
          <w:rFonts w:asciiTheme="minorHAnsi" w:hAnsiTheme="minorHAnsi"/>
          <w:sz w:val="24"/>
          <w:szCs w:val="24"/>
        </w:rPr>
      </w:pPr>
    </w:p>
    <w:p w14:paraId="3ED80FD0" w14:textId="77777777" w:rsidR="00357665" w:rsidRPr="00040AB6" w:rsidRDefault="00357665" w:rsidP="008A7584">
      <w:pPr>
        <w:pStyle w:val="ListParagraph"/>
        <w:spacing w:after="0" w:line="240" w:lineRule="auto"/>
        <w:rPr>
          <w:rFonts w:asciiTheme="minorHAnsi" w:hAnsiTheme="minorHAnsi"/>
          <w:sz w:val="24"/>
          <w:szCs w:val="24"/>
        </w:rPr>
      </w:pPr>
      <w:r w:rsidRPr="00040AB6">
        <w:rPr>
          <w:rFonts w:asciiTheme="minorHAnsi" w:hAnsiTheme="minorHAnsi"/>
          <w:sz w:val="24"/>
          <w:szCs w:val="24"/>
        </w:rPr>
        <w:t>The annual report will include the following:</w:t>
      </w:r>
    </w:p>
    <w:p w14:paraId="01E3758F" w14:textId="77777777" w:rsidR="00357665" w:rsidRPr="00040AB6" w:rsidRDefault="00357665" w:rsidP="002B3884">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Budget compared to actual results by program</w:t>
      </w:r>
    </w:p>
    <w:p w14:paraId="2824B868" w14:textId="77777777" w:rsidR="00AC3991" w:rsidRPr="00040AB6" w:rsidRDefault="00357665" w:rsidP="002B3884">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Cost-effectiveness calculations on a program by program and total portfolio basis</w:t>
      </w:r>
      <w:r w:rsidR="00AC3991" w:rsidRPr="00040AB6">
        <w:rPr>
          <w:rFonts w:asciiTheme="minorHAnsi" w:hAnsiTheme="minorHAnsi"/>
          <w:sz w:val="24"/>
          <w:szCs w:val="24"/>
        </w:rPr>
        <w:t xml:space="preserve">. Total Portfolio means all residential and commercial programs. </w:t>
      </w:r>
    </w:p>
    <w:p w14:paraId="0E219E02" w14:textId="42FBE04A" w:rsidR="00357665" w:rsidRPr="00040AB6" w:rsidRDefault="00AC3991" w:rsidP="002B3884">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Cost-effectiveness calculations of the total portfolio plus NEEA expenses</w:t>
      </w:r>
    </w:p>
    <w:p w14:paraId="3AB768E7" w14:textId="77777777" w:rsidR="00357665" w:rsidRPr="00040AB6" w:rsidRDefault="00357665" w:rsidP="002B3884">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 xml:space="preserve">Measure level participation (units installed and savings) under each program </w:t>
      </w:r>
    </w:p>
    <w:p w14:paraId="29403CE9" w14:textId="77777777" w:rsidR="00357665" w:rsidRPr="00040AB6" w:rsidRDefault="00357665" w:rsidP="002B3884">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 xml:space="preserve">Reporting on achievement of metrics </w:t>
      </w:r>
    </w:p>
    <w:p w14:paraId="789EE237" w14:textId="52499532" w:rsidR="005B4B2B" w:rsidRPr="00040AB6" w:rsidRDefault="005B4B2B" w:rsidP="002B3884">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Energy payback estimator site traffic statistics</w:t>
      </w:r>
      <w:r w:rsidRPr="00040AB6">
        <w:rPr>
          <w:rFonts w:asciiTheme="minorHAnsi" w:hAnsiTheme="minorHAnsi" w:cstheme="minorHAnsi"/>
          <w:sz w:val="24"/>
          <w:szCs w:val="24"/>
        </w:rPr>
        <w:t xml:space="preserve"> both in aggregate and by geography, detailing the volume of visits to the URL</w:t>
      </w:r>
    </w:p>
    <w:p w14:paraId="368333CB" w14:textId="77777777" w:rsidR="00C54531" w:rsidRPr="00040AB6" w:rsidRDefault="00C54531" w:rsidP="00C54531">
      <w:pPr>
        <w:pStyle w:val="ListParagraph"/>
        <w:numPr>
          <w:ilvl w:val="3"/>
          <w:numId w:val="5"/>
        </w:numPr>
        <w:spacing w:after="0" w:line="240" w:lineRule="auto"/>
        <w:ind w:left="1440"/>
        <w:rPr>
          <w:rFonts w:asciiTheme="minorHAnsi" w:hAnsiTheme="minorHAnsi"/>
          <w:sz w:val="24"/>
          <w:szCs w:val="24"/>
        </w:rPr>
      </w:pPr>
      <w:r w:rsidRPr="00040AB6">
        <w:rPr>
          <w:rFonts w:asciiTheme="minorHAnsi" w:hAnsiTheme="minorHAnsi"/>
          <w:sz w:val="24"/>
          <w:szCs w:val="24"/>
        </w:rPr>
        <w:t>A status report on NEEA, market transformation efforts, spending, and activity</w:t>
      </w:r>
    </w:p>
    <w:p w14:paraId="6266B355" w14:textId="77777777" w:rsidR="00C54531" w:rsidRPr="00040AB6" w:rsidRDefault="00C54531" w:rsidP="00C54531">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An overview of the Company’s year-end review of Energy Trust transactions.</w:t>
      </w:r>
    </w:p>
    <w:p w14:paraId="206D8C11" w14:textId="77777777" w:rsidR="00357665" w:rsidRPr="00040AB6" w:rsidRDefault="00357665" w:rsidP="00B341DB">
      <w:pPr>
        <w:pStyle w:val="ListParagraph"/>
        <w:numPr>
          <w:ilvl w:val="0"/>
          <w:numId w:val="5"/>
        </w:numPr>
        <w:spacing w:after="0" w:line="240" w:lineRule="auto"/>
        <w:ind w:left="1406" w:hanging="361"/>
        <w:rPr>
          <w:rFonts w:asciiTheme="minorHAnsi" w:hAnsiTheme="minorHAnsi"/>
          <w:sz w:val="24"/>
          <w:szCs w:val="24"/>
          <w:u w:val="single"/>
        </w:rPr>
      </w:pPr>
      <w:r w:rsidRPr="00040AB6">
        <w:rPr>
          <w:rFonts w:asciiTheme="minorHAnsi" w:hAnsiTheme="minorHAnsi"/>
          <w:sz w:val="24"/>
          <w:szCs w:val="24"/>
        </w:rPr>
        <w:t>Evaluation results (if performed)</w:t>
      </w:r>
    </w:p>
    <w:p w14:paraId="25A31E5A" w14:textId="77777777" w:rsidR="00357665" w:rsidRPr="00040AB6" w:rsidRDefault="00357665" w:rsidP="002B3884">
      <w:pPr>
        <w:pStyle w:val="ListParagraph"/>
        <w:numPr>
          <w:ilvl w:val="0"/>
          <w:numId w:val="5"/>
        </w:numPr>
        <w:spacing w:after="0" w:line="240" w:lineRule="auto"/>
        <w:ind w:leftChars="475" w:left="1439" w:hangingChars="164" w:hanging="394"/>
        <w:rPr>
          <w:rFonts w:asciiTheme="minorHAnsi" w:hAnsiTheme="minorHAnsi"/>
          <w:sz w:val="24"/>
          <w:szCs w:val="24"/>
          <w:u w:val="single"/>
        </w:rPr>
      </w:pPr>
      <w:r w:rsidRPr="00040AB6">
        <w:rPr>
          <w:rFonts w:asciiTheme="minorHAnsi" w:hAnsiTheme="minorHAnsi"/>
          <w:sz w:val="24"/>
          <w:szCs w:val="24"/>
        </w:rPr>
        <w:t>WA-LIEE program results including:</w:t>
      </w:r>
    </w:p>
    <w:p w14:paraId="7DD022AE" w14:textId="77777777" w:rsidR="00357665" w:rsidRPr="00040AB6" w:rsidRDefault="00357665" w:rsidP="002B3884">
      <w:pPr>
        <w:pStyle w:val="ListParagraph"/>
        <w:numPr>
          <w:ilvl w:val="2"/>
          <w:numId w:val="5"/>
        </w:numPr>
        <w:spacing w:after="0" w:line="240" w:lineRule="auto"/>
        <w:ind w:leftChars="639" w:left="1800" w:hangingChars="164" w:hanging="394"/>
        <w:rPr>
          <w:rFonts w:asciiTheme="minorHAnsi" w:hAnsiTheme="minorHAnsi"/>
          <w:sz w:val="24"/>
          <w:szCs w:val="24"/>
          <w:u w:val="single"/>
        </w:rPr>
      </w:pPr>
      <w:r w:rsidRPr="00040AB6">
        <w:rPr>
          <w:rFonts w:asciiTheme="minorHAnsi" w:hAnsiTheme="minorHAnsi"/>
          <w:sz w:val="24"/>
          <w:szCs w:val="24"/>
        </w:rPr>
        <w:t>total program year costs</w:t>
      </w:r>
    </w:p>
    <w:p w14:paraId="34CF720F" w14:textId="77777777" w:rsidR="00357665" w:rsidRPr="00040AB6" w:rsidRDefault="00357665" w:rsidP="002B3884">
      <w:pPr>
        <w:pStyle w:val="ListParagraph"/>
        <w:numPr>
          <w:ilvl w:val="2"/>
          <w:numId w:val="5"/>
        </w:numPr>
        <w:spacing w:after="0" w:line="240" w:lineRule="auto"/>
        <w:ind w:leftChars="639" w:left="1800" w:hangingChars="164" w:hanging="394"/>
        <w:rPr>
          <w:rFonts w:asciiTheme="minorHAnsi" w:hAnsiTheme="minorHAnsi"/>
          <w:sz w:val="24"/>
          <w:szCs w:val="24"/>
          <w:u w:val="single"/>
        </w:rPr>
      </w:pPr>
      <w:r w:rsidRPr="00040AB6">
        <w:rPr>
          <w:rFonts w:asciiTheme="minorHAnsi" w:hAnsiTheme="minorHAnsi"/>
          <w:sz w:val="24"/>
          <w:szCs w:val="24"/>
        </w:rPr>
        <w:t>homes served</w:t>
      </w:r>
    </w:p>
    <w:p w14:paraId="1557853D" w14:textId="77777777" w:rsidR="00357665" w:rsidRPr="00040AB6" w:rsidRDefault="00357665" w:rsidP="002B3884">
      <w:pPr>
        <w:pStyle w:val="ListParagraph"/>
        <w:numPr>
          <w:ilvl w:val="2"/>
          <w:numId w:val="5"/>
        </w:numPr>
        <w:spacing w:after="0" w:line="240" w:lineRule="auto"/>
        <w:ind w:leftChars="639" w:left="1800" w:hangingChars="164" w:hanging="394"/>
        <w:rPr>
          <w:rFonts w:asciiTheme="minorHAnsi" w:hAnsiTheme="minorHAnsi"/>
          <w:sz w:val="24"/>
          <w:szCs w:val="24"/>
          <w:u w:val="single"/>
        </w:rPr>
      </w:pPr>
      <w:r w:rsidRPr="00040AB6">
        <w:rPr>
          <w:rFonts w:asciiTheme="minorHAnsi" w:hAnsiTheme="minorHAnsi"/>
          <w:sz w:val="24"/>
          <w:szCs w:val="24"/>
        </w:rPr>
        <w:t xml:space="preserve">estimated total </w:t>
      </w:r>
      <w:proofErr w:type="spellStart"/>
      <w:r w:rsidRPr="00040AB6">
        <w:rPr>
          <w:rFonts w:asciiTheme="minorHAnsi" w:hAnsiTheme="minorHAnsi"/>
          <w:sz w:val="24"/>
          <w:szCs w:val="24"/>
        </w:rPr>
        <w:t>therm</w:t>
      </w:r>
      <w:proofErr w:type="spellEnd"/>
      <w:r w:rsidRPr="00040AB6">
        <w:rPr>
          <w:rFonts w:asciiTheme="minorHAnsi" w:hAnsiTheme="minorHAnsi"/>
          <w:sz w:val="24"/>
          <w:szCs w:val="24"/>
        </w:rPr>
        <w:t xml:space="preserve"> savings, and </w:t>
      </w:r>
    </w:p>
    <w:p w14:paraId="599F3C31" w14:textId="77777777" w:rsidR="00357665" w:rsidRPr="00040AB6" w:rsidRDefault="00357665" w:rsidP="00AD743B">
      <w:pPr>
        <w:pStyle w:val="ListParagraph"/>
        <w:numPr>
          <w:ilvl w:val="2"/>
          <w:numId w:val="5"/>
        </w:numPr>
        <w:ind w:left="1800"/>
        <w:rPr>
          <w:rFonts w:asciiTheme="minorHAnsi" w:hAnsiTheme="minorHAnsi"/>
          <w:sz w:val="24"/>
          <w:szCs w:val="24"/>
          <w:u w:val="single"/>
        </w:rPr>
      </w:pPr>
      <w:r w:rsidRPr="00040AB6">
        <w:rPr>
          <w:rFonts w:asciiTheme="minorHAnsi" w:hAnsiTheme="minorHAnsi"/>
          <w:sz w:val="24"/>
          <w:szCs w:val="24"/>
        </w:rPr>
        <w:t xml:space="preserve">average therms saved per home. </w:t>
      </w:r>
    </w:p>
    <w:p w14:paraId="16818876" w14:textId="77777777" w:rsidR="00357665" w:rsidRPr="00040AB6" w:rsidRDefault="00357665" w:rsidP="0020795C">
      <w:pPr>
        <w:pStyle w:val="ListParagraph"/>
        <w:ind w:left="1800"/>
        <w:rPr>
          <w:rFonts w:asciiTheme="minorHAnsi" w:hAnsiTheme="minorHAnsi"/>
          <w:sz w:val="24"/>
          <w:szCs w:val="24"/>
          <w:u w:val="single"/>
        </w:rPr>
      </w:pPr>
    </w:p>
    <w:p w14:paraId="2332C152" w14:textId="77777777" w:rsidR="00357665" w:rsidRPr="00040AB6" w:rsidRDefault="00E92871" w:rsidP="005A39B1">
      <w:pPr>
        <w:pStyle w:val="ListParagraph"/>
        <w:numPr>
          <w:ilvl w:val="0"/>
          <w:numId w:val="17"/>
        </w:numPr>
        <w:spacing w:after="0" w:line="240" w:lineRule="auto"/>
        <w:ind w:left="720"/>
        <w:rPr>
          <w:rFonts w:asciiTheme="minorHAnsi" w:hAnsiTheme="minorHAnsi"/>
          <w:sz w:val="32"/>
          <w:szCs w:val="32"/>
        </w:rPr>
      </w:pPr>
      <w:r w:rsidRPr="00040AB6">
        <w:rPr>
          <w:rFonts w:asciiTheme="minorHAnsi" w:hAnsiTheme="minorHAnsi"/>
          <w:sz w:val="32"/>
          <w:szCs w:val="32"/>
        </w:rPr>
        <w:t>Annual Program Budget</w:t>
      </w:r>
    </w:p>
    <w:p w14:paraId="6D2F23B4" w14:textId="77777777" w:rsidR="00676821" w:rsidRPr="00040AB6" w:rsidRDefault="00676821" w:rsidP="00BF2975">
      <w:pPr>
        <w:spacing w:after="0" w:line="240" w:lineRule="auto"/>
        <w:ind w:left="720"/>
        <w:rPr>
          <w:rFonts w:asciiTheme="minorHAnsi" w:hAnsiTheme="minorHAnsi"/>
          <w:sz w:val="24"/>
          <w:szCs w:val="24"/>
          <w:u w:val="single"/>
        </w:rPr>
      </w:pPr>
      <w:r w:rsidRPr="00040AB6">
        <w:rPr>
          <w:rFonts w:asciiTheme="minorHAnsi" w:hAnsiTheme="minorHAnsi"/>
          <w:sz w:val="24"/>
          <w:szCs w:val="24"/>
          <w:u w:val="single"/>
        </w:rPr>
        <w:t>Budgets</w:t>
      </w:r>
    </w:p>
    <w:p w14:paraId="4479A414" w14:textId="77777777"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 xml:space="preserve">Forecasted program costs </w:t>
      </w:r>
      <w:r w:rsidR="004D1E3F" w:rsidRPr="00040AB6">
        <w:rPr>
          <w:rFonts w:asciiTheme="minorHAnsi" w:hAnsiTheme="minorHAnsi"/>
          <w:sz w:val="24"/>
          <w:szCs w:val="24"/>
        </w:rPr>
        <w:t xml:space="preserve">for the next calendar year </w:t>
      </w:r>
      <w:r w:rsidRPr="00040AB6">
        <w:rPr>
          <w:rFonts w:asciiTheme="minorHAnsi" w:hAnsiTheme="minorHAnsi"/>
          <w:sz w:val="24"/>
          <w:szCs w:val="24"/>
        </w:rPr>
        <w:t xml:space="preserve">will be reviewed </w:t>
      </w:r>
      <w:r w:rsidR="004D1E3F" w:rsidRPr="00040AB6">
        <w:rPr>
          <w:rFonts w:asciiTheme="minorHAnsi" w:hAnsiTheme="minorHAnsi"/>
          <w:sz w:val="24"/>
          <w:szCs w:val="24"/>
        </w:rPr>
        <w:t>annually</w:t>
      </w:r>
      <w:r w:rsidRPr="00040AB6">
        <w:rPr>
          <w:rFonts w:asciiTheme="minorHAnsi" w:hAnsiTheme="minorHAnsi"/>
          <w:sz w:val="24"/>
          <w:szCs w:val="24"/>
        </w:rPr>
        <w:t xml:space="preserve"> in November when metrics are </w:t>
      </w:r>
      <w:r w:rsidR="004D1E3F" w:rsidRPr="00040AB6">
        <w:rPr>
          <w:rFonts w:asciiTheme="minorHAnsi" w:hAnsiTheme="minorHAnsi"/>
          <w:sz w:val="24"/>
          <w:szCs w:val="24"/>
        </w:rPr>
        <w:t xml:space="preserve">also </w:t>
      </w:r>
      <w:r w:rsidRPr="00040AB6">
        <w:rPr>
          <w:rFonts w:asciiTheme="minorHAnsi" w:hAnsiTheme="minorHAnsi"/>
          <w:sz w:val="24"/>
          <w:szCs w:val="24"/>
        </w:rPr>
        <w:t xml:space="preserve">proposed for the following program year.  </w:t>
      </w:r>
    </w:p>
    <w:p w14:paraId="09987E7E" w14:textId="77777777" w:rsidR="00341BE4" w:rsidRPr="00040AB6" w:rsidRDefault="00341BE4">
      <w:pPr>
        <w:spacing w:after="0" w:line="240" w:lineRule="auto"/>
        <w:rPr>
          <w:rFonts w:asciiTheme="minorHAnsi" w:hAnsiTheme="minorHAnsi"/>
          <w:sz w:val="24"/>
          <w:szCs w:val="24"/>
        </w:rPr>
      </w:pPr>
      <w:r w:rsidRPr="00040AB6">
        <w:rPr>
          <w:rFonts w:asciiTheme="minorHAnsi" w:hAnsiTheme="minorHAnsi"/>
          <w:sz w:val="24"/>
          <w:szCs w:val="24"/>
        </w:rPr>
        <w:br w:type="page"/>
      </w:r>
    </w:p>
    <w:p w14:paraId="3A39587A" w14:textId="77777777" w:rsidR="00676821" w:rsidRPr="00040AB6" w:rsidRDefault="00676821" w:rsidP="00BF2975">
      <w:pPr>
        <w:spacing w:after="0" w:line="240" w:lineRule="auto"/>
        <w:ind w:left="720"/>
        <w:rPr>
          <w:rFonts w:asciiTheme="minorHAnsi" w:hAnsiTheme="minorHAnsi"/>
          <w:sz w:val="24"/>
          <w:szCs w:val="24"/>
          <w:u w:val="single"/>
        </w:rPr>
      </w:pPr>
      <w:r w:rsidRPr="00040AB6">
        <w:rPr>
          <w:rFonts w:asciiTheme="minorHAnsi" w:hAnsiTheme="minorHAnsi"/>
          <w:sz w:val="24"/>
          <w:szCs w:val="24"/>
          <w:u w:val="single"/>
        </w:rPr>
        <w:t>Actual Costs</w:t>
      </w:r>
    </w:p>
    <w:p w14:paraId="45041CB5" w14:textId="77777777"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 xml:space="preserve">Each year, the Company will file its annual report by April 25 which will detail costs and acquisitions for the previous program year.  This filing will trigger the EEAG’s review of general energy efficiency and WA-LIEE program costs.  </w:t>
      </w:r>
    </w:p>
    <w:p w14:paraId="49CE242B" w14:textId="77777777" w:rsidR="00357665" w:rsidRPr="00040AB6" w:rsidRDefault="00357665" w:rsidP="00BF2975">
      <w:pPr>
        <w:spacing w:after="0" w:line="240" w:lineRule="auto"/>
        <w:ind w:left="720"/>
        <w:rPr>
          <w:rFonts w:asciiTheme="minorHAnsi" w:hAnsiTheme="minorHAnsi"/>
          <w:sz w:val="24"/>
          <w:szCs w:val="24"/>
        </w:rPr>
      </w:pPr>
    </w:p>
    <w:p w14:paraId="044E6C5A" w14:textId="77777777" w:rsidR="00E172E4" w:rsidRPr="00040AB6" w:rsidRDefault="00357665" w:rsidP="005A39B1">
      <w:pPr>
        <w:pStyle w:val="ListParagraph"/>
        <w:numPr>
          <w:ilvl w:val="0"/>
          <w:numId w:val="17"/>
        </w:numPr>
        <w:tabs>
          <w:tab w:val="left" w:pos="720"/>
        </w:tabs>
        <w:spacing w:after="0" w:line="240" w:lineRule="auto"/>
        <w:ind w:hanging="1080"/>
        <w:rPr>
          <w:rFonts w:asciiTheme="minorHAnsi" w:hAnsiTheme="minorHAnsi"/>
          <w:sz w:val="32"/>
          <w:szCs w:val="32"/>
        </w:rPr>
      </w:pPr>
      <w:r w:rsidRPr="00040AB6">
        <w:rPr>
          <w:rFonts w:asciiTheme="minorHAnsi" w:hAnsiTheme="minorHAnsi"/>
          <w:sz w:val="32"/>
          <w:szCs w:val="32"/>
        </w:rPr>
        <w:t>Cost Recovery</w:t>
      </w:r>
    </w:p>
    <w:p w14:paraId="4F9F6D4B" w14:textId="77777777" w:rsidR="00E92871" w:rsidRPr="00040AB6" w:rsidRDefault="00357665" w:rsidP="00E172E4">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Energy Efficiency and WA-LIEE program costs </w:t>
      </w:r>
      <w:r w:rsidR="006C5306" w:rsidRPr="00040AB6">
        <w:rPr>
          <w:rFonts w:asciiTheme="minorHAnsi" w:hAnsiTheme="minorHAnsi"/>
          <w:sz w:val="24"/>
          <w:szCs w:val="24"/>
        </w:rPr>
        <w:t>are</w:t>
      </w:r>
      <w:r w:rsidRPr="00040AB6">
        <w:rPr>
          <w:rFonts w:asciiTheme="minorHAnsi" w:hAnsiTheme="minorHAnsi"/>
          <w:sz w:val="24"/>
          <w:szCs w:val="24"/>
        </w:rPr>
        <w:t xml:space="preserve"> deferred and later amortized for recovery</w:t>
      </w:r>
      <w:r w:rsidR="00F25BC2" w:rsidRPr="00040AB6">
        <w:rPr>
          <w:rFonts w:asciiTheme="minorHAnsi" w:hAnsiTheme="minorHAnsi"/>
          <w:sz w:val="24"/>
          <w:szCs w:val="24"/>
        </w:rPr>
        <w:t xml:space="preserve"> from applicable customers on an equal cents per margin basis as established annually in the</w:t>
      </w:r>
      <w:r w:rsidR="004D1E3F" w:rsidRPr="00040AB6">
        <w:rPr>
          <w:rFonts w:asciiTheme="minorHAnsi" w:hAnsiTheme="minorHAnsi"/>
          <w:sz w:val="24"/>
          <w:szCs w:val="24"/>
        </w:rPr>
        <w:t xml:space="preserve"> temporary rate</w:t>
      </w:r>
      <w:r w:rsidR="00F25BC2" w:rsidRPr="00040AB6">
        <w:rPr>
          <w:rFonts w:asciiTheme="minorHAnsi" w:hAnsiTheme="minorHAnsi"/>
          <w:sz w:val="24"/>
          <w:szCs w:val="24"/>
        </w:rPr>
        <w:t xml:space="preserve"> adjustments, Schedules 215 and 230, respectively.  </w:t>
      </w:r>
      <w:r w:rsidR="00084FE6" w:rsidRPr="00040AB6">
        <w:rPr>
          <w:rFonts w:asciiTheme="minorHAnsi" w:hAnsiTheme="minorHAnsi"/>
          <w:sz w:val="24"/>
          <w:szCs w:val="24"/>
        </w:rPr>
        <w:t xml:space="preserve">Beginning in 2012, </w:t>
      </w:r>
      <w:r w:rsidR="00F25BC2" w:rsidRPr="00040AB6">
        <w:rPr>
          <w:rFonts w:asciiTheme="minorHAnsi" w:hAnsiTheme="minorHAnsi"/>
          <w:sz w:val="24"/>
          <w:szCs w:val="24"/>
        </w:rPr>
        <w:t xml:space="preserve">the Company will </w:t>
      </w:r>
      <w:r w:rsidR="00084FE6" w:rsidRPr="00040AB6">
        <w:rPr>
          <w:rFonts w:asciiTheme="minorHAnsi" w:hAnsiTheme="minorHAnsi"/>
          <w:sz w:val="24"/>
          <w:szCs w:val="24"/>
        </w:rPr>
        <w:t>annually submit</w:t>
      </w:r>
      <w:r w:rsidR="00E92871" w:rsidRPr="00040AB6">
        <w:rPr>
          <w:rFonts w:asciiTheme="minorHAnsi" w:hAnsiTheme="minorHAnsi"/>
          <w:sz w:val="24"/>
          <w:szCs w:val="24"/>
        </w:rPr>
        <w:t xml:space="preserve"> a stand-alone filing</w:t>
      </w:r>
      <w:r w:rsidR="00084FE6" w:rsidRPr="00040AB6">
        <w:rPr>
          <w:rFonts w:asciiTheme="minorHAnsi" w:hAnsiTheme="minorHAnsi"/>
          <w:sz w:val="24"/>
          <w:szCs w:val="24"/>
        </w:rPr>
        <w:t xml:space="preserve"> concurrently with its PGA filing, for cost recovery of </w:t>
      </w:r>
      <w:r w:rsidR="001078A0" w:rsidRPr="00040AB6">
        <w:rPr>
          <w:rFonts w:asciiTheme="minorHAnsi" w:hAnsiTheme="minorHAnsi"/>
          <w:sz w:val="24"/>
          <w:szCs w:val="24"/>
        </w:rPr>
        <w:t xml:space="preserve">its </w:t>
      </w:r>
      <w:r w:rsidR="00084FE6" w:rsidRPr="00040AB6">
        <w:rPr>
          <w:rFonts w:asciiTheme="minorHAnsi" w:hAnsiTheme="minorHAnsi"/>
          <w:sz w:val="24"/>
          <w:szCs w:val="24"/>
        </w:rPr>
        <w:t>energy efficiency program expenses for the prior calendar year</w:t>
      </w:r>
      <w:r w:rsidRPr="00040AB6">
        <w:rPr>
          <w:rFonts w:asciiTheme="minorHAnsi" w:hAnsiTheme="minorHAnsi"/>
          <w:sz w:val="24"/>
          <w:szCs w:val="24"/>
        </w:rPr>
        <w:t xml:space="preserve">.  </w:t>
      </w:r>
      <w:r w:rsidR="00084FE6" w:rsidRPr="00040AB6">
        <w:rPr>
          <w:rFonts w:asciiTheme="minorHAnsi" w:hAnsiTheme="minorHAnsi"/>
          <w:sz w:val="24"/>
          <w:szCs w:val="24"/>
        </w:rPr>
        <w:t>That annual filing will</w:t>
      </w:r>
      <w:r w:rsidR="00E92871" w:rsidRPr="00040AB6">
        <w:rPr>
          <w:rFonts w:asciiTheme="minorHAnsi" w:hAnsiTheme="minorHAnsi"/>
          <w:sz w:val="24"/>
          <w:szCs w:val="24"/>
        </w:rPr>
        <w:t xml:space="preserve"> include the following information:</w:t>
      </w:r>
    </w:p>
    <w:p w14:paraId="3230C3B8" w14:textId="77777777" w:rsidR="001078A0" w:rsidRPr="00040AB6" w:rsidRDefault="001078A0" w:rsidP="00E172E4">
      <w:pPr>
        <w:pStyle w:val="ListParagraph"/>
        <w:spacing w:after="0" w:line="240" w:lineRule="auto"/>
        <w:rPr>
          <w:rFonts w:asciiTheme="minorHAnsi" w:hAnsiTheme="minorHAnsi"/>
          <w:sz w:val="24"/>
          <w:szCs w:val="24"/>
        </w:rPr>
      </w:pPr>
    </w:p>
    <w:p w14:paraId="13D12BC9" w14:textId="77777777" w:rsidR="00FA06CC" w:rsidRPr="00040AB6" w:rsidRDefault="00FA06CC"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 xml:space="preserve">Background on the Company’s </w:t>
      </w:r>
      <w:r w:rsidR="00E35E77" w:rsidRPr="00040AB6">
        <w:rPr>
          <w:rFonts w:asciiTheme="minorHAnsi" w:hAnsiTheme="minorHAnsi"/>
          <w:sz w:val="24"/>
          <w:szCs w:val="24"/>
        </w:rPr>
        <w:t xml:space="preserve">energy efficiency </w:t>
      </w:r>
      <w:r w:rsidRPr="00040AB6">
        <w:rPr>
          <w:rFonts w:asciiTheme="minorHAnsi" w:hAnsiTheme="minorHAnsi"/>
          <w:sz w:val="24"/>
          <w:szCs w:val="24"/>
        </w:rPr>
        <w:t xml:space="preserve">programs and </w:t>
      </w:r>
      <w:r w:rsidR="00E35E77" w:rsidRPr="00040AB6">
        <w:rPr>
          <w:rFonts w:asciiTheme="minorHAnsi" w:hAnsiTheme="minorHAnsi"/>
          <w:sz w:val="24"/>
          <w:szCs w:val="24"/>
        </w:rPr>
        <w:t>cost recovery</w:t>
      </w:r>
    </w:p>
    <w:p w14:paraId="5A896B80" w14:textId="77777777" w:rsidR="00DE4408" w:rsidRPr="00040AB6" w:rsidRDefault="00DE4408"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A copy of the prior program year</w:t>
      </w:r>
      <w:r w:rsidR="00E35E77" w:rsidRPr="00040AB6">
        <w:rPr>
          <w:rFonts w:asciiTheme="minorHAnsi" w:hAnsiTheme="minorHAnsi"/>
          <w:sz w:val="24"/>
          <w:szCs w:val="24"/>
        </w:rPr>
        <w:t>’s</w:t>
      </w:r>
      <w:r w:rsidRPr="00040AB6">
        <w:rPr>
          <w:rFonts w:asciiTheme="minorHAnsi" w:hAnsiTheme="minorHAnsi"/>
          <w:sz w:val="24"/>
          <w:szCs w:val="24"/>
        </w:rPr>
        <w:t xml:space="preserve"> Annual Report which will include </w:t>
      </w:r>
      <w:r w:rsidR="00E35E77" w:rsidRPr="00040AB6">
        <w:rPr>
          <w:rFonts w:asciiTheme="minorHAnsi" w:hAnsiTheme="minorHAnsi"/>
          <w:sz w:val="24"/>
          <w:szCs w:val="24"/>
        </w:rPr>
        <w:t>detail</w:t>
      </w:r>
      <w:r w:rsidRPr="00040AB6">
        <w:rPr>
          <w:rFonts w:asciiTheme="minorHAnsi" w:hAnsiTheme="minorHAnsi"/>
          <w:sz w:val="24"/>
          <w:szCs w:val="24"/>
        </w:rPr>
        <w:t xml:space="preserve"> on the achievement of performance metrics</w:t>
      </w:r>
      <w:r w:rsidR="00E35E77" w:rsidRPr="00040AB6">
        <w:rPr>
          <w:rFonts w:asciiTheme="minorHAnsi" w:hAnsiTheme="minorHAnsi"/>
          <w:sz w:val="24"/>
          <w:szCs w:val="24"/>
        </w:rPr>
        <w:t xml:space="preserve">; </w:t>
      </w:r>
      <w:r w:rsidR="000946C0" w:rsidRPr="00040AB6">
        <w:rPr>
          <w:rFonts w:asciiTheme="minorHAnsi" w:hAnsiTheme="minorHAnsi"/>
          <w:sz w:val="24"/>
          <w:szCs w:val="24"/>
        </w:rPr>
        <w:t xml:space="preserve">the </w:t>
      </w:r>
      <w:r w:rsidR="00E35E77" w:rsidRPr="00040AB6">
        <w:rPr>
          <w:rFonts w:asciiTheme="minorHAnsi" w:hAnsiTheme="minorHAnsi"/>
          <w:sz w:val="24"/>
          <w:szCs w:val="24"/>
        </w:rPr>
        <w:t>forecasted budget</w:t>
      </w:r>
      <w:r w:rsidR="000946C0" w:rsidRPr="00040AB6">
        <w:rPr>
          <w:rFonts w:asciiTheme="minorHAnsi" w:hAnsiTheme="minorHAnsi"/>
          <w:sz w:val="24"/>
          <w:szCs w:val="24"/>
        </w:rPr>
        <w:t xml:space="preserve"> for that year</w:t>
      </w:r>
      <w:r w:rsidR="00E35E77" w:rsidRPr="00040AB6">
        <w:rPr>
          <w:rFonts w:asciiTheme="minorHAnsi" w:hAnsiTheme="minorHAnsi"/>
          <w:sz w:val="24"/>
          <w:szCs w:val="24"/>
        </w:rPr>
        <w:t xml:space="preserve"> and actual expenditures</w:t>
      </w:r>
    </w:p>
    <w:p w14:paraId="64EDF127" w14:textId="77777777" w:rsidR="00BE7265" w:rsidRPr="00040AB6" w:rsidRDefault="00BE7265"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The total dollar amount the Company is seeking to recover</w:t>
      </w:r>
    </w:p>
    <w:p w14:paraId="17495557" w14:textId="77777777" w:rsidR="00BE7265" w:rsidRPr="00040AB6" w:rsidRDefault="00BE7265" w:rsidP="00BE7265">
      <w:pPr>
        <w:pStyle w:val="NormalWeb"/>
        <w:numPr>
          <w:ilvl w:val="0"/>
          <w:numId w:val="15"/>
        </w:numPr>
        <w:ind w:left="1440"/>
        <w:rPr>
          <w:rFonts w:asciiTheme="minorHAnsi" w:hAnsiTheme="minorHAnsi" w:cs="Calibri"/>
        </w:rPr>
      </w:pPr>
      <w:r w:rsidRPr="00040AB6">
        <w:rPr>
          <w:rFonts w:asciiTheme="minorHAnsi" w:hAnsiTheme="minorHAnsi" w:cs="Calibri"/>
        </w:rPr>
        <w:t xml:space="preserve">The total incremental dollar impact that the proposed rate change will have </w:t>
      </w:r>
      <w:r w:rsidR="00814D49" w:rsidRPr="00040AB6">
        <w:rPr>
          <w:rFonts w:asciiTheme="minorHAnsi" w:hAnsiTheme="minorHAnsi" w:cs="Calibri"/>
        </w:rPr>
        <w:t>on average</w:t>
      </w:r>
      <w:r w:rsidRPr="00040AB6">
        <w:rPr>
          <w:rFonts w:asciiTheme="minorHAnsi" w:hAnsiTheme="minorHAnsi" w:cs="Calibri"/>
        </w:rPr>
        <w:t xml:space="preserve"> residential and commercial customer monthly bills.</w:t>
      </w:r>
      <w:r w:rsidRPr="00040AB6">
        <w:rPr>
          <w:rFonts w:asciiTheme="minorHAnsi" w:hAnsiTheme="minorHAnsi"/>
        </w:rPr>
        <w:t xml:space="preserve"> </w:t>
      </w:r>
    </w:p>
    <w:p w14:paraId="735B9ADB" w14:textId="77777777" w:rsidR="00FA06CC" w:rsidRPr="00040AB6" w:rsidRDefault="00BE7265"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Total a</w:t>
      </w:r>
      <w:r w:rsidR="00DE4408" w:rsidRPr="00040AB6">
        <w:rPr>
          <w:rFonts w:asciiTheme="minorHAnsi" w:hAnsiTheme="minorHAnsi"/>
          <w:sz w:val="24"/>
          <w:szCs w:val="24"/>
        </w:rPr>
        <w:t>verage m</w:t>
      </w:r>
      <w:r w:rsidR="00FA06CC" w:rsidRPr="00040AB6">
        <w:rPr>
          <w:rFonts w:asciiTheme="minorHAnsi" w:hAnsiTheme="minorHAnsi"/>
          <w:sz w:val="24"/>
          <w:szCs w:val="24"/>
        </w:rPr>
        <w:t>onthly bill of proposed rate for</w:t>
      </w:r>
      <w:r w:rsidR="00DE4408" w:rsidRPr="00040AB6">
        <w:rPr>
          <w:rFonts w:asciiTheme="minorHAnsi" w:hAnsiTheme="minorHAnsi"/>
          <w:sz w:val="24"/>
          <w:szCs w:val="24"/>
        </w:rPr>
        <w:t xml:space="preserve"> applicable</w:t>
      </w:r>
      <w:r w:rsidR="00FA06CC" w:rsidRPr="00040AB6">
        <w:rPr>
          <w:rFonts w:asciiTheme="minorHAnsi" w:hAnsiTheme="minorHAnsi"/>
          <w:sz w:val="24"/>
          <w:szCs w:val="24"/>
        </w:rPr>
        <w:t xml:space="preserve"> </w:t>
      </w:r>
      <w:r w:rsidR="00DE4408" w:rsidRPr="00040AB6">
        <w:rPr>
          <w:rFonts w:asciiTheme="minorHAnsi" w:hAnsiTheme="minorHAnsi"/>
          <w:sz w:val="24"/>
          <w:szCs w:val="24"/>
        </w:rPr>
        <w:t>customers.</w:t>
      </w:r>
    </w:p>
    <w:p w14:paraId="1C50C2DD" w14:textId="77777777" w:rsidR="00FA06CC" w:rsidRPr="00040AB6" w:rsidRDefault="00FA06CC"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Work</w:t>
      </w:r>
      <w:r w:rsidR="00E35E77" w:rsidRPr="00040AB6">
        <w:rPr>
          <w:rFonts w:asciiTheme="minorHAnsi" w:hAnsiTheme="minorHAnsi"/>
          <w:sz w:val="24"/>
          <w:szCs w:val="24"/>
        </w:rPr>
        <w:t xml:space="preserve"> </w:t>
      </w:r>
      <w:r w:rsidRPr="00040AB6">
        <w:rPr>
          <w:rFonts w:asciiTheme="minorHAnsi" w:hAnsiTheme="minorHAnsi"/>
          <w:sz w:val="24"/>
          <w:szCs w:val="24"/>
        </w:rPr>
        <w:t xml:space="preserve">papers demonstrating the analysis behind the collection rate. </w:t>
      </w:r>
    </w:p>
    <w:p w14:paraId="61506323" w14:textId="77777777" w:rsidR="00357665" w:rsidRPr="00040AB6" w:rsidRDefault="00357665" w:rsidP="00BF2975">
      <w:pPr>
        <w:spacing w:after="0" w:line="240" w:lineRule="auto"/>
        <w:ind w:left="720"/>
        <w:rPr>
          <w:rFonts w:asciiTheme="minorHAnsi" w:hAnsiTheme="minorHAnsi"/>
          <w:sz w:val="24"/>
          <w:szCs w:val="24"/>
        </w:rPr>
      </w:pPr>
    </w:p>
    <w:p w14:paraId="63F82129" w14:textId="77777777" w:rsidR="00177605" w:rsidRPr="00040AB6" w:rsidRDefault="00D90EBA" w:rsidP="00177605">
      <w:pPr>
        <w:ind w:left="720"/>
        <w:rPr>
          <w:rFonts w:asciiTheme="minorHAnsi" w:hAnsiTheme="minorHAnsi"/>
        </w:rPr>
      </w:pPr>
      <w:r w:rsidRPr="00040AB6">
        <w:rPr>
          <w:rFonts w:asciiTheme="minorHAnsi" w:hAnsiTheme="minorHAnsi"/>
          <w:sz w:val="24"/>
          <w:szCs w:val="24"/>
        </w:rPr>
        <w:t>T</w:t>
      </w:r>
      <w:r w:rsidR="00E92871" w:rsidRPr="00040AB6">
        <w:rPr>
          <w:rFonts w:asciiTheme="minorHAnsi" w:hAnsiTheme="minorHAnsi"/>
          <w:sz w:val="24"/>
          <w:szCs w:val="24"/>
        </w:rPr>
        <w:t xml:space="preserve">he Company </w:t>
      </w:r>
      <w:r w:rsidRPr="00040AB6">
        <w:rPr>
          <w:rFonts w:asciiTheme="minorHAnsi" w:hAnsiTheme="minorHAnsi"/>
          <w:sz w:val="24"/>
          <w:szCs w:val="24"/>
        </w:rPr>
        <w:t>also includes a</w:t>
      </w:r>
      <w:r w:rsidR="00E92871" w:rsidRPr="00040AB6">
        <w:rPr>
          <w:rFonts w:asciiTheme="minorHAnsi" w:hAnsiTheme="minorHAnsi"/>
          <w:sz w:val="24"/>
          <w:szCs w:val="24"/>
        </w:rPr>
        <w:t xml:space="preserve"> message on applicable Customers’ monthly bills </w:t>
      </w:r>
      <w:r w:rsidR="00E91352" w:rsidRPr="00040AB6">
        <w:rPr>
          <w:rFonts w:asciiTheme="minorHAnsi" w:hAnsiTheme="minorHAnsi"/>
          <w:sz w:val="24"/>
          <w:szCs w:val="24"/>
        </w:rPr>
        <w:t xml:space="preserve">stating </w:t>
      </w:r>
      <w:r w:rsidR="00622178" w:rsidRPr="00040AB6">
        <w:rPr>
          <w:rFonts w:asciiTheme="minorHAnsi" w:hAnsiTheme="minorHAnsi"/>
          <w:sz w:val="24"/>
          <w:szCs w:val="24"/>
        </w:rPr>
        <w:t>how much of their current monthly bill</w:t>
      </w:r>
      <w:r w:rsidR="00177605" w:rsidRPr="00040AB6">
        <w:rPr>
          <w:rFonts w:asciiTheme="minorHAnsi" w:hAnsiTheme="minorHAnsi"/>
          <w:sz w:val="24"/>
          <w:szCs w:val="24"/>
        </w:rPr>
        <w:t xml:space="preserve"> </w:t>
      </w:r>
      <w:r w:rsidR="00622178" w:rsidRPr="00040AB6">
        <w:rPr>
          <w:rFonts w:asciiTheme="minorHAnsi" w:hAnsiTheme="minorHAnsi"/>
          <w:sz w:val="24"/>
          <w:szCs w:val="24"/>
        </w:rPr>
        <w:t>represents costs collected to pay for the</w:t>
      </w:r>
      <w:r w:rsidR="00C76326" w:rsidRPr="00040AB6">
        <w:rPr>
          <w:rFonts w:asciiTheme="minorHAnsi" w:hAnsiTheme="minorHAnsi"/>
          <w:sz w:val="24"/>
          <w:szCs w:val="24"/>
        </w:rPr>
        <w:t xml:space="preserve"> </w:t>
      </w:r>
      <w:r w:rsidR="00622178" w:rsidRPr="00040AB6">
        <w:rPr>
          <w:rFonts w:asciiTheme="minorHAnsi" w:hAnsiTheme="minorHAnsi"/>
          <w:sz w:val="24"/>
          <w:szCs w:val="24"/>
        </w:rPr>
        <w:t>r</w:t>
      </w:r>
      <w:r w:rsidR="00177605" w:rsidRPr="00040AB6">
        <w:rPr>
          <w:rFonts w:asciiTheme="minorHAnsi" w:hAnsiTheme="minorHAnsi"/>
          <w:sz w:val="24"/>
          <w:szCs w:val="24"/>
        </w:rPr>
        <w:t xml:space="preserve">esidential </w:t>
      </w:r>
      <w:r w:rsidR="00622178" w:rsidRPr="00040AB6">
        <w:rPr>
          <w:rFonts w:asciiTheme="minorHAnsi" w:hAnsiTheme="minorHAnsi"/>
          <w:sz w:val="24"/>
          <w:szCs w:val="24"/>
        </w:rPr>
        <w:t xml:space="preserve">and commercial </w:t>
      </w:r>
      <w:r w:rsidR="00177605" w:rsidRPr="00040AB6">
        <w:rPr>
          <w:rFonts w:asciiTheme="minorHAnsi" w:hAnsiTheme="minorHAnsi"/>
          <w:sz w:val="24"/>
          <w:szCs w:val="24"/>
        </w:rPr>
        <w:t xml:space="preserve">energy efficiency programs. </w:t>
      </w:r>
      <w:r w:rsidR="00622178" w:rsidRPr="00040AB6">
        <w:rPr>
          <w:rFonts w:asciiTheme="minorHAnsi" w:hAnsiTheme="minorHAnsi"/>
          <w:sz w:val="24"/>
          <w:szCs w:val="24"/>
        </w:rPr>
        <w:t xml:space="preserve"> </w:t>
      </w:r>
    </w:p>
    <w:p w14:paraId="411D0DDE" w14:textId="77777777" w:rsidR="00E92871" w:rsidRPr="00040AB6" w:rsidRDefault="00E92871" w:rsidP="000C2946">
      <w:pPr>
        <w:spacing w:after="0" w:line="240" w:lineRule="auto"/>
        <w:ind w:left="720"/>
        <w:rPr>
          <w:rFonts w:asciiTheme="minorHAnsi" w:hAnsiTheme="minorHAnsi"/>
          <w:sz w:val="24"/>
          <w:szCs w:val="24"/>
        </w:rPr>
      </w:pPr>
    </w:p>
    <w:p w14:paraId="12A9CDAD" w14:textId="65CF8B2D" w:rsidR="00357665" w:rsidRPr="00040AB6" w:rsidRDefault="00EA2A1F" w:rsidP="008431AD">
      <w:pPr>
        <w:pStyle w:val="ListParagraph"/>
        <w:numPr>
          <w:ilvl w:val="0"/>
          <w:numId w:val="17"/>
        </w:numPr>
        <w:spacing w:after="0" w:line="240" w:lineRule="auto"/>
        <w:ind w:left="720"/>
        <w:rPr>
          <w:rFonts w:asciiTheme="minorHAnsi" w:hAnsiTheme="minorHAnsi"/>
          <w:sz w:val="32"/>
          <w:szCs w:val="32"/>
        </w:rPr>
      </w:pPr>
      <w:r w:rsidRPr="00040AB6">
        <w:rPr>
          <w:rFonts w:asciiTheme="minorHAnsi" w:hAnsiTheme="minorHAnsi"/>
          <w:sz w:val="32"/>
          <w:szCs w:val="32"/>
        </w:rPr>
        <w:t xml:space="preserve">2015 </w:t>
      </w:r>
      <w:r w:rsidR="00357665" w:rsidRPr="00040AB6">
        <w:rPr>
          <w:rFonts w:asciiTheme="minorHAnsi" w:hAnsiTheme="minorHAnsi"/>
          <w:sz w:val="32"/>
          <w:szCs w:val="32"/>
        </w:rPr>
        <w:t>Performance Metrics</w:t>
      </w:r>
    </w:p>
    <w:p w14:paraId="17441907" w14:textId="661B3BAD" w:rsidR="00357665" w:rsidRPr="00040AB6" w:rsidRDefault="00357665" w:rsidP="003A1FAE">
      <w:pPr>
        <w:ind w:left="720"/>
        <w:rPr>
          <w:rFonts w:asciiTheme="minorHAnsi" w:hAnsiTheme="minorHAnsi" w:cs="Calibri"/>
          <w:sz w:val="24"/>
          <w:szCs w:val="24"/>
        </w:rPr>
      </w:pPr>
      <w:r w:rsidRPr="00040AB6">
        <w:rPr>
          <w:rFonts w:asciiTheme="minorHAnsi" w:hAnsiTheme="minorHAnsi" w:cs="Calibri"/>
          <w:sz w:val="24"/>
          <w:szCs w:val="24"/>
        </w:rPr>
        <w:t xml:space="preserve">Below are the </w:t>
      </w:r>
      <w:r w:rsidR="00EA2A1F" w:rsidRPr="00040AB6">
        <w:rPr>
          <w:rFonts w:asciiTheme="minorHAnsi" w:hAnsiTheme="minorHAnsi" w:cs="Calibri"/>
          <w:sz w:val="24"/>
          <w:szCs w:val="24"/>
        </w:rPr>
        <w:t xml:space="preserve">2015 </w:t>
      </w:r>
      <w:r w:rsidRPr="00040AB6">
        <w:rPr>
          <w:rFonts w:asciiTheme="minorHAnsi" w:hAnsiTheme="minorHAnsi" w:cs="Calibri"/>
          <w:sz w:val="24"/>
          <w:szCs w:val="24"/>
        </w:rPr>
        <w:t>program metrics.  Each metric is followed by a statement explaining how it was determined.</w:t>
      </w:r>
    </w:p>
    <w:p w14:paraId="2A80D758" w14:textId="3F711216" w:rsidR="00357665" w:rsidRPr="00040AB6" w:rsidRDefault="00357665" w:rsidP="00B01965">
      <w:pPr>
        <w:numPr>
          <w:ilvl w:val="0"/>
          <w:numId w:val="2"/>
        </w:numPr>
        <w:spacing w:after="0" w:line="240" w:lineRule="auto"/>
        <w:rPr>
          <w:rFonts w:asciiTheme="minorHAnsi" w:hAnsiTheme="minorHAnsi" w:cs="Calibri"/>
          <w:sz w:val="24"/>
          <w:szCs w:val="24"/>
        </w:rPr>
      </w:pPr>
      <w:bookmarkStart w:id="0" w:name="OLE_LINK37"/>
      <w:bookmarkStart w:id="1" w:name="OLE_LINK38"/>
      <w:r w:rsidRPr="00040AB6">
        <w:rPr>
          <w:rFonts w:asciiTheme="minorHAnsi" w:hAnsiTheme="minorHAnsi" w:cs="Calibri"/>
          <w:sz w:val="24"/>
          <w:szCs w:val="24"/>
        </w:rPr>
        <w:t>Total</w:t>
      </w:r>
      <w:r w:rsidR="002668F1" w:rsidRPr="00040AB6">
        <w:rPr>
          <w:rFonts w:asciiTheme="minorHAnsi" w:hAnsiTheme="minorHAnsi" w:cs="Calibri"/>
          <w:sz w:val="24"/>
          <w:szCs w:val="24"/>
        </w:rPr>
        <w:t xml:space="preserve"> residential and commercial </w:t>
      </w:r>
      <w:r w:rsidRPr="00040AB6">
        <w:rPr>
          <w:rFonts w:asciiTheme="minorHAnsi" w:hAnsiTheme="minorHAnsi" w:cs="Calibri"/>
          <w:sz w:val="24"/>
          <w:szCs w:val="24"/>
        </w:rPr>
        <w:t>program costs</w:t>
      </w:r>
      <w:r w:rsidR="00B01965" w:rsidRPr="00040AB6">
        <w:rPr>
          <w:rFonts w:asciiTheme="minorHAnsi" w:hAnsiTheme="minorHAnsi" w:cs="Calibri"/>
          <w:sz w:val="24"/>
          <w:szCs w:val="24"/>
        </w:rPr>
        <w:t>, including NEEA gas efficiency market transformation,</w:t>
      </w:r>
      <w:r w:rsidRPr="00040AB6">
        <w:rPr>
          <w:rFonts w:asciiTheme="minorHAnsi" w:hAnsiTheme="minorHAnsi" w:cs="Calibri"/>
          <w:sz w:val="24"/>
          <w:szCs w:val="24"/>
        </w:rPr>
        <w:t xml:space="preserve"> will be between</w:t>
      </w:r>
      <w:r w:rsidR="00EF6A4C" w:rsidRPr="00040AB6">
        <w:rPr>
          <w:rFonts w:asciiTheme="minorHAnsi" w:hAnsiTheme="minorHAnsi" w:cs="Calibri"/>
          <w:sz w:val="24"/>
          <w:szCs w:val="24"/>
        </w:rPr>
        <w:t xml:space="preserve"> </w:t>
      </w:r>
      <w:r w:rsidR="00B01965" w:rsidRPr="00040AB6">
        <w:rPr>
          <w:rFonts w:asciiTheme="minorHAnsi" w:hAnsiTheme="minorHAnsi" w:cs="Calibri"/>
          <w:sz w:val="24"/>
          <w:szCs w:val="24"/>
        </w:rPr>
        <w:t xml:space="preserve">$1,342,559 </w:t>
      </w:r>
      <w:r w:rsidR="004063D6" w:rsidRPr="00040AB6">
        <w:rPr>
          <w:rFonts w:asciiTheme="minorHAnsi" w:hAnsiTheme="minorHAnsi" w:cs="Calibri"/>
          <w:sz w:val="24"/>
          <w:szCs w:val="24"/>
        </w:rPr>
        <w:t xml:space="preserve">and </w:t>
      </w:r>
      <w:r w:rsidR="00B01965" w:rsidRPr="00040AB6">
        <w:rPr>
          <w:rFonts w:asciiTheme="minorHAnsi" w:hAnsiTheme="minorHAnsi" w:cs="Calibri"/>
          <w:sz w:val="24"/>
          <w:szCs w:val="24"/>
        </w:rPr>
        <w:t xml:space="preserve">$1,570,292 </w:t>
      </w:r>
      <w:r w:rsidR="00614BC3" w:rsidRPr="00040AB6">
        <w:rPr>
          <w:rFonts w:asciiTheme="minorHAnsi" w:hAnsiTheme="minorHAnsi" w:cs="Calibri"/>
          <w:sz w:val="24"/>
          <w:szCs w:val="24"/>
        </w:rPr>
        <w:t xml:space="preserve"> </w:t>
      </w:r>
    </w:p>
    <w:p w14:paraId="2BD20E7B" w14:textId="77777777" w:rsidR="00357665" w:rsidRPr="00040AB6" w:rsidRDefault="00357665" w:rsidP="001A5A0B">
      <w:pPr>
        <w:spacing w:after="0" w:line="240" w:lineRule="auto"/>
        <w:ind w:left="1440"/>
        <w:rPr>
          <w:rFonts w:asciiTheme="minorHAnsi" w:hAnsiTheme="minorHAnsi" w:cs="Calibri"/>
          <w:sz w:val="24"/>
          <w:szCs w:val="24"/>
        </w:rPr>
      </w:pPr>
    </w:p>
    <w:p w14:paraId="34825169" w14:textId="193F8964" w:rsidR="00357665" w:rsidRPr="00040AB6" w:rsidRDefault="00357665" w:rsidP="0047136B">
      <w:pPr>
        <w:spacing w:after="0" w:line="240" w:lineRule="auto"/>
        <w:ind w:left="720"/>
        <w:rPr>
          <w:rFonts w:asciiTheme="minorHAnsi" w:hAnsiTheme="minorHAnsi" w:cs="Calibri"/>
          <w:i/>
          <w:sz w:val="24"/>
          <w:szCs w:val="24"/>
        </w:rPr>
      </w:pPr>
      <w:r w:rsidRPr="00040AB6">
        <w:rPr>
          <w:rFonts w:asciiTheme="minorHAnsi" w:hAnsiTheme="minorHAnsi" w:cs="Calibri"/>
          <w:i/>
          <w:sz w:val="24"/>
          <w:szCs w:val="24"/>
        </w:rPr>
        <w:t>The total costs for this metric correlate to the range of costs estimated to achieve all cost effective therms for the programs being offered as determined in the Company’s 20</w:t>
      </w:r>
      <w:r w:rsidR="00B82B2F" w:rsidRPr="00040AB6">
        <w:rPr>
          <w:rFonts w:asciiTheme="minorHAnsi" w:hAnsiTheme="minorHAnsi" w:cs="Calibri"/>
          <w:i/>
          <w:sz w:val="24"/>
          <w:szCs w:val="24"/>
        </w:rPr>
        <w:t>1</w:t>
      </w:r>
      <w:r w:rsidR="00614BC3" w:rsidRPr="00040AB6">
        <w:rPr>
          <w:rFonts w:asciiTheme="minorHAnsi" w:hAnsiTheme="minorHAnsi" w:cs="Calibri"/>
          <w:i/>
          <w:sz w:val="24"/>
          <w:szCs w:val="24"/>
        </w:rPr>
        <w:t>4</w:t>
      </w:r>
      <w:r w:rsidRPr="00040AB6">
        <w:rPr>
          <w:rFonts w:asciiTheme="minorHAnsi" w:hAnsiTheme="minorHAnsi" w:cs="Calibri"/>
          <w:i/>
          <w:sz w:val="24"/>
          <w:szCs w:val="24"/>
        </w:rPr>
        <w:t xml:space="preserve"> Integrated Resource Plan (“IRP”)</w:t>
      </w:r>
      <w:r w:rsidR="006E130D" w:rsidRPr="00040AB6">
        <w:rPr>
          <w:rFonts w:asciiTheme="minorHAnsi" w:hAnsiTheme="minorHAnsi" w:cs="Calibri"/>
          <w:i/>
          <w:sz w:val="24"/>
          <w:szCs w:val="24"/>
        </w:rPr>
        <w:t>.</w:t>
      </w:r>
    </w:p>
    <w:p w14:paraId="067A02FD" w14:textId="77777777" w:rsidR="00357665" w:rsidRPr="00040AB6" w:rsidRDefault="00357665" w:rsidP="001A5A0B">
      <w:pPr>
        <w:spacing w:after="0" w:line="240" w:lineRule="auto"/>
        <w:rPr>
          <w:rFonts w:asciiTheme="minorHAnsi" w:hAnsiTheme="minorHAnsi" w:cs="Calibri"/>
          <w:sz w:val="24"/>
          <w:szCs w:val="24"/>
        </w:rPr>
      </w:pPr>
    </w:p>
    <w:p w14:paraId="11D14F39" w14:textId="1EBDA4F3" w:rsidR="00357665" w:rsidRPr="00040AB6" w:rsidRDefault="00357665" w:rsidP="00EA2174">
      <w:pPr>
        <w:numPr>
          <w:ilvl w:val="0"/>
          <w:numId w:val="2"/>
        </w:numPr>
        <w:spacing w:after="0" w:line="240" w:lineRule="auto"/>
        <w:rPr>
          <w:rFonts w:asciiTheme="minorHAnsi" w:hAnsiTheme="minorHAnsi" w:cs="Calibri"/>
          <w:sz w:val="24"/>
          <w:szCs w:val="24"/>
        </w:rPr>
      </w:pPr>
      <w:r w:rsidRPr="00040AB6">
        <w:rPr>
          <w:rFonts w:asciiTheme="minorHAnsi" w:hAnsiTheme="minorHAnsi" w:cs="Calibri"/>
          <w:sz w:val="24"/>
          <w:szCs w:val="24"/>
        </w:rPr>
        <w:t xml:space="preserve">Therms saved </w:t>
      </w:r>
      <w:r w:rsidR="00585F3E" w:rsidRPr="00040AB6">
        <w:rPr>
          <w:rFonts w:asciiTheme="minorHAnsi" w:hAnsiTheme="minorHAnsi" w:cs="Calibri"/>
          <w:sz w:val="24"/>
          <w:szCs w:val="24"/>
        </w:rPr>
        <w:t xml:space="preserve">for the residential and commercial program </w:t>
      </w:r>
      <w:r w:rsidRPr="00040AB6">
        <w:rPr>
          <w:rFonts w:asciiTheme="minorHAnsi" w:hAnsiTheme="minorHAnsi" w:cs="Calibri"/>
          <w:sz w:val="24"/>
          <w:szCs w:val="24"/>
        </w:rPr>
        <w:t xml:space="preserve">will be between </w:t>
      </w:r>
      <w:r w:rsidR="00EA2174" w:rsidRPr="00040AB6">
        <w:rPr>
          <w:rFonts w:asciiTheme="minorHAnsi" w:hAnsiTheme="minorHAnsi" w:cs="Calibri"/>
          <w:sz w:val="24"/>
          <w:szCs w:val="24"/>
        </w:rPr>
        <w:t>220,</w:t>
      </w:r>
      <w:r w:rsidR="00614BC3" w:rsidRPr="00040AB6">
        <w:rPr>
          <w:rFonts w:asciiTheme="minorHAnsi" w:hAnsiTheme="minorHAnsi" w:cs="Calibri"/>
          <w:sz w:val="24"/>
          <w:szCs w:val="24"/>
        </w:rPr>
        <w:t>991</w:t>
      </w:r>
      <w:r w:rsidR="00EA2174" w:rsidRPr="00040AB6">
        <w:rPr>
          <w:rFonts w:asciiTheme="minorHAnsi" w:hAnsiTheme="minorHAnsi" w:cs="Calibri"/>
          <w:sz w:val="24"/>
          <w:szCs w:val="24"/>
        </w:rPr>
        <w:t xml:space="preserve"> </w:t>
      </w:r>
      <w:r w:rsidR="00381BD8" w:rsidRPr="00040AB6">
        <w:rPr>
          <w:rFonts w:asciiTheme="minorHAnsi" w:hAnsiTheme="minorHAnsi" w:cs="Calibri"/>
          <w:sz w:val="24"/>
          <w:szCs w:val="24"/>
        </w:rPr>
        <w:t xml:space="preserve">and </w:t>
      </w:r>
      <w:r w:rsidR="00EA2174" w:rsidRPr="00040AB6">
        <w:rPr>
          <w:rFonts w:asciiTheme="minorHAnsi" w:hAnsiTheme="minorHAnsi" w:cs="Calibri"/>
          <w:sz w:val="24"/>
          <w:szCs w:val="24"/>
        </w:rPr>
        <w:t>259,8</w:t>
      </w:r>
      <w:r w:rsidR="00614BC3" w:rsidRPr="00040AB6">
        <w:rPr>
          <w:rFonts w:asciiTheme="minorHAnsi" w:hAnsiTheme="minorHAnsi" w:cs="Calibri"/>
          <w:sz w:val="24"/>
          <w:szCs w:val="24"/>
        </w:rPr>
        <w:t>9</w:t>
      </w:r>
      <w:r w:rsidR="00EA2174" w:rsidRPr="00040AB6">
        <w:rPr>
          <w:rFonts w:asciiTheme="minorHAnsi" w:hAnsiTheme="minorHAnsi" w:cs="Calibri"/>
          <w:sz w:val="24"/>
          <w:szCs w:val="24"/>
        </w:rPr>
        <w:t>5</w:t>
      </w:r>
      <w:r w:rsidR="003324F5" w:rsidRPr="00040AB6">
        <w:rPr>
          <w:rFonts w:asciiTheme="minorHAnsi" w:hAnsiTheme="minorHAnsi" w:cs="Calibri"/>
          <w:sz w:val="24"/>
          <w:szCs w:val="24"/>
        </w:rPr>
        <w:t>.</w:t>
      </w:r>
      <w:r w:rsidR="002B31D3" w:rsidRPr="00040AB6">
        <w:rPr>
          <w:rFonts w:asciiTheme="minorHAnsi" w:hAnsiTheme="minorHAnsi" w:cs="Calibri"/>
          <w:sz w:val="24"/>
          <w:szCs w:val="24"/>
        </w:rPr>
        <w:t xml:space="preserve"> Including</w:t>
      </w:r>
      <w:r w:rsidR="003324F5" w:rsidRPr="00040AB6">
        <w:rPr>
          <w:rFonts w:asciiTheme="minorHAnsi" w:hAnsiTheme="minorHAnsi" w:cs="Calibri"/>
          <w:sz w:val="24"/>
          <w:szCs w:val="24"/>
        </w:rPr>
        <w:t xml:space="preserve"> WALIEE, </w:t>
      </w:r>
      <w:proofErr w:type="spellStart"/>
      <w:r w:rsidR="003324F5" w:rsidRPr="00040AB6">
        <w:rPr>
          <w:rFonts w:asciiTheme="minorHAnsi" w:hAnsiTheme="minorHAnsi" w:cs="Calibri"/>
          <w:sz w:val="24"/>
          <w:szCs w:val="24"/>
        </w:rPr>
        <w:t>therm</w:t>
      </w:r>
      <w:proofErr w:type="spellEnd"/>
      <w:r w:rsidR="003324F5" w:rsidRPr="00040AB6">
        <w:rPr>
          <w:rFonts w:asciiTheme="minorHAnsi" w:hAnsiTheme="minorHAnsi" w:cs="Calibri"/>
          <w:sz w:val="24"/>
          <w:szCs w:val="24"/>
        </w:rPr>
        <w:t xml:space="preserve"> savings </w:t>
      </w:r>
      <w:r w:rsidR="00D90EBA" w:rsidRPr="00040AB6">
        <w:rPr>
          <w:rFonts w:asciiTheme="minorHAnsi" w:hAnsiTheme="minorHAnsi" w:cs="Calibri"/>
          <w:sz w:val="24"/>
          <w:szCs w:val="24"/>
        </w:rPr>
        <w:t xml:space="preserve">targets for the total portfolio </w:t>
      </w:r>
      <w:r w:rsidR="003324F5" w:rsidRPr="00040AB6">
        <w:rPr>
          <w:rFonts w:asciiTheme="minorHAnsi" w:hAnsiTheme="minorHAnsi" w:cs="Calibri"/>
          <w:sz w:val="24"/>
          <w:szCs w:val="24"/>
        </w:rPr>
        <w:t xml:space="preserve">will be </w:t>
      </w:r>
      <w:r w:rsidR="00D90EBA" w:rsidRPr="00040AB6">
        <w:rPr>
          <w:rFonts w:asciiTheme="minorHAnsi" w:hAnsiTheme="minorHAnsi" w:cs="Calibri"/>
          <w:sz w:val="24"/>
          <w:szCs w:val="24"/>
        </w:rPr>
        <w:t xml:space="preserve">between </w:t>
      </w:r>
      <w:r w:rsidR="004652A8" w:rsidRPr="00040AB6">
        <w:rPr>
          <w:rFonts w:asciiTheme="minorHAnsi" w:hAnsiTheme="minorHAnsi" w:cs="Calibri"/>
          <w:sz w:val="24"/>
          <w:szCs w:val="24"/>
        </w:rPr>
        <w:t>223,021 and 262,427</w:t>
      </w:r>
      <w:r w:rsidR="00D90EBA" w:rsidRPr="00040AB6">
        <w:rPr>
          <w:rFonts w:asciiTheme="minorHAnsi" w:hAnsiTheme="minorHAnsi" w:cs="Calibri"/>
          <w:sz w:val="24"/>
          <w:szCs w:val="24"/>
        </w:rPr>
        <w:t>.</w:t>
      </w:r>
    </w:p>
    <w:p w14:paraId="25D8F0BC" w14:textId="77777777" w:rsidR="00357665" w:rsidRPr="00040AB6" w:rsidRDefault="00357665" w:rsidP="001A5A0B">
      <w:pPr>
        <w:spacing w:after="0" w:line="240" w:lineRule="auto"/>
        <w:ind w:left="1440"/>
        <w:rPr>
          <w:rFonts w:asciiTheme="minorHAnsi" w:hAnsiTheme="minorHAnsi" w:cs="Calibri"/>
          <w:sz w:val="24"/>
          <w:szCs w:val="24"/>
        </w:rPr>
      </w:pPr>
    </w:p>
    <w:p w14:paraId="0E982A86" w14:textId="3F472099" w:rsidR="00357665" w:rsidRPr="00040AB6" w:rsidRDefault="00357665" w:rsidP="0047136B">
      <w:pPr>
        <w:spacing w:after="0" w:line="240" w:lineRule="auto"/>
        <w:ind w:left="720"/>
        <w:rPr>
          <w:rFonts w:asciiTheme="minorHAnsi" w:hAnsiTheme="minorHAnsi" w:cs="Calibri"/>
          <w:i/>
          <w:sz w:val="24"/>
          <w:szCs w:val="24"/>
        </w:rPr>
      </w:pPr>
      <w:r w:rsidRPr="00040AB6">
        <w:rPr>
          <w:rFonts w:asciiTheme="minorHAnsi" w:hAnsiTheme="minorHAnsi" w:cs="Calibri"/>
          <w:i/>
          <w:sz w:val="24"/>
          <w:szCs w:val="24"/>
        </w:rPr>
        <w:t xml:space="preserve">The program’s primary goal is to meet system demand with the least cost conservation as required per WAC 480-90-238(1).  The </w:t>
      </w:r>
      <w:proofErr w:type="spellStart"/>
      <w:r w:rsidRPr="00040AB6">
        <w:rPr>
          <w:rFonts w:asciiTheme="minorHAnsi" w:hAnsiTheme="minorHAnsi" w:cs="Calibri"/>
          <w:i/>
          <w:sz w:val="24"/>
          <w:szCs w:val="24"/>
        </w:rPr>
        <w:t>therm</w:t>
      </w:r>
      <w:proofErr w:type="spellEnd"/>
      <w:r w:rsidRPr="00040AB6">
        <w:rPr>
          <w:rFonts w:asciiTheme="minorHAnsi" w:hAnsiTheme="minorHAnsi" w:cs="Calibri"/>
          <w:i/>
          <w:sz w:val="24"/>
          <w:szCs w:val="24"/>
        </w:rPr>
        <w:t xml:space="preserve"> savings target is aligned with the demand-side management targets for the programs offered as identified in the Company’s 20</w:t>
      </w:r>
      <w:r w:rsidR="00B82B2F" w:rsidRPr="00040AB6">
        <w:rPr>
          <w:rFonts w:asciiTheme="minorHAnsi" w:hAnsiTheme="minorHAnsi" w:cs="Calibri"/>
          <w:i/>
          <w:sz w:val="24"/>
          <w:szCs w:val="24"/>
        </w:rPr>
        <w:t>1</w:t>
      </w:r>
      <w:r w:rsidR="008431AD" w:rsidRPr="00040AB6">
        <w:rPr>
          <w:rFonts w:asciiTheme="minorHAnsi" w:hAnsiTheme="minorHAnsi" w:cs="Calibri"/>
          <w:i/>
          <w:sz w:val="24"/>
          <w:szCs w:val="24"/>
        </w:rPr>
        <w:t xml:space="preserve">4 </w:t>
      </w:r>
      <w:r w:rsidR="00DC7F29" w:rsidRPr="00040AB6">
        <w:rPr>
          <w:rFonts w:asciiTheme="minorHAnsi" w:hAnsiTheme="minorHAnsi" w:cs="Calibri"/>
          <w:i/>
          <w:sz w:val="24"/>
          <w:szCs w:val="24"/>
        </w:rPr>
        <w:t>Modified</w:t>
      </w:r>
      <w:r w:rsidRPr="00040AB6">
        <w:rPr>
          <w:rFonts w:asciiTheme="minorHAnsi" w:hAnsiTheme="minorHAnsi" w:cs="Calibri"/>
          <w:i/>
          <w:sz w:val="24"/>
          <w:szCs w:val="24"/>
        </w:rPr>
        <w:t xml:space="preserve"> IRP.  </w:t>
      </w:r>
    </w:p>
    <w:p w14:paraId="7EA4226E" w14:textId="77777777" w:rsidR="00357665" w:rsidRPr="00040AB6" w:rsidRDefault="00357665" w:rsidP="00544A5B">
      <w:pPr>
        <w:spacing w:after="0" w:line="240" w:lineRule="auto"/>
        <w:rPr>
          <w:rFonts w:asciiTheme="minorHAnsi" w:hAnsiTheme="minorHAnsi" w:cs="Calibri"/>
          <w:sz w:val="24"/>
          <w:szCs w:val="24"/>
        </w:rPr>
      </w:pPr>
    </w:p>
    <w:p w14:paraId="79C9C84C" w14:textId="0404B421" w:rsidR="00357665" w:rsidRPr="00040AB6" w:rsidRDefault="00357665" w:rsidP="003B1874">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t xml:space="preserve">Average </w:t>
      </w:r>
      <w:proofErr w:type="spellStart"/>
      <w:r w:rsidRPr="00040AB6">
        <w:rPr>
          <w:rFonts w:asciiTheme="minorHAnsi" w:hAnsiTheme="minorHAnsi" w:cs="Calibri"/>
          <w:sz w:val="24"/>
          <w:szCs w:val="24"/>
        </w:rPr>
        <w:t>levelized</w:t>
      </w:r>
      <w:proofErr w:type="spellEnd"/>
      <w:r w:rsidRPr="00040AB6">
        <w:rPr>
          <w:rFonts w:asciiTheme="minorHAnsi" w:hAnsiTheme="minorHAnsi" w:cs="Calibri"/>
          <w:sz w:val="24"/>
          <w:szCs w:val="24"/>
        </w:rPr>
        <w:t xml:space="preserve"> cost for</w:t>
      </w:r>
      <w:r w:rsidR="00C50E0F" w:rsidRPr="00040AB6">
        <w:rPr>
          <w:rFonts w:asciiTheme="minorHAnsi" w:hAnsiTheme="minorHAnsi" w:cs="Calibri"/>
          <w:sz w:val="24"/>
          <w:szCs w:val="24"/>
        </w:rPr>
        <w:t xml:space="preserve"> </w:t>
      </w:r>
      <w:r w:rsidR="00381BD8" w:rsidRPr="00040AB6">
        <w:rPr>
          <w:rFonts w:asciiTheme="minorHAnsi" w:hAnsiTheme="minorHAnsi" w:cs="Calibri"/>
          <w:sz w:val="24"/>
          <w:szCs w:val="24"/>
        </w:rPr>
        <w:t xml:space="preserve">the </w:t>
      </w:r>
      <w:r w:rsidR="00C50E0F" w:rsidRPr="00040AB6">
        <w:rPr>
          <w:rFonts w:asciiTheme="minorHAnsi" w:hAnsiTheme="minorHAnsi" w:cs="Calibri"/>
          <w:sz w:val="24"/>
          <w:szCs w:val="24"/>
        </w:rPr>
        <w:t>portfolio of</w:t>
      </w:r>
      <w:r w:rsidRPr="00040AB6">
        <w:rPr>
          <w:rFonts w:asciiTheme="minorHAnsi" w:hAnsiTheme="minorHAnsi" w:cs="Calibri"/>
          <w:sz w:val="24"/>
          <w:szCs w:val="24"/>
        </w:rPr>
        <w:t xml:space="preserve"> measures</w:t>
      </w:r>
      <w:r w:rsidR="00381BD8" w:rsidRPr="00040AB6">
        <w:rPr>
          <w:rFonts w:asciiTheme="minorHAnsi" w:hAnsiTheme="minorHAnsi" w:cs="Calibri"/>
          <w:sz w:val="24"/>
          <w:szCs w:val="24"/>
        </w:rPr>
        <w:t xml:space="preserve"> will</w:t>
      </w:r>
      <w:r w:rsidRPr="00040AB6">
        <w:rPr>
          <w:rFonts w:asciiTheme="minorHAnsi" w:hAnsiTheme="minorHAnsi" w:cs="Calibri"/>
          <w:sz w:val="24"/>
          <w:szCs w:val="24"/>
        </w:rPr>
        <w:t xml:space="preserve"> not exceed $0.65 per </w:t>
      </w:r>
      <w:proofErr w:type="spellStart"/>
      <w:r w:rsidRPr="00040AB6">
        <w:rPr>
          <w:rFonts w:asciiTheme="minorHAnsi" w:hAnsiTheme="minorHAnsi" w:cs="Calibri"/>
          <w:sz w:val="24"/>
          <w:szCs w:val="24"/>
        </w:rPr>
        <w:t>therm</w:t>
      </w:r>
      <w:proofErr w:type="spellEnd"/>
    </w:p>
    <w:p w14:paraId="4D161301" w14:textId="77777777" w:rsidR="00357665" w:rsidRPr="00040AB6" w:rsidRDefault="00357665" w:rsidP="003B1874">
      <w:pPr>
        <w:spacing w:after="0" w:line="240" w:lineRule="auto"/>
        <w:ind w:left="1440"/>
        <w:rPr>
          <w:rFonts w:asciiTheme="minorHAnsi" w:hAnsiTheme="minorHAnsi" w:cs="Calibri"/>
          <w:sz w:val="24"/>
          <w:szCs w:val="24"/>
        </w:rPr>
      </w:pPr>
    </w:p>
    <w:p w14:paraId="62E3EFE4" w14:textId="08CA7DB7" w:rsidR="00357665" w:rsidRPr="00040AB6" w:rsidRDefault="00357665" w:rsidP="0047136B">
      <w:pPr>
        <w:spacing w:after="0" w:line="240" w:lineRule="auto"/>
        <w:ind w:left="720"/>
        <w:rPr>
          <w:rFonts w:asciiTheme="minorHAnsi" w:hAnsiTheme="minorHAnsi" w:cs="Calibri"/>
          <w:i/>
          <w:sz w:val="24"/>
          <w:szCs w:val="24"/>
        </w:rPr>
      </w:pPr>
      <w:r w:rsidRPr="00040AB6">
        <w:rPr>
          <w:rFonts w:asciiTheme="minorHAnsi" w:hAnsiTheme="minorHAnsi" w:cs="Calibri"/>
          <w:i/>
          <w:sz w:val="24"/>
          <w:szCs w:val="24"/>
        </w:rPr>
        <w:t>This metric</w:t>
      </w:r>
      <w:r w:rsidR="00C50E0F" w:rsidRPr="00040AB6">
        <w:rPr>
          <w:rFonts w:asciiTheme="minorHAnsi" w:hAnsiTheme="minorHAnsi" w:cs="Calibri"/>
          <w:i/>
          <w:sz w:val="24"/>
          <w:szCs w:val="24"/>
        </w:rPr>
        <w:t xml:space="preserve"> is </w:t>
      </w:r>
      <w:r w:rsidR="001C6321" w:rsidRPr="00040AB6">
        <w:rPr>
          <w:rFonts w:asciiTheme="minorHAnsi" w:hAnsiTheme="minorHAnsi" w:cs="Calibri"/>
          <w:i/>
          <w:sz w:val="24"/>
          <w:szCs w:val="24"/>
        </w:rPr>
        <w:t xml:space="preserve">unchanged from </w:t>
      </w:r>
      <w:r w:rsidR="008431AD" w:rsidRPr="00040AB6">
        <w:rPr>
          <w:rFonts w:asciiTheme="minorHAnsi" w:hAnsiTheme="minorHAnsi" w:cs="Calibri"/>
          <w:i/>
          <w:sz w:val="24"/>
          <w:szCs w:val="24"/>
        </w:rPr>
        <w:t>last year</w:t>
      </w:r>
      <w:r w:rsidR="002668F1" w:rsidRPr="00040AB6">
        <w:rPr>
          <w:rFonts w:asciiTheme="minorHAnsi" w:hAnsiTheme="minorHAnsi" w:cs="Calibri"/>
          <w:i/>
          <w:sz w:val="24"/>
          <w:szCs w:val="24"/>
        </w:rPr>
        <w:t xml:space="preserve">.  </w:t>
      </w:r>
      <w:r w:rsidR="00814D49" w:rsidRPr="00040AB6">
        <w:rPr>
          <w:rFonts w:asciiTheme="minorHAnsi" w:hAnsiTheme="minorHAnsi" w:cs="Calibri"/>
          <w:i/>
          <w:sz w:val="24"/>
          <w:szCs w:val="24"/>
        </w:rPr>
        <w:t xml:space="preserve">The profile of NW Natural Washington service territory makes it harder to reduce the averaged </w:t>
      </w:r>
      <w:proofErr w:type="spellStart"/>
      <w:r w:rsidR="00814D49" w:rsidRPr="00040AB6">
        <w:rPr>
          <w:rFonts w:asciiTheme="minorHAnsi" w:hAnsiTheme="minorHAnsi" w:cs="Calibri"/>
          <w:i/>
          <w:sz w:val="24"/>
          <w:szCs w:val="24"/>
        </w:rPr>
        <w:t>levelized</w:t>
      </w:r>
      <w:proofErr w:type="spellEnd"/>
      <w:r w:rsidR="00814D49" w:rsidRPr="00040AB6">
        <w:rPr>
          <w:rFonts w:asciiTheme="minorHAnsi" w:hAnsiTheme="minorHAnsi" w:cs="Calibri"/>
          <w:i/>
          <w:sz w:val="24"/>
          <w:szCs w:val="24"/>
        </w:rPr>
        <w:t xml:space="preserve"> cost per </w:t>
      </w:r>
      <w:proofErr w:type="spellStart"/>
      <w:r w:rsidR="00814D49" w:rsidRPr="00040AB6">
        <w:rPr>
          <w:rFonts w:asciiTheme="minorHAnsi" w:hAnsiTheme="minorHAnsi" w:cs="Calibri"/>
          <w:i/>
          <w:sz w:val="24"/>
          <w:szCs w:val="24"/>
        </w:rPr>
        <w:t>therm</w:t>
      </w:r>
      <w:proofErr w:type="spellEnd"/>
      <w:r w:rsidR="00814D49" w:rsidRPr="00040AB6">
        <w:rPr>
          <w:rFonts w:asciiTheme="minorHAnsi" w:hAnsiTheme="minorHAnsi" w:cs="Calibri"/>
          <w:i/>
          <w:sz w:val="24"/>
          <w:szCs w:val="24"/>
        </w:rPr>
        <w:t xml:space="preserve"> than it would be in an area with more industrial customers since </w:t>
      </w:r>
      <w:proofErr w:type="spellStart"/>
      <w:r w:rsidR="00814D49" w:rsidRPr="00040AB6">
        <w:rPr>
          <w:rFonts w:asciiTheme="minorHAnsi" w:hAnsiTheme="minorHAnsi" w:cs="Calibri"/>
          <w:i/>
          <w:sz w:val="24"/>
          <w:szCs w:val="24"/>
        </w:rPr>
        <w:t>therm</w:t>
      </w:r>
      <w:proofErr w:type="spellEnd"/>
      <w:r w:rsidR="00814D49" w:rsidRPr="00040AB6">
        <w:rPr>
          <w:rFonts w:asciiTheme="minorHAnsi" w:hAnsiTheme="minorHAnsi" w:cs="Calibri"/>
          <w:i/>
          <w:sz w:val="24"/>
          <w:szCs w:val="24"/>
        </w:rPr>
        <w:t xml:space="preserve"> savings are acquired more cost effectively for bigger customers than for residential customers.</w:t>
      </w:r>
      <w:r w:rsidR="00203657" w:rsidRPr="00040AB6">
        <w:rPr>
          <w:rFonts w:asciiTheme="minorHAnsi" w:hAnsiTheme="minorHAnsi" w:cs="Calibri"/>
          <w:i/>
          <w:sz w:val="24"/>
          <w:szCs w:val="24"/>
        </w:rPr>
        <w:t xml:space="preserve">  </w:t>
      </w:r>
    </w:p>
    <w:p w14:paraId="5D76F88F" w14:textId="77777777" w:rsidR="00357665" w:rsidRPr="00040AB6" w:rsidRDefault="00357665" w:rsidP="00544A5B">
      <w:pPr>
        <w:spacing w:after="0" w:line="240" w:lineRule="auto"/>
        <w:rPr>
          <w:rFonts w:asciiTheme="minorHAnsi" w:hAnsiTheme="minorHAnsi" w:cs="Calibri"/>
          <w:sz w:val="24"/>
          <w:szCs w:val="24"/>
        </w:rPr>
      </w:pPr>
    </w:p>
    <w:p w14:paraId="382A7405" w14:textId="6EBE8F78" w:rsidR="00357665" w:rsidRPr="00040AB6" w:rsidRDefault="00106C2C" w:rsidP="001A5A0B">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t>First-</w:t>
      </w:r>
      <w:r w:rsidR="00357665" w:rsidRPr="00040AB6">
        <w:rPr>
          <w:rFonts w:asciiTheme="minorHAnsi" w:hAnsiTheme="minorHAnsi" w:cs="Calibri"/>
          <w:sz w:val="24"/>
          <w:szCs w:val="24"/>
        </w:rPr>
        <w:t>y</w:t>
      </w:r>
      <w:r w:rsidR="002668F1" w:rsidRPr="00040AB6">
        <w:rPr>
          <w:rFonts w:asciiTheme="minorHAnsi" w:hAnsiTheme="minorHAnsi" w:cs="Calibri"/>
          <w:sz w:val="24"/>
          <w:szCs w:val="24"/>
        </w:rPr>
        <w:t xml:space="preserve">ear therms will cost less than </w:t>
      </w:r>
      <w:r w:rsidR="00D528F5" w:rsidRPr="00040AB6">
        <w:rPr>
          <w:rFonts w:asciiTheme="minorHAnsi" w:hAnsiTheme="minorHAnsi" w:cs="Calibri"/>
          <w:sz w:val="24"/>
          <w:szCs w:val="24"/>
        </w:rPr>
        <w:t xml:space="preserve">$6.50 </w:t>
      </w:r>
      <w:r w:rsidR="00357665" w:rsidRPr="00040AB6">
        <w:rPr>
          <w:rFonts w:asciiTheme="minorHAnsi" w:hAnsiTheme="minorHAnsi" w:cs="Calibri"/>
          <w:sz w:val="24"/>
          <w:szCs w:val="24"/>
        </w:rPr>
        <w:t xml:space="preserve">per </w:t>
      </w:r>
      <w:proofErr w:type="spellStart"/>
      <w:r w:rsidR="00357665" w:rsidRPr="00040AB6">
        <w:rPr>
          <w:rFonts w:asciiTheme="minorHAnsi" w:hAnsiTheme="minorHAnsi" w:cs="Calibri"/>
          <w:sz w:val="24"/>
          <w:szCs w:val="24"/>
        </w:rPr>
        <w:t>therm</w:t>
      </w:r>
      <w:proofErr w:type="spellEnd"/>
      <w:r w:rsidR="00357665" w:rsidRPr="00040AB6">
        <w:rPr>
          <w:rFonts w:asciiTheme="minorHAnsi" w:hAnsiTheme="minorHAnsi" w:cs="Calibri"/>
          <w:sz w:val="24"/>
          <w:szCs w:val="24"/>
        </w:rPr>
        <w:t xml:space="preserve"> </w:t>
      </w:r>
    </w:p>
    <w:p w14:paraId="4FB1B723" w14:textId="77777777" w:rsidR="00357665" w:rsidRPr="00040AB6" w:rsidRDefault="00357665" w:rsidP="001A5A0B">
      <w:pPr>
        <w:spacing w:after="0" w:line="240" w:lineRule="auto"/>
        <w:ind w:left="1440"/>
        <w:rPr>
          <w:rFonts w:asciiTheme="minorHAnsi" w:hAnsiTheme="minorHAnsi" w:cs="Calibri"/>
          <w:sz w:val="24"/>
          <w:szCs w:val="24"/>
        </w:rPr>
      </w:pPr>
    </w:p>
    <w:p w14:paraId="6FCB92F4" w14:textId="2925B9D8" w:rsidR="00357665" w:rsidRPr="00040AB6" w:rsidRDefault="00357665" w:rsidP="0047136B">
      <w:pPr>
        <w:tabs>
          <w:tab w:val="left" w:pos="720"/>
        </w:tabs>
        <w:spacing w:after="0" w:line="240" w:lineRule="auto"/>
        <w:ind w:left="720"/>
        <w:rPr>
          <w:rFonts w:asciiTheme="minorHAnsi" w:hAnsiTheme="minorHAnsi" w:cs="Calibri"/>
          <w:sz w:val="24"/>
          <w:szCs w:val="24"/>
        </w:rPr>
      </w:pPr>
      <w:r w:rsidRPr="00040AB6">
        <w:rPr>
          <w:rFonts w:asciiTheme="minorHAnsi" w:hAnsiTheme="minorHAnsi" w:cs="Calibri"/>
          <w:i/>
          <w:sz w:val="24"/>
          <w:szCs w:val="24"/>
        </w:rPr>
        <w:t xml:space="preserve">This metric </w:t>
      </w:r>
      <w:r w:rsidR="00203657" w:rsidRPr="00040AB6">
        <w:rPr>
          <w:rFonts w:asciiTheme="minorHAnsi" w:hAnsiTheme="minorHAnsi" w:cs="Calibri"/>
          <w:i/>
          <w:sz w:val="24"/>
          <w:szCs w:val="24"/>
        </w:rPr>
        <w:t xml:space="preserve">remains unchanged from </w:t>
      </w:r>
      <w:r w:rsidR="00EA2A1F" w:rsidRPr="00040AB6">
        <w:rPr>
          <w:rFonts w:asciiTheme="minorHAnsi" w:hAnsiTheme="minorHAnsi" w:cs="Calibri"/>
          <w:i/>
          <w:sz w:val="24"/>
          <w:szCs w:val="24"/>
        </w:rPr>
        <w:t>2013</w:t>
      </w:r>
      <w:r w:rsidR="008431AD" w:rsidRPr="00040AB6">
        <w:rPr>
          <w:rFonts w:asciiTheme="minorHAnsi" w:hAnsiTheme="minorHAnsi" w:cs="Calibri"/>
          <w:i/>
          <w:sz w:val="24"/>
          <w:szCs w:val="24"/>
        </w:rPr>
        <w:t xml:space="preserve">and </w:t>
      </w:r>
      <w:r w:rsidR="00EA2A1F" w:rsidRPr="00040AB6">
        <w:rPr>
          <w:rFonts w:asciiTheme="minorHAnsi" w:hAnsiTheme="minorHAnsi" w:cs="Calibri"/>
          <w:i/>
          <w:sz w:val="24"/>
          <w:szCs w:val="24"/>
        </w:rPr>
        <w:t>2014.</w:t>
      </w:r>
      <w:r w:rsidR="00EA2A1F" w:rsidRPr="00040AB6">
        <w:rPr>
          <w:rFonts w:asciiTheme="minorHAnsi" w:hAnsiTheme="minorHAnsi" w:cs="Calibri"/>
          <w:sz w:val="24"/>
          <w:szCs w:val="24"/>
        </w:rPr>
        <w:t xml:space="preserve">  </w:t>
      </w:r>
    </w:p>
    <w:p w14:paraId="6FD1814A" w14:textId="77777777" w:rsidR="00357665" w:rsidRPr="00040AB6" w:rsidRDefault="00357665" w:rsidP="001A5A0B">
      <w:pPr>
        <w:spacing w:after="0" w:line="240" w:lineRule="auto"/>
        <w:rPr>
          <w:rFonts w:asciiTheme="minorHAnsi" w:hAnsiTheme="minorHAnsi" w:cs="Calibri"/>
          <w:sz w:val="24"/>
          <w:szCs w:val="24"/>
        </w:rPr>
      </w:pPr>
    </w:p>
    <w:p w14:paraId="5359EE64" w14:textId="50A47ECB" w:rsidR="00357665" w:rsidRPr="00040AB6" w:rsidRDefault="00854330" w:rsidP="00913254">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t>The UCT</w:t>
      </w:r>
      <w:r w:rsidR="00357665" w:rsidRPr="00040AB6">
        <w:rPr>
          <w:rFonts w:asciiTheme="minorHAnsi" w:hAnsiTheme="minorHAnsi" w:cs="Calibri"/>
          <w:sz w:val="24"/>
          <w:szCs w:val="24"/>
        </w:rPr>
        <w:t xml:space="preserve"> at the portfolio level </w:t>
      </w:r>
      <w:r w:rsidRPr="00040AB6">
        <w:rPr>
          <w:rFonts w:asciiTheme="minorHAnsi" w:hAnsiTheme="minorHAnsi" w:cs="Calibri"/>
          <w:sz w:val="24"/>
          <w:szCs w:val="24"/>
        </w:rPr>
        <w:t xml:space="preserve">is </w:t>
      </w:r>
      <w:r w:rsidR="00357665" w:rsidRPr="00040AB6">
        <w:rPr>
          <w:rFonts w:asciiTheme="minorHAnsi" w:hAnsiTheme="minorHAnsi" w:cs="Calibri"/>
          <w:sz w:val="24"/>
          <w:szCs w:val="24"/>
        </w:rPr>
        <w:t>greater than 1.0</w:t>
      </w:r>
    </w:p>
    <w:p w14:paraId="3C1B4B91" w14:textId="77777777" w:rsidR="00544A5B" w:rsidRPr="00040AB6" w:rsidRDefault="00544A5B" w:rsidP="00544A5B">
      <w:pPr>
        <w:spacing w:after="0" w:line="240" w:lineRule="auto"/>
        <w:ind w:left="1440"/>
        <w:rPr>
          <w:rFonts w:asciiTheme="minorHAnsi" w:hAnsiTheme="minorHAnsi" w:cs="Calibri"/>
          <w:sz w:val="24"/>
          <w:szCs w:val="24"/>
        </w:rPr>
      </w:pPr>
    </w:p>
    <w:bookmarkEnd w:id="0"/>
    <w:bookmarkEnd w:id="1"/>
    <w:p w14:paraId="7E2EE053" w14:textId="4A2643A8" w:rsidR="00357665" w:rsidRPr="00040AB6" w:rsidRDefault="00357665" w:rsidP="0047136B">
      <w:pPr>
        <w:ind w:left="720"/>
        <w:rPr>
          <w:rFonts w:asciiTheme="minorHAnsi" w:hAnsiTheme="minorHAnsi" w:cs="Calibri"/>
          <w:i/>
          <w:sz w:val="24"/>
          <w:szCs w:val="24"/>
        </w:rPr>
      </w:pPr>
      <w:r w:rsidRPr="00040AB6">
        <w:rPr>
          <w:rFonts w:asciiTheme="minorHAnsi" w:hAnsiTheme="minorHAnsi" w:cs="Calibri"/>
          <w:i/>
          <w:sz w:val="24"/>
          <w:szCs w:val="24"/>
        </w:rPr>
        <w:t>The UC</w:t>
      </w:r>
      <w:r w:rsidR="00E2534C" w:rsidRPr="00040AB6">
        <w:rPr>
          <w:rFonts w:asciiTheme="minorHAnsi" w:hAnsiTheme="minorHAnsi" w:cs="Calibri"/>
          <w:i/>
          <w:sz w:val="24"/>
          <w:szCs w:val="24"/>
        </w:rPr>
        <w:t>T</w:t>
      </w:r>
      <w:r w:rsidRPr="00040AB6">
        <w:rPr>
          <w:rFonts w:asciiTheme="minorHAnsi" w:hAnsiTheme="minorHAnsi" w:cs="Calibri"/>
          <w:i/>
          <w:sz w:val="24"/>
          <w:szCs w:val="24"/>
        </w:rPr>
        <w:t xml:space="preserve"> shall be calculated as prescribed in Schedule G.  A value greater than 1.0 demonstrates that the benefits received are greater than the costs.  This test is applied at </w:t>
      </w:r>
      <w:r w:rsidR="00E2534C" w:rsidRPr="00040AB6">
        <w:rPr>
          <w:rFonts w:asciiTheme="minorHAnsi" w:hAnsiTheme="minorHAnsi" w:cs="Calibri"/>
          <w:i/>
          <w:sz w:val="24"/>
          <w:szCs w:val="24"/>
        </w:rPr>
        <w:t xml:space="preserve">the portfolio level.  </w:t>
      </w:r>
    </w:p>
    <w:p w14:paraId="6760CA82" w14:textId="4A914913" w:rsidR="00357665" w:rsidRPr="00040AB6" w:rsidRDefault="00357665" w:rsidP="00F74A9E">
      <w:pPr>
        <w:ind w:left="720"/>
        <w:rPr>
          <w:rFonts w:asciiTheme="minorHAnsi" w:hAnsiTheme="minorHAnsi" w:cs="Calibri"/>
          <w:sz w:val="24"/>
          <w:szCs w:val="24"/>
          <w:u w:val="single"/>
        </w:rPr>
      </w:pPr>
      <w:bookmarkStart w:id="2" w:name="OLE_LINK19"/>
      <w:bookmarkStart w:id="3" w:name="OLE_LINK20"/>
      <w:r w:rsidRPr="00040AB6">
        <w:rPr>
          <w:rFonts w:asciiTheme="minorHAnsi" w:hAnsiTheme="minorHAnsi" w:cs="Calibri"/>
          <w:sz w:val="24"/>
          <w:szCs w:val="24"/>
          <w:u w:val="single"/>
        </w:rPr>
        <w:t xml:space="preserve">Schedule I, Washington Low Income Energy Efficiency (WA-LIEE) </w:t>
      </w:r>
      <w:r w:rsidR="00EA2A1F" w:rsidRPr="00040AB6">
        <w:rPr>
          <w:rFonts w:asciiTheme="minorHAnsi" w:hAnsiTheme="minorHAnsi" w:cs="Calibri"/>
          <w:sz w:val="24"/>
          <w:szCs w:val="24"/>
          <w:u w:val="single"/>
        </w:rPr>
        <w:t xml:space="preserve">2015 </w:t>
      </w:r>
      <w:r w:rsidRPr="00040AB6">
        <w:rPr>
          <w:rFonts w:asciiTheme="minorHAnsi" w:hAnsiTheme="minorHAnsi" w:cs="Calibri"/>
          <w:sz w:val="24"/>
          <w:szCs w:val="24"/>
          <w:u w:val="single"/>
        </w:rPr>
        <w:t>Performance Targets</w:t>
      </w:r>
    </w:p>
    <w:p w14:paraId="0745CEE6" w14:textId="42AD2ED3" w:rsidR="00FF40CC" w:rsidRPr="00040AB6" w:rsidRDefault="00357665" w:rsidP="00F74A9E">
      <w:pPr>
        <w:ind w:left="720"/>
        <w:rPr>
          <w:rFonts w:asciiTheme="minorHAnsi" w:hAnsiTheme="minorHAnsi" w:cs="Calibri"/>
          <w:i/>
          <w:sz w:val="24"/>
          <w:szCs w:val="24"/>
        </w:rPr>
      </w:pPr>
      <w:r w:rsidRPr="00040AB6">
        <w:rPr>
          <w:rFonts w:asciiTheme="minorHAnsi" w:hAnsiTheme="minorHAnsi" w:cs="Calibri"/>
          <w:i/>
          <w:sz w:val="24"/>
          <w:szCs w:val="24"/>
        </w:rPr>
        <w:t xml:space="preserve">In </w:t>
      </w:r>
      <w:r w:rsidR="00203657" w:rsidRPr="00040AB6">
        <w:rPr>
          <w:rFonts w:asciiTheme="minorHAnsi" w:hAnsiTheme="minorHAnsi" w:cs="Calibri"/>
          <w:i/>
          <w:sz w:val="24"/>
          <w:szCs w:val="24"/>
        </w:rPr>
        <w:t>201</w:t>
      </w:r>
      <w:r w:rsidR="002F7203" w:rsidRPr="00040AB6">
        <w:rPr>
          <w:rFonts w:asciiTheme="minorHAnsi" w:hAnsiTheme="minorHAnsi" w:cs="Calibri"/>
          <w:i/>
          <w:sz w:val="24"/>
          <w:szCs w:val="24"/>
        </w:rPr>
        <w:t>5</w:t>
      </w:r>
      <w:r w:rsidRPr="00040AB6">
        <w:rPr>
          <w:rFonts w:asciiTheme="minorHAnsi" w:hAnsiTheme="minorHAnsi" w:cs="Calibri"/>
          <w:i/>
          <w:sz w:val="24"/>
          <w:szCs w:val="24"/>
        </w:rPr>
        <w:t>, the WA-LIEE pro</w:t>
      </w:r>
      <w:r w:rsidR="00F25BC2" w:rsidRPr="00040AB6">
        <w:rPr>
          <w:rFonts w:asciiTheme="minorHAnsi" w:hAnsiTheme="minorHAnsi" w:cs="Calibri"/>
          <w:i/>
          <w:sz w:val="24"/>
          <w:szCs w:val="24"/>
        </w:rPr>
        <w:t xml:space="preserve">gram will strive to weatherize </w:t>
      </w:r>
      <w:r w:rsidR="004652A8" w:rsidRPr="00040AB6">
        <w:rPr>
          <w:rFonts w:asciiTheme="minorHAnsi" w:hAnsiTheme="minorHAnsi" w:cs="Calibri"/>
          <w:i/>
          <w:sz w:val="24"/>
          <w:szCs w:val="24"/>
        </w:rPr>
        <w:t>10-12</w:t>
      </w:r>
      <w:r w:rsidR="00CB32EA" w:rsidRPr="00040AB6">
        <w:rPr>
          <w:rFonts w:asciiTheme="minorHAnsi" w:hAnsiTheme="minorHAnsi" w:cs="Calibri"/>
          <w:i/>
          <w:sz w:val="24"/>
          <w:szCs w:val="24"/>
        </w:rPr>
        <w:t xml:space="preserve"> </w:t>
      </w:r>
      <w:r w:rsidRPr="00040AB6">
        <w:rPr>
          <w:rFonts w:asciiTheme="minorHAnsi" w:hAnsiTheme="minorHAnsi" w:cs="Calibri"/>
          <w:i/>
          <w:sz w:val="24"/>
          <w:szCs w:val="24"/>
        </w:rPr>
        <w:t>homes for a cost of</w:t>
      </w:r>
      <w:r w:rsidR="00CB32EA" w:rsidRPr="00040AB6">
        <w:rPr>
          <w:rFonts w:asciiTheme="minorHAnsi" w:hAnsiTheme="minorHAnsi" w:cs="Calibri"/>
          <w:i/>
          <w:sz w:val="24"/>
          <w:szCs w:val="24"/>
        </w:rPr>
        <w:t xml:space="preserve"> $89,300</w:t>
      </w:r>
      <w:r w:rsidR="00C671A4" w:rsidRPr="00040AB6">
        <w:rPr>
          <w:rFonts w:asciiTheme="minorHAnsi" w:hAnsiTheme="minorHAnsi" w:cs="Calibri"/>
          <w:i/>
          <w:sz w:val="24"/>
          <w:szCs w:val="24"/>
        </w:rPr>
        <w:t xml:space="preserve"> to $111,625</w:t>
      </w:r>
      <w:r w:rsidRPr="00040AB6">
        <w:rPr>
          <w:rFonts w:asciiTheme="minorHAnsi" w:hAnsiTheme="minorHAnsi" w:cs="Calibri"/>
          <w:i/>
          <w:sz w:val="24"/>
          <w:szCs w:val="24"/>
        </w:rPr>
        <w:t xml:space="preserve">. Assumptions are as provided below in Table II. </w:t>
      </w:r>
    </w:p>
    <w:p w14:paraId="395DB76A" w14:textId="08EA3517" w:rsidR="00357665" w:rsidRPr="00040AB6" w:rsidRDefault="00357665" w:rsidP="003A1FAE">
      <w:pPr>
        <w:spacing w:after="0" w:line="240" w:lineRule="auto"/>
        <w:rPr>
          <w:rFonts w:asciiTheme="minorHAnsi" w:hAnsiTheme="minorHAnsi" w:cs="Calibri"/>
          <w:b/>
        </w:rPr>
      </w:pPr>
      <w:r w:rsidRPr="00040AB6">
        <w:rPr>
          <w:rFonts w:asciiTheme="minorHAnsi" w:hAnsiTheme="minorHAnsi" w:cs="Calibri"/>
          <w:b/>
        </w:rPr>
        <w:t xml:space="preserve">Table II – WA-LIEE </w:t>
      </w:r>
      <w:r w:rsidR="00EA2A1F" w:rsidRPr="00040AB6">
        <w:rPr>
          <w:rFonts w:asciiTheme="minorHAnsi" w:hAnsiTheme="minorHAnsi" w:cs="Calibri"/>
          <w:b/>
        </w:rPr>
        <w:t xml:space="preserve">2015 </w:t>
      </w:r>
      <w:r w:rsidRPr="00040AB6">
        <w:rPr>
          <w:rFonts w:asciiTheme="minorHAnsi" w:hAnsiTheme="minorHAnsi" w:cs="Calibri"/>
          <w:b/>
        </w:rPr>
        <w:t>Performance Targets</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0"/>
        <w:gridCol w:w="2082"/>
      </w:tblGrid>
      <w:tr w:rsidR="00CB32EA" w:rsidRPr="00040AB6" w14:paraId="11FB6A07" w14:textId="77777777" w:rsidTr="00FF2CB2">
        <w:trPr>
          <w:trHeight w:val="400"/>
        </w:trPr>
        <w:tc>
          <w:tcPr>
            <w:tcW w:w="4530" w:type="dxa"/>
            <w:vAlign w:val="center"/>
          </w:tcPr>
          <w:p w14:paraId="5B5221EA" w14:textId="77777777" w:rsidR="00CB32EA" w:rsidRPr="00040AB6" w:rsidRDefault="00CB32EA" w:rsidP="00570966">
            <w:pPr>
              <w:spacing w:after="0" w:line="240" w:lineRule="auto"/>
              <w:rPr>
                <w:rFonts w:asciiTheme="minorHAnsi" w:hAnsiTheme="minorHAnsi" w:cs="Calibri"/>
              </w:rPr>
            </w:pPr>
            <w:r w:rsidRPr="00040AB6">
              <w:rPr>
                <w:rFonts w:asciiTheme="minorHAnsi" w:hAnsiTheme="minorHAnsi" w:cs="Calibri"/>
              </w:rPr>
              <w:t>Estimated homes served</w:t>
            </w:r>
          </w:p>
        </w:tc>
        <w:tc>
          <w:tcPr>
            <w:tcW w:w="2082" w:type="dxa"/>
            <w:vAlign w:val="center"/>
          </w:tcPr>
          <w:p w14:paraId="78EC07FD" w14:textId="06C1AB62" w:rsidR="00CB32EA" w:rsidRPr="00040AB6" w:rsidRDefault="004652A8" w:rsidP="00500691">
            <w:pPr>
              <w:spacing w:after="0" w:line="240" w:lineRule="auto"/>
              <w:jc w:val="center"/>
              <w:rPr>
                <w:rFonts w:asciiTheme="minorHAnsi" w:hAnsiTheme="minorHAnsi" w:cs="Calibri"/>
              </w:rPr>
            </w:pPr>
            <w:r w:rsidRPr="00040AB6">
              <w:rPr>
                <w:rFonts w:asciiTheme="minorHAnsi" w:hAnsiTheme="minorHAnsi" w:cs="Calibri"/>
              </w:rPr>
              <w:t>10-12</w:t>
            </w:r>
          </w:p>
        </w:tc>
      </w:tr>
      <w:tr w:rsidR="00CB32EA" w:rsidRPr="00040AB6" w14:paraId="0CA43933" w14:textId="77777777" w:rsidTr="00FF2CB2">
        <w:trPr>
          <w:trHeight w:val="400"/>
        </w:trPr>
        <w:tc>
          <w:tcPr>
            <w:tcW w:w="4530" w:type="dxa"/>
            <w:vAlign w:val="center"/>
          </w:tcPr>
          <w:p w14:paraId="751F3E6B" w14:textId="77777777" w:rsidR="00CB32EA" w:rsidRPr="00040AB6" w:rsidRDefault="00CB32EA" w:rsidP="00500691">
            <w:pPr>
              <w:spacing w:after="0" w:line="240" w:lineRule="auto"/>
              <w:rPr>
                <w:rFonts w:asciiTheme="minorHAnsi" w:hAnsiTheme="minorHAnsi" w:cs="Calibri"/>
              </w:rPr>
            </w:pPr>
            <w:r w:rsidRPr="00040AB6">
              <w:rPr>
                <w:rFonts w:asciiTheme="minorHAnsi" w:hAnsiTheme="minorHAnsi" w:cs="Calibri"/>
              </w:rPr>
              <w:t>Estimated Average Cost of Incentives per home</w:t>
            </w:r>
          </w:p>
        </w:tc>
        <w:tc>
          <w:tcPr>
            <w:tcW w:w="2082" w:type="dxa"/>
            <w:vAlign w:val="center"/>
          </w:tcPr>
          <w:p w14:paraId="4AAA91B2" w14:textId="77777777" w:rsidR="00CB32EA" w:rsidRPr="00040AB6" w:rsidRDefault="00CB32EA" w:rsidP="00500691">
            <w:pPr>
              <w:spacing w:after="0" w:line="240" w:lineRule="auto"/>
              <w:jc w:val="center"/>
              <w:rPr>
                <w:rFonts w:asciiTheme="minorHAnsi" w:hAnsiTheme="minorHAnsi" w:cs="Calibri"/>
              </w:rPr>
            </w:pPr>
            <w:r w:rsidRPr="00040AB6">
              <w:rPr>
                <w:rFonts w:asciiTheme="minorHAnsi" w:hAnsiTheme="minorHAnsi" w:cs="Calibri"/>
              </w:rPr>
              <w:t>$3,500</w:t>
            </w:r>
          </w:p>
        </w:tc>
      </w:tr>
      <w:tr w:rsidR="00CB32EA" w:rsidRPr="00040AB6" w14:paraId="5799D487" w14:textId="77777777" w:rsidTr="00FF2CB2">
        <w:trPr>
          <w:trHeight w:val="400"/>
        </w:trPr>
        <w:tc>
          <w:tcPr>
            <w:tcW w:w="4530" w:type="dxa"/>
            <w:vAlign w:val="center"/>
          </w:tcPr>
          <w:p w14:paraId="133323B6" w14:textId="77777777" w:rsidR="00CB32EA" w:rsidRPr="00040AB6" w:rsidRDefault="00CB32EA" w:rsidP="00841608">
            <w:pPr>
              <w:spacing w:after="0" w:line="240" w:lineRule="auto"/>
              <w:rPr>
                <w:rFonts w:asciiTheme="minorHAnsi" w:hAnsiTheme="minorHAnsi" w:cs="Calibri"/>
              </w:rPr>
            </w:pPr>
            <w:r w:rsidRPr="00040AB6">
              <w:rPr>
                <w:rFonts w:asciiTheme="minorHAnsi" w:hAnsiTheme="minorHAnsi" w:cs="Calibri"/>
              </w:rPr>
              <w:t>Maximum Cost per home ($3,500 incentives + $440 health, safety and repairs and $525 administration costs)</w:t>
            </w:r>
          </w:p>
        </w:tc>
        <w:tc>
          <w:tcPr>
            <w:tcW w:w="2082" w:type="dxa"/>
            <w:vAlign w:val="center"/>
          </w:tcPr>
          <w:p w14:paraId="2BEDA9DA" w14:textId="77777777" w:rsidR="00CB32EA" w:rsidRPr="00040AB6" w:rsidRDefault="00CB32EA" w:rsidP="00510B95">
            <w:pPr>
              <w:spacing w:after="0" w:line="240" w:lineRule="auto"/>
              <w:jc w:val="center"/>
              <w:rPr>
                <w:rFonts w:asciiTheme="minorHAnsi" w:hAnsiTheme="minorHAnsi" w:cs="Calibri"/>
              </w:rPr>
            </w:pPr>
            <w:r w:rsidRPr="00040AB6">
              <w:rPr>
                <w:rFonts w:asciiTheme="minorHAnsi" w:hAnsiTheme="minorHAnsi" w:cs="Calibri"/>
              </w:rPr>
              <w:t>$4,465</w:t>
            </w:r>
          </w:p>
        </w:tc>
      </w:tr>
      <w:tr w:rsidR="00CB32EA" w:rsidRPr="00040AB6" w14:paraId="41748C25" w14:textId="77777777" w:rsidTr="00FF2CB2">
        <w:trPr>
          <w:trHeight w:val="400"/>
        </w:trPr>
        <w:tc>
          <w:tcPr>
            <w:tcW w:w="4530" w:type="dxa"/>
            <w:vAlign w:val="center"/>
          </w:tcPr>
          <w:p w14:paraId="437B320F" w14:textId="77777777" w:rsidR="00CB32EA" w:rsidRPr="00040AB6" w:rsidRDefault="00CB32EA" w:rsidP="00570966">
            <w:pPr>
              <w:spacing w:after="0" w:line="240" w:lineRule="auto"/>
              <w:rPr>
                <w:rFonts w:asciiTheme="minorHAnsi" w:hAnsiTheme="minorHAnsi" w:cs="Calibri"/>
              </w:rPr>
            </w:pPr>
            <w:r w:rsidRPr="00040AB6">
              <w:rPr>
                <w:rFonts w:asciiTheme="minorHAnsi" w:hAnsiTheme="minorHAnsi" w:cs="Calibri"/>
              </w:rPr>
              <w:t>Maximum cost based on estimated homes served</w:t>
            </w:r>
          </w:p>
        </w:tc>
        <w:tc>
          <w:tcPr>
            <w:tcW w:w="2082" w:type="dxa"/>
            <w:vAlign w:val="center"/>
          </w:tcPr>
          <w:p w14:paraId="683C3C51" w14:textId="3A6DEE2D" w:rsidR="00C671A4" w:rsidRPr="00040AB6" w:rsidRDefault="004652A8" w:rsidP="00C32BC6">
            <w:pPr>
              <w:spacing w:after="0" w:line="240" w:lineRule="auto"/>
              <w:jc w:val="center"/>
              <w:rPr>
                <w:rFonts w:asciiTheme="minorHAnsi" w:hAnsiTheme="minorHAnsi"/>
                <w:color w:val="000000"/>
              </w:rPr>
            </w:pPr>
            <w:r w:rsidRPr="00040AB6">
              <w:rPr>
                <w:rFonts w:asciiTheme="minorHAnsi" w:hAnsiTheme="minorHAnsi" w:cs="Calibri"/>
              </w:rPr>
              <w:t>$44,650 to $53,580</w:t>
            </w:r>
          </w:p>
          <w:p w14:paraId="69E2EB94" w14:textId="77777777" w:rsidR="00CB32EA" w:rsidRPr="00040AB6" w:rsidRDefault="00CB32EA" w:rsidP="00510B95">
            <w:pPr>
              <w:spacing w:after="0" w:line="240" w:lineRule="auto"/>
              <w:jc w:val="center"/>
              <w:rPr>
                <w:rFonts w:asciiTheme="minorHAnsi" w:hAnsiTheme="minorHAnsi" w:cs="Calibri"/>
              </w:rPr>
            </w:pPr>
          </w:p>
        </w:tc>
      </w:tr>
      <w:tr w:rsidR="00CB32EA" w:rsidRPr="00040AB6" w14:paraId="57B64A36" w14:textId="77777777" w:rsidTr="00FF2CB2">
        <w:trPr>
          <w:trHeight w:val="400"/>
        </w:trPr>
        <w:tc>
          <w:tcPr>
            <w:tcW w:w="4530" w:type="dxa"/>
            <w:vAlign w:val="center"/>
          </w:tcPr>
          <w:p w14:paraId="2F313931" w14:textId="77777777" w:rsidR="00CB32EA" w:rsidRPr="00040AB6" w:rsidRDefault="00CB32EA" w:rsidP="00500691">
            <w:pPr>
              <w:spacing w:after="0" w:line="240" w:lineRule="auto"/>
              <w:rPr>
                <w:rFonts w:asciiTheme="minorHAnsi" w:hAnsiTheme="minorHAnsi" w:cs="Calibri"/>
              </w:rPr>
            </w:pPr>
            <w:r w:rsidRPr="00040AB6">
              <w:rPr>
                <w:rFonts w:asciiTheme="minorHAnsi" w:hAnsiTheme="minorHAnsi" w:cs="Calibri"/>
              </w:rPr>
              <w:t>Estimated therms saved per home</w:t>
            </w:r>
          </w:p>
        </w:tc>
        <w:tc>
          <w:tcPr>
            <w:tcW w:w="2082" w:type="dxa"/>
            <w:vAlign w:val="center"/>
          </w:tcPr>
          <w:p w14:paraId="0E6BC6CC" w14:textId="77777777" w:rsidR="00CB32EA" w:rsidRPr="00040AB6" w:rsidRDefault="00CB32EA" w:rsidP="00500691">
            <w:pPr>
              <w:spacing w:after="0" w:line="240" w:lineRule="auto"/>
              <w:jc w:val="center"/>
              <w:rPr>
                <w:rFonts w:asciiTheme="minorHAnsi" w:hAnsiTheme="minorHAnsi" w:cs="Calibri"/>
              </w:rPr>
            </w:pPr>
            <w:r w:rsidRPr="00040AB6">
              <w:rPr>
                <w:rFonts w:asciiTheme="minorHAnsi" w:hAnsiTheme="minorHAnsi" w:cs="Calibri"/>
              </w:rPr>
              <w:t>211</w:t>
            </w:r>
          </w:p>
        </w:tc>
      </w:tr>
      <w:tr w:rsidR="00CB32EA" w:rsidRPr="00040AB6" w14:paraId="55B20AC4" w14:textId="77777777" w:rsidTr="00FF2CB2">
        <w:trPr>
          <w:trHeight w:val="400"/>
        </w:trPr>
        <w:tc>
          <w:tcPr>
            <w:tcW w:w="4530" w:type="dxa"/>
            <w:vAlign w:val="center"/>
          </w:tcPr>
          <w:p w14:paraId="0749EC1D" w14:textId="77777777" w:rsidR="00CB32EA" w:rsidRPr="00040AB6" w:rsidRDefault="00CB32EA" w:rsidP="00570966">
            <w:pPr>
              <w:spacing w:after="0" w:line="240" w:lineRule="auto"/>
              <w:rPr>
                <w:rFonts w:asciiTheme="minorHAnsi" w:hAnsiTheme="minorHAnsi" w:cs="Calibri"/>
              </w:rPr>
            </w:pPr>
            <w:r w:rsidRPr="00040AB6">
              <w:rPr>
                <w:rFonts w:asciiTheme="minorHAnsi" w:hAnsiTheme="minorHAnsi" w:cs="Calibri"/>
              </w:rPr>
              <w:t>Total estimated therms saved</w:t>
            </w:r>
          </w:p>
        </w:tc>
        <w:tc>
          <w:tcPr>
            <w:tcW w:w="2082" w:type="dxa"/>
            <w:vAlign w:val="center"/>
          </w:tcPr>
          <w:p w14:paraId="39F3B6A1" w14:textId="726CA9D8" w:rsidR="00CB32EA" w:rsidRPr="00040AB6" w:rsidRDefault="004652A8" w:rsidP="00500691">
            <w:pPr>
              <w:spacing w:after="0" w:line="240" w:lineRule="auto"/>
              <w:jc w:val="center"/>
              <w:rPr>
                <w:rFonts w:asciiTheme="minorHAnsi" w:hAnsiTheme="minorHAnsi" w:cs="Calibri"/>
              </w:rPr>
            </w:pPr>
            <w:r w:rsidRPr="00040AB6">
              <w:rPr>
                <w:rFonts w:asciiTheme="minorHAnsi" w:hAnsiTheme="minorHAnsi" w:cs="Calibri"/>
              </w:rPr>
              <w:t>2110 to 2532</w:t>
            </w:r>
          </w:p>
        </w:tc>
      </w:tr>
    </w:tbl>
    <w:p w14:paraId="2A53D799" w14:textId="77777777" w:rsidR="00510B95" w:rsidRPr="00040AB6" w:rsidRDefault="00510B95" w:rsidP="003A1FAE">
      <w:pPr>
        <w:rPr>
          <w:rFonts w:asciiTheme="minorHAnsi" w:hAnsiTheme="minorHAnsi" w:cs="Arial"/>
          <w:sz w:val="24"/>
          <w:szCs w:val="24"/>
        </w:rPr>
      </w:pPr>
    </w:p>
    <w:bookmarkEnd w:id="2"/>
    <w:bookmarkEnd w:id="3"/>
    <w:p w14:paraId="6D82CC9D" w14:textId="1C035E11" w:rsidR="00357665" w:rsidRPr="00040AB6" w:rsidRDefault="00EA2A1F" w:rsidP="00097823">
      <w:pPr>
        <w:pStyle w:val="ListParagraph"/>
        <w:numPr>
          <w:ilvl w:val="0"/>
          <w:numId w:val="17"/>
        </w:numPr>
        <w:spacing w:after="0" w:line="240" w:lineRule="auto"/>
        <w:ind w:left="720"/>
        <w:rPr>
          <w:rFonts w:asciiTheme="minorHAnsi" w:hAnsiTheme="minorHAnsi"/>
          <w:sz w:val="32"/>
          <w:szCs w:val="32"/>
        </w:rPr>
      </w:pPr>
      <w:r w:rsidRPr="00040AB6">
        <w:rPr>
          <w:rFonts w:asciiTheme="minorHAnsi" w:hAnsiTheme="minorHAnsi"/>
          <w:sz w:val="32"/>
          <w:szCs w:val="32"/>
        </w:rPr>
        <w:t xml:space="preserve">2015 </w:t>
      </w:r>
      <w:r w:rsidR="00357665" w:rsidRPr="00040AB6">
        <w:rPr>
          <w:rFonts w:asciiTheme="minorHAnsi" w:hAnsiTheme="minorHAnsi"/>
          <w:sz w:val="32"/>
          <w:szCs w:val="32"/>
        </w:rPr>
        <w:t>Budget and</w:t>
      </w:r>
      <w:r w:rsidR="009E1A7B" w:rsidRPr="00040AB6">
        <w:rPr>
          <w:rFonts w:asciiTheme="minorHAnsi" w:hAnsiTheme="minorHAnsi"/>
          <w:sz w:val="32"/>
          <w:szCs w:val="32"/>
        </w:rPr>
        <w:t xml:space="preserve"> </w:t>
      </w:r>
      <w:r w:rsidR="00357665" w:rsidRPr="00040AB6">
        <w:rPr>
          <w:rFonts w:asciiTheme="minorHAnsi" w:hAnsiTheme="minorHAnsi"/>
          <w:sz w:val="32"/>
          <w:szCs w:val="32"/>
        </w:rPr>
        <w:t>Funding Schedule</w:t>
      </w:r>
    </w:p>
    <w:p w14:paraId="4DF0A08A" w14:textId="483C7A2F" w:rsidR="00357665" w:rsidRPr="00040AB6" w:rsidRDefault="00336934" w:rsidP="003A1FAE">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Below is the </w:t>
      </w:r>
      <w:r w:rsidR="00EA2A1F" w:rsidRPr="00040AB6">
        <w:rPr>
          <w:rFonts w:asciiTheme="minorHAnsi" w:hAnsiTheme="minorHAnsi"/>
          <w:sz w:val="24"/>
          <w:szCs w:val="24"/>
        </w:rPr>
        <w:t xml:space="preserve">2015 </w:t>
      </w:r>
      <w:r w:rsidR="00476E02" w:rsidRPr="00040AB6">
        <w:rPr>
          <w:rFonts w:asciiTheme="minorHAnsi" w:hAnsiTheme="minorHAnsi"/>
          <w:sz w:val="24"/>
          <w:szCs w:val="24"/>
        </w:rPr>
        <w:t>budget for the residential and commercial energy efficiency programs</w:t>
      </w:r>
      <w:r w:rsidR="003E3683" w:rsidRPr="00040AB6">
        <w:rPr>
          <w:rFonts w:asciiTheme="minorHAnsi" w:hAnsiTheme="minorHAnsi"/>
          <w:sz w:val="24"/>
          <w:szCs w:val="24"/>
        </w:rPr>
        <w:t>, NEEA gas market transformation</w:t>
      </w:r>
      <w:r w:rsidR="002A7E24" w:rsidRPr="00040AB6">
        <w:rPr>
          <w:rFonts w:asciiTheme="minorHAnsi" w:hAnsiTheme="minorHAnsi"/>
          <w:sz w:val="24"/>
          <w:szCs w:val="24"/>
        </w:rPr>
        <w:t>,</w:t>
      </w:r>
      <w:r w:rsidR="003E3683" w:rsidRPr="00040AB6">
        <w:rPr>
          <w:rFonts w:asciiTheme="minorHAnsi" w:hAnsiTheme="minorHAnsi"/>
          <w:sz w:val="24"/>
          <w:szCs w:val="24"/>
        </w:rPr>
        <w:t xml:space="preserve"> </w:t>
      </w:r>
      <w:r w:rsidR="00476E02" w:rsidRPr="00040AB6">
        <w:rPr>
          <w:rFonts w:asciiTheme="minorHAnsi" w:hAnsiTheme="minorHAnsi"/>
          <w:sz w:val="24"/>
          <w:szCs w:val="24"/>
        </w:rPr>
        <w:t xml:space="preserve">and the WA-LIEE program.  </w:t>
      </w:r>
    </w:p>
    <w:p w14:paraId="234BB191" w14:textId="77777777" w:rsidR="00476E02" w:rsidRPr="00040AB6" w:rsidRDefault="00476E02" w:rsidP="003A1FAE">
      <w:pPr>
        <w:pStyle w:val="ListParagraph"/>
        <w:spacing w:after="0" w:line="240" w:lineRule="auto"/>
        <w:rPr>
          <w:rFonts w:asciiTheme="minorHAnsi" w:hAnsiTheme="minorHAnsi"/>
          <w:sz w:val="24"/>
          <w:szCs w:val="24"/>
        </w:rPr>
      </w:pPr>
    </w:p>
    <w:p w14:paraId="0DBB59D9" w14:textId="77777777" w:rsidR="00614BC3" w:rsidRPr="00040AB6" w:rsidRDefault="00614BC3" w:rsidP="003A1FAE">
      <w:pPr>
        <w:pStyle w:val="ListParagraph"/>
        <w:spacing w:after="0" w:line="240" w:lineRule="auto"/>
        <w:rPr>
          <w:rFonts w:asciiTheme="minorHAnsi" w:hAnsiTheme="minorHAnsi"/>
          <w:sz w:val="24"/>
          <w:szCs w:val="24"/>
        </w:rPr>
      </w:pPr>
    </w:p>
    <w:tbl>
      <w:tblPr>
        <w:tblW w:w="5760" w:type="dxa"/>
        <w:tblInd w:w="828" w:type="dxa"/>
        <w:tblLook w:val="04A0" w:firstRow="1" w:lastRow="0" w:firstColumn="1" w:lastColumn="0" w:noHBand="0" w:noVBand="1"/>
      </w:tblPr>
      <w:tblGrid>
        <w:gridCol w:w="1960"/>
        <w:gridCol w:w="1420"/>
        <w:gridCol w:w="2380"/>
      </w:tblGrid>
      <w:tr w:rsidR="002B22E3" w:rsidRPr="00040AB6" w14:paraId="50F8DAB0" w14:textId="77777777" w:rsidTr="001C4B7A">
        <w:trPr>
          <w:trHeight w:val="300"/>
        </w:trPr>
        <w:tc>
          <w:tcPr>
            <w:tcW w:w="1960" w:type="dxa"/>
            <w:tcBorders>
              <w:top w:val="single" w:sz="4" w:space="0" w:color="auto"/>
              <w:left w:val="single" w:sz="4" w:space="0" w:color="auto"/>
              <w:bottom w:val="nil"/>
              <w:right w:val="single" w:sz="4" w:space="0" w:color="auto"/>
            </w:tcBorders>
            <w:shd w:val="clear" w:color="auto" w:fill="auto"/>
            <w:vAlign w:val="bottom"/>
            <w:hideMark/>
          </w:tcPr>
          <w:p w14:paraId="17041A0A"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Range</w:t>
            </w:r>
          </w:p>
        </w:tc>
        <w:tc>
          <w:tcPr>
            <w:tcW w:w="1420" w:type="dxa"/>
            <w:tcBorders>
              <w:top w:val="single" w:sz="4" w:space="0" w:color="auto"/>
              <w:left w:val="nil"/>
              <w:bottom w:val="nil"/>
              <w:right w:val="single" w:sz="4" w:space="0" w:color="auto"/>
            </w:tcBorders>
            <w:shd w:val="clear" w:color="auto" w:fill="auto"/>
            <w:vAlign w:val="bottom"/>
            <w:hideMark/>
          </w:tcPr>
          <w:p w14:paraId="1367A749"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Low</w:t>
            </w:r>
          </w:p>
        </w:tc>
        <w:tc>
          <w:tcPr>
            <w:tcW w:w="2380" w:type="dxa"/>
            <w:tcBorders>
              <w:top w:val="single" w:sz="4" w:space="0" w:color="auto"/>
              <w:left w:val="nil"/>
              <w:bottom w:val="nil"/>
              <w:right w:val="single" w:sz="4" w:space="0" w:color="auto"/>
            </w:tcBorders>
            <w:shd w:val="clear" w:color="auto" w:fill="auto"/>
            <w:vAlign w:val="bottom"/>
            <w:hideMark/>
          </w:tcPr>
          <w:p w14:paraId="0A895119"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High</w:t>
            </w:r>
          </w:p>
        </w:tc>
      </w:tr>
      <w:tr w:rsidR="002B22E3" w:rsidRPr="00040AB6" w14:paraId="4FFEAC75" w14:textId="77777777" w:rsidTr="001C4B7A">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75EA6B06"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Commercial</w:t>
            </w:r>
          </w:p>
        </w:tc>
        <w:tc>
          <w:tcPr>
            <w:tcW w:w="1420" w:type="dxa"/>
            <w:tcBorders>
              <w:top w:val="single" w:sz="4" w:space="0" w:color="auto"/>
              <w:left w:val="nil"/>
              <w:bottom w:val="single" w:sz="4" w:space="0" w:color="auto"/>
              <w:right w:val="nil"/>
            </w:tcBorders>
            <w:shd w:val="clear" w:color="auto" w:fill="auto"/>
            <w:vAlign w:val="bottom"/>
            <w:hideMark/>
          </w:tcPr>
          <w:p w14:paraId="3D18C442"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A2DF436"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r>
      <w:tr w:rsidR="002B22E3" w:rsidRPr="00040AB6" w14:paraId="37EF0CA6" w14:textId="77777777" w:rsidTr="001C4B7A">
        <w:trPr>
          <w:trHeight w:val="300"/>
        </w:trPr>
        <w:tc>
          <w:tcPr>
            <w:tcW w:w="1960" w:type="dxa"/>
            <w:tcBorders>
              <w:top w:val="nil"/>
              <w:left w:val="single" w:sz="4" w:space="0" w:color="auto"/>
              <w:bottom w:val="nil"/>
              <w:right w:val="single" w:sz="4" w:space="0" w:color="auto"/>
            </w:tcBorders>
            <w:shd w:val="clear" w:color="auto" w:fill="auto"/>
            <w:vAlign w:val="bottom"/>
            <w:hideMark/>
          </w:tcPr>
          <w:p w14:paraId="782AF39F"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Retrofit</w:t>
            </w:r>
          </w:p>
        </w:tc>
        <w:tc>
          <w:tcPr>
            <w:tcW w:w="1420" w:type="dxa"/>
            <w:tcBorders>
              <w:top w:val="nil"/>
              <w:left w:val="nil"/>
              <w:bottom w:val="nil"/>
              <w:right w:val="single" w:sz="4" w:space="0" w:color="auto"/>
            </w:tcBorders>
            <w:shd w:val="clear" w:color="auto" w:fill="auto"/>
            <w:vAlign w:val="bottom"/>
            <w:hideMark/>
          </w:tcPr>
          <w:p w14:paraId="22D102EA"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$587,753</w:t>
            </w:r>
          </w:p>
        </w:tc>
        <w:tc>
          <w:tcPr>
            <w:tcW w:w="2380" w:type="dxa"/>
            <w:tcBorders>
              <w:top w:val="nil"/>
              <w:left w:val="nil"/>
              <w:bottom w:val="nil"/>
              <w:right w:val="single" w:sz="4" w:space="0" w:color="auto"/>
            </w:tcBorders>
            <w:shd w:val="clear" w:color="auto" w:fill="auto"/>
            <w:vAlign w:val="bottom"/>
            <w:hideMark/>
          </w:tcPr>
          <w:p w14:paraId="47699111"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$691,474</w:t>
            </w:r>
          </w:p>
        </w:tc>
      </w:tr>
      <w:tr w:rsidR="002B22E3" w:rsidRPr="00040AB6" w14:paraId="0A41EE9A" w14:textId="77777777" w:rsidTr="001C4B7A">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68C4FD1E"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Residential</w:t>
            </w:r>
          </w:p>
        </w:tc>
        <w:tc>
          <w:tcPr>
            <w:tcW w:w="1420" w:type="dxa"/>
            <w:tcBorders>
              <w:top w:val="single" w:sz="4" w:space="0" w:color="auto"/>
              <w:left w:val="nil"/>
              <w:bottom w:val="single" w:sz="4" w:space="0" w:color="auto"/>
              <w:right w:val="nil"/>
            </w:tcBorders>
            <w:shd w:val="clear" w:color="auto" w:fill="auto"/>
            <w:vAlign w:val="bottom"/>
            <w:hideMark/>
          </w:tcPr>
          <w:p w14:paraId="682F464E"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8A91971"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r>
      <w:tr w:rsidR="002B22E3" w:rsidRPr="00040AB6" w14:paraId="5B956D87" w14:textId="77777777" w:rsidTr="001C4B7A">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1E6B48D0"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Retrofit</w:t>
            </w:r>
          </w:p>
        </w:tc>
        <w:tc>
          <w:tcPr>
            <w:tcW w:w="1420" w:type="dxa"/>
            <w:tcBorders>
              <w:top w:val="nil"/>
              <w:left w:val="nil"/>
              <w:bottom w:val="single" w:sz="4" w:space="0" w:color="auto"/>
              <w:right w:val="single" w:sz="4" w:space="0" w:color="auto"/>
            </w:tcBorders>
            <w:shd w:val="clear" w:color="auto" w:fill="auto"/>
            <w:vAlign w:val="bottom"/>
            <w:hideMark/>
          </w:tcPr>
          <w:p w14:paraId="14D51640"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$402,697</w:t>
            </w:r>
          </w:p>
        </w:tc>
        <w:tc>
          <w:tcPr>
            <w:tcW w:w="2380" w:type="dxa"/>
            <w:tcBorders>
              <w:top w:val="nil"/>
              <w:left w:val="nil"/>
              <w:bottom w:val="single" w:sz="4" w:space="0" w:color="auto"/>
              <w:right w:val="single" w:sz="4" w:space="0" w:color="auto"/>
            </w:tcBorders>
            <w:shd w:val="clear" w:color="auto" w:fill="auto"/>
            <w:vAlign w:val="bottom"/>
            <w:hideMark/>
          </w:tcPr>
          <w:p w14:paraId="4DC3620D"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$473,761</w:t>
            </w:r>
          </w:p>
        </w:tc>
      </w:tr>
      <w:tr w:rsidR="002B22E3" w:rsidRPr="00040AB6" w14:paraId="03FF37A8" w14:textId="77777777" w:rsidTr="001C4B7A">
        <w:trPr>
          <w:trHeight w:val="300"/>
        </w:trPr>
        <w:tc>
          <w:tcPr>
            <w:tcW w:w="1960" w:type="dxa"/>
            <w:tcBorders>
              <w:top w:val="nil"/>
              <w:left w:val="single" w:sz="4" w:space="0" w:color="auto"/>
              <w:bottom w:val="nil"/>
              <w:right w:val="single" w:sz="4" w:space="0" w:color="auto"/>
            </w:tcBorders>
            <w:shd w:val="clear" w:color="auto" w:fill="auto"/>
            <w:vAlign w:val="bottom"/>
            <w:hideMark/>
          </w:tcPr>
          <w:p w14:paraId="0E97C7F6"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New Homes</w:t>
            </w:r>
          </w:p>
        </w:tc>
        <w:tc>
          <w:tcPr>
            <w:tcW w:w="1420" w:type="dxa"/>
            <w:tcBorders>
              <w:top w:val="nil"/>
              <w:left w:val="nil"/>
              <w:bottom w:val="nil"/>
              <w:right w:val="single" w:sz="4" w:space="0" w:color="auto"/>
            </w:tcBorders>
            <w:shd w:val="clear" w:color="auto" w:fill="auto"/>
            <w:vAlign w:val="bottom"/>
            <w:hideMark/>
          </w:tcPr>
          <w:p w14:paraId="6FDEDBC4"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$300,035</w:t>
            </w:r>
          </w:p>
        </w:tc>
        <w:tc>
          <w:tcPr>
            <w:tcW w:w="2380" w:type="dxa"/>
            <w:tcBorders>
              <w:top w:val="nil"/>
              <w:left w:val="nil"/>
              <w:bottom w:val="nil"/>
              <w:right w:val="single" w:sz="4" w:space="0" w:color="auto"/>
            </w:tcBorders>
            <w:shd w:val="clear" w:color="auto" w:fill="auto"/>
            <w:vAlign w:val="bottom"/>
            <w:hideMark/>
          </w:tcPr>
          <w:p w14:paraId="53A1DF45"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$352,982</w:t>
            </w:r>
          </w:p>
        </w:tc>
      </w:tr>
      <w:tr w:rsidR="002B22E3" w:rsidRPr="00040AB6" w14:paraId="0DFCF76E" w14:textId="77777777" w:rsidTr="001C4B7A">
        <w:trPr>
          <w:trHeight w:val="300"/>
        </w:trPr>
        <w:tc>
          <w:tcPr>
            <w:tcW w:w="1960" w:type="dxa"/>
            <w:tcBorders>
              <w:top w:val="single" w:sz="4" w:space="0" w:color="auto"/>
              <w:left w:val="single" w:sz="4" w:space="0" w:color="auto"/>
              <w:bottom w:val="nil"/>
              <w:right w:val="nil"/>
            </w:tcBorders>
            <w:shd w:val="clear" w:color="auto" w:fill="auto"/>
            <w:vAlign w:val="bottom"/>
            <w:hideMark/>
          </w:tcPr>
          <w:p w14:paraId="7106D67C"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NEEA</w:t>
            </w:r>
          </w:p>
        </w:tc>
        <w:tc>
          <w:tcPr>
            <w:tcW w:w="1420" w:type="dxa"/>
            <w:tcBorders>
              <w:top w:val="single" w:sz="4" w:space="0" w:color="auto"/>
              <w:left w:val="nil"/>
              <w:bottom w:val="nil"/>
              <w:right w:val="nil"/>
            </w:tcBorders>
            <w:shd w:val="clear" w:color="auto" w:fill="auto"/>
            <w:vAlign w:val="bottom"/>
            <w:hideMark/>
          </w:tcPr>
          <w:p w14:paraId="2E5F4491"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nil"/>
              <w:right w:val="single" w:sz="4" w:space="0" w:color="auto"/>
            </w:tcBorders>
            <w:shd w:val="clear" w:color="auto" w:fill="auto"/>
            <w:vAlign w:val="bottom"/>
            <w:hideMark/>
          </w:tcPr>
          <w:p w14:paraId="17D62959"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r>
      <w:tr w:rsidR="002B22E3" w:rsidRPr="00040AB6" w14:paraId="73894E20" w14:textId="77777777" w:rsidTr="001C4B7A">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CDE00" w14:textId="5DAFA618"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NEEA</w:t>
            </w:r>
            <w:r w:rsidR="00CA27F2" w:rsidRPr="00040AB6">
              <w:rPr>
                <w:rFonts w:asciiTheme="minorHAnsi" w:hAnsiTheme="minorHAnsi"/>
                <w:color w:val="000000"/>
              </w:rPr>
              <w:t>*</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4ECD71D4"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$52,075</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3A94A4F6" w14:textId="77777777" w:rsidR="002B22E3" w:rsidRPr="00040AB6" w:rsidRDefault="002B22E3" w:rsidP="002B22E3">
            <w:pPr>
              <w:spacing w:after="0" w:line="240" w:lineRule="auto"/>
              <w:jc w:val="right"/>
              <w:rPr>
                <w:rFonts w:asciiTheme="minorHAnsi" w:hAnsiTheme="minorHAnsi"/>
                <w:color w:val="000000"/>
              </w:rPr>
            </w:pPr>
            <w:r w:rsidRPr="00040AB6">
              <w:rPr>
                <w:rFonts w:asciiTheme="minorHAnsi" w:hAnsiTheme="minorHAnsi"/>
                <w:color w:val="000000"/>
              </w:rPr>
              <w:t>$52,075</w:t>
            </w:r>
          </w:p>
        </w:tc>
      </w:tr>
      <w:tr w:rsidR="002B22E3" w:rsidRPr="00040AB6" w14:paraId="53EF337D" w14:textId="77777777" w:rsidTr="001C4B7A">
        <w:trPr>
          <w:trHeight w:val="330"/>
        </w:trPr>
        <w:tc>
          <w:tcPr>
            <w:tcW w:w="3380" w:type="dxa"/>
            <w:gridSpan w:val="2"/>
            <w:tcBorders>
              <w:top w:val="single" w:sz="4" w:space="0" w:color="auto"/>
              <w:left w:val="single" w:sz="4" w:space="0" w:color="auto"/>
              <w:bottom w:val="single" w:sz="4" w:space="0" w:color="auto"/>
              <w:right w:val="nil"/>
            </w:tcBorders>
            <w:shd w:val="clear" w:color="auto" w:fill="auto"/>
            <w:vAlign w:val="bottom"/>
            <w:hideMark/>
          </w:tcPr>
          <w:p w14:paraId="75871CE1"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Total For Schedule G Programs</w:t>
            </w:r>
          </w:p>
        </w:tc>
        <w:tc>
          <w:tcPr>
            <w:tcW w:w="2380" w:type="dxa"/>
            <w:tcBorders>
              <w:top w:val="nil"/>
              <w:left w:val="nil"/>
              <w:bottom w:val="nil"/>
              <w:right w:val="single" w:sz="4" w:space="0" w:color="auto"/>
            </w:tcBorders>
            <w:shd w:val="clear" w:color="auto" w:fill="auto"/>
            <w:vAlign w:val="bottom"/>
            <w:hideMark/>
          </w:tcPr>
          <w:p w14:paraId="5B6BDC4C"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r>
      <w:tr w:rsidR="004D4857" w:rsidRPr="00040AB6" w14:paraId="08532609" w14:textId="77777777" w:rsidTr="001C4B7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A97211F" w14:textId="77777777" w:rsidR="004D4857" w:rsidRPr="00040AB6" w:rsidRDefault="004D4857" w:rsidP="002B22E3">
            <w:pPr>
              <w:spacing w:after="0" w:line="240" w:lineRule="auto"/>
              <w:rPr>
                <w:rFonts w:asciiTheme="minorHAnsi" w:hAnsiTheme="minorHAnsi"/>
                <w:color w:val="000000"/>
              </w:rPr>
            </w:pPr>
            <w:r w:rsidRPr="00040AB6">
              <w:rPr>
                <w:rFonts w:asciiTheme="minorHAnsi" w:hAnsiTheme="minorHAnsi"/>
                <w:color w:val="000000"/>
              </w:rPr>
              <w:t>WALIEE</w:t>
            </w:r>
          </w:p>
        </w:tc>
        <w:tc>
          <w:tcPr>
            <w:tcW w:w="1420" w:type="dxa"/>
            <w:tcBorders>
              <w:top w:val="nil"/>
              <w:left w:val="nil"/>
              <w:bottom w:val="single" w:sz="4" w:space="0" w:color="auto"/>
              <w:right w:val="single" w:sz="4" w:space="0" w:color="auto"/>
            </w:tcBorders>
            <w:shd w:val="clear" w:color="auto" w:fill="auto"/>
            <w:noWrap/>
            <w:vAlign w:val="bottom"/>
            <w:hideMark/>
          </w:tcPr>
          <w:p w14:paraId="32DE6C84" w14:textId="35EE472A" w:rsidR="004D4857" w:rsidRPr="00040AB6" w:rsidRDefault="004D4857" w:rsidP="004D4857">
            <w:pPr>
              <w:spacing w:after="0" w:line="240" w:lineRule="auto"/>
              <w:jc w:val="right"/>
              <w:rPr>
                <w:rFonts w:asciiTheme="minorHAnsi" w:hAnsiTheme="minorHAnsi"/>
                <w:color w:val="000000"/>
              </w:rPr>
            </w:pPr>
            <w:r w:rsidRPr="00040AB6">
              <w:rPr>
                <w:rFonts w:asciiTheme="minorHAnsi" w:hAnsiTheme="minorHAnsi"/>
                <w:color w:val="000000"/>
              </w:rPr>
              <w:t>$44,650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9F5DE05" w14:textId="04D59751" w:rsidR="004D4857" w:rsidRPr="00040AB6" w:rsidRDefault="004D4857" w:rsidP="004D4857">
            <w:pPr>
              <w:spacing w:after="0" w:line="240" w:lineRule="auto"/>
              <w:jc w:val="right"/>
              <w:rPr>
                <w:rFonts w:asciiTheme="minorHAnsi" w:hAnsiTheme="minorHAnsi"/>
                <w:color w:val="000000"/>
              </w:rPr>
            </w:pPr>
            <w:r w:rsidRPr="00040AB6">
              <w:rPr>
                <w:rFonts w:asciiTheme="minorHAnsi" w:hAnsiTheme="minorHAnsi"/>
                <w:color w:val="000000"/>
              </w:rPr>
              <w:t>$53,580</w:t>
            </w:r>
          </w:p>
        </w:tc>
      </w:tr>
      <w:tr w:rsidR="004D4857" w:rsidRPr="00040AB6" w14:paraId="190B0688" w14:textId="77777777" w:rsidTr="001C4B7A">
        <w:trPr>
          <w:trHeight w:val="315"/>
        </w:trPr>
        <w:tc>
          <w:tcPr>
            <w:tcW w:w="1960" w:type="dxa"/>
            <w:tcBorders>
              <w:top w:val="nil"/>
              <w:left w:val="single" w:sz="8" w:space="0" w:color="auto"/>
              <w:bottom w:val="single" w:sz="8" w:space="0" w:color="auto"/>
              <w:right w:val="single" w:sz="4" w:space="0" w:color="auto"/>
            </w:tcBorders>
            <w:shd w:val="clear" w:color="auto" w:fill="auto"/>
            <w:vAlign w:val="bottom"/>
            <w:hideMark/>
          </w:tcPr>
          <w:p w14:paraId="78E6CDEE" w14:textId="77777777" w:rsidR="004D4857" w:rsidRPr="00040AB6" w:rsidRDefault="004D4857" w:rsidP="002B22E3">
            <w:pPr>
              <w:spacing w:after="0" w:line="240" w:lineRule="auto"/>
              <w:rPr>
                <w:rFonts w:asciiTheme="minorHAnsi" w:hAnsiTheme="minorHAnsi"/>
                <w:color w:val="000000"/>
              </w:rPr>
            </w:pPr>
            <w:r w:rsidRPr="00040AB6">
              <w:rPr>
                <w:rFonts w:asciiTheme="minorHAnsi" w:hAnsiTheme="minorHAnsi"/>
                <w:color w:val="000000"/>
              </w:rPr>
              <w:t>Total</w:t>
            </w:r>
          </w:p>
        </w:tc>
        <w:tc>
          <w:tcPr>
            <w:tcW w:w="1420" w:type="dxa"/>
            <w:tcBorders>
              <w:top w:val="nil"/>
              <w:left w:val="nil"/>
              <w:bottom w:val="single" w:sz="8" w:space="0" w:color="auto"/>
              <w:right w:val="single" w:sz="4" w:space="0" w:color="auto"/>
            </w:tcBorders>
            <w:shd w:val="clear" w:color="auto" w:fill="auto"/>
            <w:noWrap/>
            <w:vAlign w:val="bottom"/>
            <w:hideMark/>
          </w:tcPr>
          <w:p w14:paraId="4977192C" w14:textId="48FF52E4" w:rsidR="004D4857" w:rsidRPr="00040AB6" w:rsidRDefault="004D4857" w:rsidP="004D4857">
            <w:pPr>
              <w:spacing w:after="0" w:line="240" w:lineRule="auto"/>
              <w:jc w:val="right"/>
              <w:rPr>
                <w:rFonts w:asciiTheme="minorHAnsi" w:hAnsiTheme="minorHAnsi"/>
                <w:color w:val="000000"/>
              </w:rPr>
            </w:pPr>
            <w:r w:rsidRPr="00040AB6">
              <w:rPr>
                <w:rFonts w:asciiTheme="minorHAnsi" w:hAnsiTheme="minorHAnsi"/>
                <w:color w:val="000000"/>
              </w:rPr>
              <w:t xml:space="preserve">$1,387,209 </w:t>
            </w:r>
          </w:p>
        </w:tc>
        <w:tc>
          <w:tcPr>
            <w:tcW w:w="2380" w:type="dxa"/>
            <w:tcBorders>
              <w:top w:val="nil"/>
              <w:left w:val="nil"/>
              <w:bottom w:val="single" w:sz="8" w:space="0" w:color="auto"/>
              <w:right w:val="single" w:sz="8" w:space="0" w:color="auto"/>
            </w:tcBorders>
            <w:shd w:val="clear" w:color="auto" w:fill="auto"/>
            <w:noWrap/>
            <w:vAlign w:val="bottom"/>
            <w:hideMark/>
          </w:tcPr>
          <w:p w14:paraId="790D949B" w14:textId="736FAC51" w:rsidR="004D4857" w:rsidRPr="00040AB6" w:rsidRDefault="004D4857" w:rsidP="004D4857">
            <w:pPr>
              <w:spacing w:after="0" w:line="240" w:lineRule="auto"/>
              <w:jc w:val="right"/>
              <w:rPr>
                <w:rFonts w:asciiTheme="minorHAnsi" w:hAnsiTheme="minorHAnsi"/>
                <w:color w:val="000000"/>
              </w:rPr>
            </w:pPr>
            <w:r w:rsidRPr="00040AB6">
              <w:rPr>
                <w:rFonts w:asciiTheme="minorHAnsi" w:hAnsiTheme="minorHAnsi"/>
                <w:color w:val="000000"/>
              </w:rPr>
              <w:t xml:space="preserve">$1,623,872 </w:t>
            </w:r>
          </w:p>
        </w:tc>
      </w:tr>
    </w:tbl>
    <w:p w14:paraId="40D008AB" w14:textId="77777777" w:rsidR="00614BC3" w:rsidRPr="00040AB6" w:rsidRDefault="00614BC3" w:rsidP="003A1FAE">
      <w:pPr>
        <w:pStyle w:val="ListParagraph"/>
        <w:spacing w:after="0" w:line="240" w:lineRule="auto"/>
        <w:rPr>
          <w:rFonts w:asciiTheme="minorHAnsi" w:hAnsiTheme="minorHAnsi"/>
          <w:sz w:val="24"/>
          <w:szCs w:val="24"/>
        </w:rPr>
      </w:pPr>
    </w:p>
    <w:p w14:paraId="3C5FA5AA" w14:textId="38733E7B" w:rsidR="00136FF5" w:rsidRPr="00040AB6" w:rsidRDefault="00136FF5" w:rsidP="00136FF5">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Funding Schedule:  As of the November </w:t>
      </w:r>
      <w:r w:rsidR="009C3EDF" w:rsidRPr="00040AB6">
        <w:rPr>
          <w:rFonts w:asciiTheme="minorHAnsi" w:hAnsiTheme="minorHAnsi"/>
          <w:sz w:val="24"/>
          <w:szCs w:val="24"/>
        </w:rPr>
        <w:t>201</w:t>
      </w:r>
      <w:r w:rsidR="00E2534C" w:rsidRPr="00040AB6">
        <w:rPr>
          <w:rFonts w:asciiTheme="minorHAnsi" w:hAnsiTheme="minorHAnsi"/>
          <w:sz w:val="24"/>
          <w:szCs w:val="24"/>
        </w:rPr>
        <w:t>5</w:t>
      </w:r>
      <w:r w:rsidRPr="00040AB6">
        <w:rPr>
          <w:rFonts w:asciiTheme="minorHAnsi" w:hAnsiTheme="minorHAnsi"/>
          <w:sz w:val="24"/>
          <w:szCs w:val="24"/>
        </w:rPr>
        <w:t xml:space="preserve">, the Company and Energy Trust have not executed a contract to define the </w:t>
      </w:r>
      <w:r w:rsidR="00E2534C" w:rsidRPr="00040AB6">
        <w:rPr>
          <w:rFonts w:asciiTheme="minorHAnsi" w:hAnsiTheme="minorHAnsi"/>
          <w:sz w:val="24"/>
          <w:szCs w:val="24"/>
        </w:rPr>
        <w:t xml:space="preserve">2015 </w:t>
      </w:r>
      <w:r w:rsidRPr="00040AB6">
        <w:rPr>
          <w:rFonts w:asciiTheme="minorHAnsi" w:hAnsiTheme="minorHAnsi"/>
          <w:sz w:val="24"/>
          <w:szCs w:val="24"/>
        </w:rPr>
        <w:t xml:space="preserve">funding schedule but parties expect the funding schedule will mirror what was done in </w:t>
      </w:r>
      <w:r w:rsidR="00E2534C" w:rsidRPr="00040AB6">
        <w:rPr>
          <w:rFonts w:asciiTheme="minorHAnsi" w:hAnsiTheme="minorHAnsi"/>
          <w:sz w:val="24"/>
          <w:szCs w:val="24"/>
        </w:rPr>
        <w:t>prior years</w:t>
      </w:r>
      <w:r w:rsidR="00D72844" w:rsidRPr="00040AB6">
        <w:rPr>
          <w:rFonts w:asciiTheme="minorHAnsi" w:hAnsiTheme="minorHAnsi"/>
          <w:sz w:val="24"/>
          <w:szCs w:val="24"/>
        </w:rPr>
        <w:t xml:space="preserve">, </w:t>
      </w:r>
      <w:r w:rsidRPr="00040AB6">
        <w:rPr>
          <w:rFonts w:asciiTheme="minorHAnsi" w:hAnsiTheme="minorHAnsi"/>
          <w:sz w:val="24"/>
          <w:szCs w:val="24"/>
        </w:rPr>
        <w:t xml:space="preserve">which was that 50% of budgeted need was provided to Energy Trust on March 1 and the remaining 50% was provided on October 1.  </w:t>
      </w:r>
    </w:p>
    <w:p w14:paraId="3C634E1D" w14:textId="5E3CAF31" w:rsidR="00097823" w:rsidRPr="00040AB6" w:rsidRDefault="00097823">
      <w:pPr>
        <w:spacing w:after="0" w:line="240" w:lineRule="auto"/>
        <w:rPr>
          <w:rFonts w:asciiTheme="minorHAnsi" w:hAnsiTheme="minorHAnsi"/>
          <w:sz w:val="24"/>
          <w:szCs w:val="24"/>
        </w:rPr>
      </w:pPr>
    </w:p>
    <w:p w14:paraId="45C5832D" w14:textId="22A3D44F" w:rsidR="00D57E7F" w:rsidRPr="00040AB6" w:rsidRDefault="00D57E7F" w:rsidP="00D57E7F">
      <w:pPr>
        <w:pStyle w:val="ListParagraph"/>
        <w:numPr>
          <w:ilvl w:val="0"/>
          <w:numId w:val="17"/>
        </w:numPr>
        <w:spacing w:after="0" w:line="240" w:lineRule="auto"/>
        <w:ind w:left="720"/>
        <w:rPr>
          <w:rFonts w:asciiTheme="minorHAnsi" w:hAnsiTheme="minorHAnsi"/>
          <w:sz w:val="32"/>
          <w:szCs w:val="32"/>
        </w:rPr>
      </w:pPr>
      <w:r w:rsidRPr="00040AB6">
        <w:rPr>
          <w:rFonts w:asciiTheme="minorHAnsi" w:hAnsiTheme="minorHAnsi"/>
          <w:sz w:val="32"/>
          <w:szCs w:val="32"/>
        </w:rPr>
        <w:t>Gas Market Transformation</w:t>
      </w:r>
      <w:r w:rsidR="00A42FA1" w:rsidRPr="00040AB6">
        <w:rPr>
          <w:rFonts w:asciiTheme="minorHAnsi" w:hAnsiTheme="minorHAnsi"/>
          <w:sz w:val="32"/>
          <w:szCs w:val="32"/>
        </w:rPr>
        <w:t>, First Year</w:t>
      </w:r>
      <w:r w:rsidRPr="00040AB6">
        <w:rPr>
          <w:rFonts w:asciiTheme="minorHAnsi" w:hAnsiTheme="minorHAnsi"/>
          <w:sz w:val="32"/>
          <w:szCs w:val="32"/>
        </w:rPr>
        <w:t xml:space="preserve"> Pilot</w:t>
      </w:r>
    </w:p>
    <w:p w14:paraId="37E5D381" w14:textId="180F03F2" w:rsidR="00A42FA1" w:rsidRPr="00040AB6" w:rsidRDefault="00A42FA1" w:rsidP="00A42FA1">
      <w:pPr>
        <w:rPr>
          <w:rFonts w:asciiTheme="minorHAnsi" w:hAnsiTheme="minorHAnsi"/>
        </w:rPr>
      </w:pPr>
      <w:r w:rsidRPr="00040AB6">
        <w:rPr>
          <w:rFonts w:asciiTheme="minorHAnsi" w:hAnsiTheme="minorHAnsi"/>
        </w:rPr>
        <w:t>NW Natural will participate in a regional gas market transformation initiative lead by the Northwest Energy Efficiency Alliance</w:t>
      </w:r>
      <w:r w:rsidR="002A7E24" w:rsidRPr="00040AB6">
        <w:rPr>
          <w:rFonts w:asciiTheme="minorHAnsi" w:hAnsiTheme="minorHAnsi"/>
        </w:rPr>
        <w:t xml:space="preserve"> (NEEA)</w:t>
      </w:r>
      <w:r w:rsidRPr="00040AB6">
        <w:rPr>
          <w:rFonts w:asciiTheme="minorHAnsi" w:hAnsiTheme="minorHAnsi"/>
        </w:rPr>
        <w:t>. The Company view</w:t>
      </w:r>
      <w:r w:rsidR="002A7E24" w:rsidRPr="00040AB6">
        <w:rPr>
          <w:rFonts w:asciiTheme="minorHAnsi" w:hAnsiTheme="minorHAnsi"/>
        </w:rPr>
        <w:t>s</w:t>
      </w:r>
      <w:r w:rsidRPr="00040AB6">
        <w:rPr>
          <w:rFonts w:asciiTheme="minorHAnsi" w:hAnsiTheme="minorHAnsi"/>
        </w:rPr>
        <w:t xml:space="preserve"> such activities as a necessary investment in the future of gas d</w:t>
      </w:r>
      <w:r w:rsidR="002A7E24" w:rsidRPr="00040AB6">
        <w:rPr>
          <w:rFonts w:asciiTheme="minorHAnsi" w:hAnsiTheme="minorHAnsi"/>
        </w:rPr>
        <w:t>emand side management (DSM)</w:t>
      </w:r>
      <w:r w:rsidRPr="00040AB6">
        <w:rPr>
          <w:rFonts w:asciiTheme="minorHAnsi" w:hAnsiTheme="minorHAnsi"/>
        </w:rPr>
        <w:t xml:space="preserve"> as an enduring component of regional power planning.  NEEA’s primary work on behalf of the Pacific Northwest is focused on two strategic goals; 1) bring energy efficient emerging </w:t>
      </w:r>
      <w:r w:rsidR="002A7E24" w:rsidRPr="00040AB6">
        <w:rPr>
          <w:rFonts w:asciiTheme="minorHAnsi" w:hAnsiTheme="minorHAnsi"/>
        </w:rPr>
        <w:t xml:space="preserve">gas </w:t>
      </w:r>
      <w:r w:rsidRPr="00040AB6">
        <w:rPr>
          <w:rFonts w:asciiTheme="minorHAnsi" w:hAnsiTheme="minorHAnsi"/>
        </w:rPr>
        <w:t xml:space="preserve">technologies to market, and 2) create the market conditions that will accelerate and sustain the market adoption of energy efficient </w:t>
      </w:r>
      <w:r w:rsidR="002A7E24" w:rsidRPr="00040AB6">
        <w:rPr>
          <w:rFonts w:asciiTheme="minorHAnsi" w:hAnsiTheme="minorHAnsi"/>
        </w:rPr>
        <w:t xml:space="preserve">gas </w:t>
      </w:r>
      <w:r w:rsidRPr="00040AB6">
        <w:rPr>
          <w:rFonts w:asciiTheme="minorHAnsi" w:hAnsiTheme="minorHAnsi"/>
        </w:rPr>
        <w:t>emerging technologies. NEEA uses a stage-gate approach to managing its work.</w:t>
      </w:r>
      <w:r w:rsidR="002A7E24" w:rsidRPr="00040AB6">
        <w:rPr>
          <w:rFonts w:asciiTheme="minorHAnsi" w:hAnsiTheme="minorHAnsi"/>
        </w:rPr>
        <w:t xml:space="preserve"> Below</w:t>
      </w:r>
      <w:r w:rsidRPr="00040AB6">
        <w:rPr>
          <w:rFonts w:asciiTheme="minorHAnsi" w:hAnsiTheme="minorHAnsi"/>
        </w:rPr>
        <w:t xml:space="preserve"> are the six phases that a technology would go through to fully achieve the two goals, and result in a sustained market change that</w:t>
      </w:r>
      <w:r w:rsidR="002A7E24" w:rsidRPr="00040AB6">
        <w:rPr>
          <w:rFonts w:asciiTheme="minorHAnsi" w:hAnsiTheme="minorHAnsi"/>
        </w:rPr>
        <w:t xml:space="preserve"> provides gas </w:t>
      </w:r>
      <w:r w:rsidRPr="00040AB6">
        <w:rPr>
          <w:rFonts w:asciiTheme="minorHAnsi" w:hAnsiTheme="minorHAnsi"/>
        </w:rPr>
        <w:t>savings.</w:t>
      </w:r>
    </w:p>
    <w:p w14:paraId="7DC0818E" w14:textId="77777777" w:rsidR="00A42FA1" w:rsidRPr="00040AB6" w:rsidRDefault="00A42FA1" w:rsidP="00A42FA1">
      <w:pPr>
        <w:spacing w:after="0" w:line="240" w:lineRule="auto"/>
        <w:rPr>
          <w:rFonts w:asciiTheme="minorHAnsi" w:hAnsiTheme="minorHAnsi"/>
          <w:sz w:val="24"/>
          <w:szCs w:val="24"/>
        </w:rPr>
      </w:pPr>
    </w:p>
    <w:p w14:paraId="062815AC" w14:textId="27F3D703" w:rsidR="00BD7243" w:rsidRPr="00040AB6" w:rsidRDefault="00D57E7F">
      <w:pPr>
        <w:spacing w:after="0" w:line="240" w:lineRule="auto"/>
        <w:rPr>
          <w:rFonts w:asciiTheme="minorHAnsi" w:hAnsiTheme="minorHAnsi"/>
          <w:sz w:val="32"/>
          <w:szCs w:val="32"/>
        </w:rPr>
      </w:pPr>
      <w:r w:rsidRPr="00040AB6">
        <w:rPr>
          <w:rFonts w:asciiTheme="minorHAnsi" w:hAnsiTheme="minorHAnsi"/>
          <w:noProof/>
        </w:rPr>
        <w:drawing>
          <wp:inline distT="0" distB="0" distL="0" distR="0" wp14:anchorId="332A8294" wp14:editId="3A3C0539">
            <wp:extent cx="5943600" cy="1086234"/>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86234"/>
                    </a:xfrm>
                    <a:prstGeom prst="rect">
                      <a:avLst/>
                    </a:prstGeom>
                    <a:noFill/>
                    <a:ln w="6350">
                      <a:solidFill>
                        <a:schemeClr val="tx1"/>
                      </a:solidFill>
                    </a:ln>
                  </pic:spPr>
                </pic:pic>
              </a:graphicData>
            </a:graphic>
          </wp:inline>
        </w:drawing>
      </w:r>
    </w:p>
    <w:p w14:paraId="0DEF3808" w14:textId="77777777" w:rsidR="00A42FA1" w:rsidRPr="00040AB6" w:rsidRDefault="00A42FA1" w:rsidP="00A42FA1">
      <w:pPr>
        <w:rPr>
          <w:rFonts w:asciiTheme="minorHAnsi" w:hAnsiTheme="minorHAnsi"/>
        </w:rPr>
      </w:pPr>
    </w:p>
    <w:p w14:paraId="3D7D856D" w14:textId="2D45431B" w:rsidR="00A42FA1" w:rsidRPr="00040AB6" w:rsidRDefault="00A42FA1" w:rsidP="00A42FA1">
      <w:pPr>
        <w:rPr>
          <w:rFonts w:asciiTheme="minorHAnsi" w:hAnsiTheme="minorHAnsi"/>
        </w:rPr>
      </w:pPr>
      <w:r w:rsidRPr="00040AB6">
        <w:rPr>
          <w:rFonts w:asciiTheme="minorHAnsi" w:hAnsiTheme="minorHAnsi"/>
        </w:rPr>
        <w:t xml:space="preserve">Prior to the market development phase, NEEA works on </w:t>
      </w:r>
    </w:p>
    <w:p w14:paraId="13746B29" w14:textId="77777777" w:rsidR="00A42FA1" w:rsidRPr="00040AB6" w:rsidRDefault="00A42FA1" w:rsidP="00A42FA1">
      <w:pPr>
        <w:pStyle w:val="ListParagraph"/>
        <w:numPr>
          <w:ilvl w:val="0"/>
          <w:numId w:val="23"/>
        </w:numPr>
        <w:rPr>
          <w:rFonts w:asciiTheme="minorHAnsi" w:hAnsiTheme="minorHAnsi"/>
          <w:b/>
          <w:i/>
        </w:rPr>
      </w:pPr>
      <w:r w:rsidRPr="00040AB6">
        <w:rPr>
          <w:rFonts w:asciiTheme="minorHAnsi" w:hAnsiTheme="minorHAnsi"/>
        </w:rPr>
        <w:t xml:space="preserve">Scanning for new technologies (shown in the graphic above as “scanning and concept identifications”), </w:t>
      </w:r>
    </w:p>
    <w:p w14:paraId="743FBF16" w14:textId="77777777" w:rsidR="00A42FA1" w:rsidRPr="00040AB6" w:rsidRDefault="00A42FA1" w:rsidP="00A42FA1">
      <w:pPr>
        <w:pStyle w:val="ListParagraph"/>
        <w:numPr>
          <w:ilvl w:val="0"/>
          <w:numId w:val="23"/>
        </w:numPr>
        <w:rPr>
          <w:rFonts w:asciiTheme="minorHAnsi" w:hAnsiTheme="minorHAnsi"/>
          <w:b/>
          <w:i/>
        </w:rPr>
      </w:pPr>
      <w:r w:rsidRPr="00040AB6">
        <w:rPr>
          <w:rFonts w:asciiTheme="minorHAnsi" w:hAnsiTheme="minorHAnsi"/>
        </w:rPr>
        <w:t xml:space="preserve">Researching and assessing both the market and technology conditions and potential (through the concept opportunity assessment and market and product assessment stages), </w:t>
      </w:r>
    </w:p>
    <w:p w14:paraId="4C929BDD" w14:textId="77777777" w:rsidR="00A42FA1" w:rsidRPr="00040AB6" w:rsidRDefault="00A42FA1" w:rsidP="00A42FA1">
      <w:pPr>
        <w:pStyle w:val="ListParagraph"/>
        <w:numPr>
          <w:ilvl w:val="0"/>
          <w:numId w:val="23"/>
        </w:numPr>
        <w:rPr>
          <w:rFonts w:asciiTheme="minorHAnsi" w:hAnsiTheme="minorHAnsi"/>
          <w:b/>
          <w:i/>
        </w:rPr>
      </w:pPr>
      <w:r w:rsidRPr="00040AB6">
        <w:rPr>
          <w:rFonts w:asciiTheme="minorHAnsi" w:hAnsiTheme="minorHAnsi"/>
        </w:rPr>
        <w:t xml:space="preserve">Developing and testing the market intervention strategy for the technology and developing cost effectiveness models which produce long term cost effectiveness metrics and energy savings forecasts (both part of strategy testing and finalization). </w:t>
      </w:r>
    </w:p>
    <w:p w14:paraId="00AC5DEA" w14:textId="6F9B9A12" w:rsidR="00AC3991" w:rsidRPr="00040AB6" w:rsidRDefault="00A42FA1" w:rsidP="005159E2">
      <w:pPr>
        <w:rPr>
          <w:rFonts w:asciiTheme="minorHAnsi" w:hAnsiTheme="minorHAnsi"/>
        </w:rPr>
      </w:pPr>
      <w:r w:rsidRPr="00040AB6">
        <w:rPr>
          <w:rFonts w:asciiTheme="minorHAnsi" w:hAnsiTheme="minorHAnsi"/>
        </w:rPr>
        <w:t>The purpose of these phases is not near-term savings, but</w:t>
      </w:r>
      <w:r w:rsidR="00DB408A" w:rsidRPr="00040AB6">
        <w:rPr>
          <w:rFonts w:asciiTheme="minorHAnsi" w:hAnsiTheme="minorHAnsi"/>
        </w:rPr>
        <w:t xml:space="preserve"> to develop</w:t>
      </w:r>
      <w:r w:rsidRPr="00040AB6">
        <w:rPr>
          <w:rFonts w:asciiTheme="minorHAnsi" w:hAnsiTheme="minorHAnsi"/>
        </w:rPr>
        <w:t xml:space="preserve"> additional efficiency measures and strategies available to programs—cost-effective, reliable, and having a viable delivery strategy and channel</w:t>
      </w:r>
      <w:r w:rsidR="005159E2" w:rsidRPr="00040AB6">
        <w:rPr>
          <w:rFonts w:asciiTheme="minorHAnsi" w:hAnsiTheme="minorHAnsi"/>
        </w:rPr>
        <w:t xml:space="preserve"> to acquire savings at scale.  </w:t>
      </w:r>
      <w:r w:rsidRPr="00040AB6">
        <w:rPr>
          <w:rFonts w:asciiTheme="minorHAnsi" w:hAnsiTheme="minorHAnsi"/>
        </w:rPr>
        <w:t>At each stage, the assessment of the potential for lon</w:t>
      </w:r>
      <w:r w:rsidR="005159E2" w:rsidRPr="00040AB6">
        <w:rPr>
          <w:rFonts w:asciiTheme="minorHAnsi" w:hAnsiTheme="minorHAnsi"/>
        </w:rPr>
        <w:t>g-term cost-effective savings is</w:t>
      </w:r>
      <w:r w:rsidRPr="00040AB6">
        <w:rPr>
          <w:rFonts w:asciiTheme="minorHAnsi" w:hAnsiTheme="minorHAnsi"/>
        </w:rPr>
        <w:t xml:space="preserve"> refined</w:t>
      </w:r>
      <w:r w:rsidRPr="00040AB6">
        <w:rPr>
          <w:rFonts w:asciiTheme="minorHAnsi" w:hAnsiTheme="minorHAnsi"/>
          <w:b/>
        </w:rPr>
        <w:t>.</w:t>
      </w:r>
      <w:r w:rsidR="005159E2" w:rsidRPr="00040AB6">
        <w:rPr>
          <w:rFonts w:asciiTheme="minorHAnsi" w:hAnsiTheme="minorHAnsi"/>
          <w:b/>
        </w:rPr>
        <w:t xml:space="preserve"> </w:t>
      </w:r>
      <w:r w:rsidR="005159E2" w:rsidRPr="00040AB6">
        <w:rPr>
          <w:rFonts w:asciiTheme="minorHAnsi" w:hAnsiTheme="minorHAnsi"/>
        </w:rPr>
        <w:t>NEEA does not typically forecast savings associated with these earlier phases. These first four phases are where most of the activity will be in the early years of the NEEA gas collaborative.  Significant savings begin at the market dev</w:t>
      </w:r>
      <w:r w:rsidR="00AC3991" w:rsidRPr="00040AB6">
        <w:rPr>
          <w:rFonts w:asciiTheme="minorHAnsi" w:hAnsiTheme="minorHAnsi"/>
        </w:rPr>
        <w:t xml:space="preserve">elopment stage, stage five.  </w:t>
      </w:r>
    </w:p>
    <w:p w14:paraId="4C29F73C" w14:textId="5C933BE2" w:rsidR="00023D3D" w:rsidRPr="00040AB6" w:rsidRDefault="00023D3D" w:rsidP="005159E2">
      <w:pPr>
        <w:rPr>
          <w:rFonts w:asciiTheme="minorHAnsi" w:hAnsiTheme="minorHAnsi"/>
        </w:rPr>
      </w:pPr>
      <w:r w:rsidRPr="00040AB6">
        <w:rPr>
          <w:rFonts w:asciiTheme="minorHAnsi" w:hAnsiTheme="minorHAnsi"/>
        </w:rPr>
        <w:t xml:space="preserve">The Company is not including the costs invested in gas market transformation </w:t>
      </w:r>
      <w:r w:rsidR="00D63C79" w:rsidRPr="00040AB6">
        <w:rPr>
          <w:rFonts w:asciiTheme="minorHAnsi" w:hAnsiTheme="minorHAnsi"/>
        </w:rPr>
        <w:t>in the analysis it performs when reporting on its 2015 and 2016 cost effective performance metrics.  For 2017, the Company will discuss with the EEAG whether or not keeping these costs out of its cost effectiveness analysi</w:t>
      </w:r>
      <w:r w:rsidR="00BD7A19" w:rsidRPr="00040AB6">
        <w:rPr>
          <w:rFonts w:asciiTheme="minorHAnsi" w:hAnsiTheme="minorHAnsi"/>
        </w:rPr>
        <w:t xml:space="preserve">s continues to be appropriate. </w:t>
      </w:r>
      <w:r w:rsidR="003B221B" w:rsidRPr="00040AB6">
        <w:rPr>
          <w:rFonts w:asciiTheme="minorHAnsi" w:hAnsiTheme="minorHAnsi"/>
        </w:rPr>
        <w:t>The Company acknowledges that this practice of excluding market transformation costs from its cost effectiveness analysis for at least a two-year period of time i</w:t>
      </w:r>
      <w:r w:rsidR="00BD7A19" w:rsidRPr="00040AB6">
        <w:rPr>
          <w:rFonts w:asciiTheme="minorHAnsi" w:hAnsiTheme="minorHAnsi"/>
        </w:rPr>
        <w:t xml:space="preserve">s in no way precedent setting, and </w:t>
      </w:r>
      <w:r w:rsidR="003B221B" w:rsidRPr="00040AB6">
        <w:rPr>
          <w:rFonts w:asciiTheme="minorHAnsi" w:hAnsiTheme="minorHAnsi"/>
        </w:rPr>
        <w:t xml:space="preserve">should the Company make any future requests for the unique treatment of costs, such requests will be evaluated by the EEAG on a case-by-case basis.  </w:t>
      </w:r>
      <w:r w:rsidRPr="00040AB6">
        <w:rPr>
          <w:rFonts w:asciiTheme="minorHAnsi" w:hAnsiTheme="minorHAnsi"/>
        </w:rPr>
        <w:t xml:space="preserve"> </w:t>
      </w:r>
    </w:p>
    <w:p w14:paraId="4AD417AA" w14:textId="7ACDADE5" w:rsidR="00544F87" w:rsidRPr="00040AB6" w:rsidRDefault="00D57E7F">
      <w:pPr>
        <w:spacing w:after="0" w:line="240" w:lineRule="auto"/>
        <w:rPr>
          <w:rFonts w:asciiTheme="minorHAnsi" w:hAnsiTheme="minorHAnsi" w:cs="Arial"/>
          <w:b/>
          <w:bCs/>
          <w:sz w:val="24"/>
          <w:szCs w:val="24"/>
        </w:rPr>
      </w:pPr>
      <w:r w:rsidRPr="00040AB6">
        <w:rPr>
          <w:rFonts w:asciiTheme="minorHAnsi" w:hAnsiTheme="minorHAnsi" w:cs="Arial"/>
          <w:b/>
          <w:bCs/>
          <w:sz w:val="32"/>
          <w:szCs w:val="32"/>
        </w:rPr>
        <w:t>X</w:t>
      </w:r>
      <w:r w:rsidRPr="00040AB6">
        <w:rPr>
          <w:rFonts w:asciiTheme="minorHAnsi" w:hAnsiTheme="minorHAnsi" w:cs="Arial"/>
          <w:bCs/>
          <w:sz w:val="32"/>
          <w:szCs w:val="32"/>
        </w:rPr>
        <w:t>.</w:t>
      </w:r>
      <w:r w:rsidRPr="00040AB6">
        <w:rPr>
          <w:rFonts w:asciiTheme="minorHAnsi" w:hAnsiTheme="minorHAnsi" w:cs="Arial"/>
          <w:bCs/>
          <w:sz w:val="24"/>
          <w:szCs w:val="24"/>
        </w:rPr>
        <w:t xml:space="preserve"> </w:t>
      </w:r>
      <w:r w:rsidR="00DB408A" w:rsidRPr="00040AB6">
        <w:rPr>
          <w:rFonts w:asciiTheme="minorHAnsi" w:hAnsiTheme="minorHAnsi" w:cs="Arial"/>
          <w:bCs/>
          <w:sz w:val="24"/>
          <w:szCs w:val="24"/>
        </w:rPr>
        <w:tab/>
      </w:r>
      <w:r w:rsidR="001C693F" w:rsidRPr="00040AB6">
        <w:rPr>
          <w:rFonts w:asciiTheme="minorHAnsi" w:hAnsiTheme="minorHAnsi" w:cs="Arial"/>
          <w:b/>
          <w:bCs/>
          <w:sz w:val="32"/>
          <w:szCs w:val="32"/>
        </w:rPr>
        <w:t>RESIDENTIAL LOAN ON THE BILL REPAYMENT SERVICES</w:t>
      </w:r>
    </w:p>
    <w:p w14:paraId="459CA6BB" w14:textId="77777777" w:rsidR="00E90D90" w:rsidRPr="00040AB6" w:rsidRDefault="00E90D90">
      <w:pPr>
        <w:spacing w:after="0" w:line="240" w:lineRule="auto"/>
        <w:rPr>
          <w:rFonts w:asciiTheme="minorHAnsi" w:hAnsiTheme="minorHAnsi" w:cs="Arial"/>
          <w:b/>
          <w:bCs/>
          <w:sz w:val="24"/>
          <w:szCs w:val="24"/>
          <w:u w:val="single"/>
        </w:rPr>
      </w:pPr>
    </w:p>
    <w:p w14:paraId="25B522D6" w14:textId="77777777" w:rsidR="00E90D90" w:rsidRPr="00040AB6" w:rsidRDefault="00C42309">
      <w:pPr>
        <w:spacing w:after="0" w:line="240" w:lineRule="auto"/>
        <w:rPr>
          <w:rFonts w:asciiTheme="minorHAnsi" w:hAnsiTheme="minorHAnsi" w:cs="Arial"/>
          <w:b/>
          <w:bCs/>
          <w:u w:val="single"/>
        </w:rPr>
      </w:pPr>
      <w:r w:rsidRPr="00040AB6">
        <w:rPr>
          <w:rFonts w:asciiTheme="minorHAnsi" w:hAnsiTheme="minorHAnsi" w:cs="Arial"/>
          <w:b/>
          <w:bCs/>
          <w:u w:val="single"/>
        </w:rPr>
        <w:t>Description</w:t>
      </w:r>
      <w:r w:rsidR="004E6EDA" w:rsidRPr="00040AB6">
        <w:rPr>
          <w:rFonts w:asciiTheme="minorHAnsi" w:hAnsiTheme="minorHAnsi" w:cs="Arial"/>
          <w:b/>
          <w:bCs/>
          <w:u w:val="single"/>
        </w:rPr>
        <w:t xml:space="preserve"> of On the Bill Repayment Services</w:t>
      </w:r>
    </w:p>
    <w:p w14:paraId="5472474C" w14:textId="1A83A494" w:rsidR="001C693F" w:rsidRPr="00040AB6" w:rsidRDefault="001C693F">
      <w:pPr>
        <w:spacing w:after="0" w:line="240" w:lineRule="auto"/>
        <w:rPr>
          <w:rFonts w:asciiTheme="minorHAnsi" w:hAnsiTheme="minorHAnsi"/>
        </w:rPr>
      </w:pPr>
      <w:r w:rsidRPr="00040AB6">
        <w:rPr>
          <w:rFonts w:asciiTheme="minorHAnsi" w:hAnsiTheme="minorHAnsi"/>
        </w:rPr>
        <w:t xml:space="preserve">NW Natural will assist in marketing a </w:t>
      </w:r>
      <w:r w:rsidR="00B01965" w:rsidRPr="00040AB6">
        <w:rPr>
          <w:rFonts w:asciiTheme="minorHAnsi" w:hAnsiTheme="minorHAnsi"/>
        </w:rPr>
        <w:t>low-interest, unsecured financing offer</w:t>
      </w:r>
      <w:r w:rsidRPr="00040AB6">
        <w:rPr>
          <w:rFonts w:asciiTheme="minorHAnsi" w:hAnsiTheme="minorHAnsi"/>
        </w:rPr>
        <w:t xml:space="preserve"> to residential homeowners who heat their homes with gas heat.  </w:t>
      </w:r>
      <w:r w:rsidR="00B01965" w:rsidRPr="00040AB6">
        <w:rPr>
          <w:rFonts w:asciiTheme="minorHAnsi" w:hAnsiTheme="minorHAnsi"/>
        </w:rPr>
        <w:t xml:space="preserve">The program lender </w:t>
      </w:r>
      <w:r w:rsidR="003F7CDA" w:rsidRPr="00040AB6">
        <w:rPr>
          <w:rFonts w:asciiTheme="minorHAnsi" w:hAnsiTheme="minorHAnsi"/>
        </w:rPr>
        <w:t xml:space="preserve">will </w:t>
      </w:r>
      <w:r w:rsidR="00B01965" w:rsidRPr="00040AB6">
        <w:rPr>
          <w:rFonts w:asciiTheme="minorHAnsi" w:hAnsiTheme="minorHAnsi"/>
        </w:rPr>
        <w:t>originate</w:t>
      </w:r>
      <w:r w:rsidR="003F7CDA" w:rsidRPr="00040AB6">
        <w:rPr>
          <w:rFonts w:asciiTheme="minorHAnsi" w:hAnsiTheme="minorHAnsi"/>
        </w:rPr>
        <w:t xml:space="preserve"> loans granted </w:t>
      </w:r>
      <w:r w:rsidRPr="00040AB6">
        <w:rPr>
          <w:rFonts w:asciiTheme="minorHAnsi" w:hAnsiTheme="minorHAnsi"/>
        </w:rPr>
        <w:t xml:space="preserve">for the purposes of installing </w:t>
      </w:r>
      <w:r w:rsidR="006F60EB">
        <w:rPr>
          <w:rFonts w:asciiTheme="minorHAnsi" w:hAnsiTheme="minorHAnsi"/>
        </w:rPr>
        <w:t xml:space="preserve">conservation and </w:t>
      </w:r>
      <w:r w:rsidRPr="00040AB6">
        <w:rPr>
          <w:rFonts w:asciiTheme="minorHAnsi" w:hAnsiTheme="minorHAnsi"/>
        </w:rPr>
        <w:t>energy efficiency measures incented by the existing homes program, and the Company</w:t>
      </w:r>
      <w:r w:rsidR="003F7CDA" w:rsidRPr="00040AB6">
        <w:rPr>
          <w:rFonts w:asciiTheme="minorHAnsi" w:hAnsiTheme="minorHAnsi"/>
        </w:rPr>
        <w:t xml:space="preserve"> will </w:t>
      </w:r>
      <w:r w:rsidRPr="00040AB6">
        <w:rPr>
          <w:rFonts w:asciiTheme="minorHAnsi" w:hAnsiTheme="minorHAnsi"/>
        </w:rPr>
        <w:t>provide billing and remittance services to</w:t>
      </w:r>
      <w:r w:rsidR="00B01965" w:rsidRPr="00040AB6">
        <w:rPr>
          <w:rFonts w:asciiTheme="minorHAnsi" w:hAnsiTheme="minorHAnsi"/>
        </w:rPr>
        <w:t xml:space="preserve"> the program lender </w:t>
      </w:r>
      <w:r w:rsidRPr="00040AB6">
        <w:rPr>
          <w:rFonts w:asciiTheme="minorHAnsi" w:hAnsiTheme="minorHAnsi"/>
        </w:rPr>
        <w:t xml:space="preserve">by placing the loan repayment fee on the customers’ monthly gas bill.  </w:t>
      </w:r>
      <w:r w:rsidR="003F7CDA" w:rsidRPr="00040AB6">
        <w:rPr>
          <w:rFonts w:asciiTheme="minorHAnsi" w:hAnsiTheme="minorHAnsi"/>
        </w:rPr>
        <w:t>Customers who obtain a loan with on the bill repayment services will receive a loan repayment charge</w:t>
      </w:r>
      <w:r w:rsidR="004E6EDA" w:rsidRPr="00040AB6">
        <w:rPr>
          <w:rFonts w:asciiTheme="minorHAnsi" w:hAnsiTheme="minorHAnsi"/>
        </w:rPr>
        <w:t xml:space="preserve"> separately itemized as “Energy Upgrade Loan” </w:t>
      </w:r>
      <w:r w:rsidR="003F7CDA" w:rsidRPr="00040AB6">
        <w:rPr>
          <w:rFonts w:asciiTheme="minorHAnsi" w:hAnsiTheme="minorHAnsi"/>
        </w:rPr>
        <w:t>on their monthly bill for natural gas service for the term of the loan or until the loan has been paid off, transferred</w:t>
      </w:r>
      <w:r w:rsidR="006F60EB">
        <w:rPr>
          <w:rFonts w:asciiTheme="minorHAnsi" w:hAnsiTheme="minorHAnsi"/>
        </w:rPr>
        <w:t>,</w:t>
      </w:r>
      <w:r w:rsidR="003F7CDA" w:rsidRPr="00040AB6">
        <w:rPr>
          <w:rFonts w:asciiTheme="minorHAnsi" w:hAnsiTheme="minorHAnsi"/>
        </w:rPr>
        <w:t xml:space="preserve"> or other</w:t>
      </w:r>
      <w:r w:rsidR="004E6EDA" w:rsidRPr="00040AB6">
        <w:rPr>
          <w:rFonts w:asciiTheme="minorHAnsi" w:hAnsiTheme="minorHAnsi"/>
        </w:rPr>
        <w:t xml:space="preserve">wise discharged or removed from the bill in accordance </w:t>
      </w:r>
      <w:r w:rsidR="006F60EB">
        <w:rPr>
          <w:rFonts w:asciiTheme="minorHAnsi" w:hAnsiTheme="minorHAnsi"/>
        </w:rPr>
        <w:t xml:space="preserve">with the </w:t>
      </w:r>
      <w:r w:rsidR="004E6EDA" w:rsidRPr="00040AB6">
        <w:rPr>
          <w:rFonts w:asciiTheme="minorHAnsi" w:hAnsiTheme="minorHAnsi"/>
        </w:rPr>
        <w:t xml:space="preserve">terms and conditions of the </w:t>
      </w:r>
      <w:r w:rsidR="00EB58D9" w:rsidRPr="00040AB6">
        <w:rPr>
          <w:rFonts w:asciiTheme="minorHAnsi" w:hAnsiTheme="minorHAnsi"/>
        </w:rPr>
        <w:t xml:space="preserve">Company’s service agreement with Energy Trust, who will </w:t>
      </w:r>
      <w:r w:rsidR="006C06C1" w:rsidRPr="00040AB6">
        <w:rPr>
          <w:rFonts w:asciiTheme="minorHAnsi" w:hAnsiTheme="minorHAnsi"/>
        </w:rPr>
        <w:t>manage the</w:t>
      </w:r>
      <w:r w:rsidR="00DE520A" w:rsidRPr="00040AB6">
        <w:rPr>
          <w:rFonts w:asciiTheme="minorHAnsi" w:hAnsiTheme="minorHAnsi"/>
        </w:rPr>
        <w:t xml:space="preserve"> coordination of activities between the</w:t>
      </w:r>
      <w:r w:rsidR="006C06C1" w:rsidRPr="00040AB6">
        <w:rPr>
          <w:rFonts w:asciiTheme="minorHAnsi" w:hAnsiTheme="minorHAnsi"/>
        </w:rPr>
        <w:t xml:space="preserve"> program lender</w:t>
      </w:r>
      <w:r w:rsidR="00DE520A" w:rsidRPr="00040AB6">
        <w:rPr>
          <w:rFonts w:asciiTheme="minorHAnsi" w:hAnsiTheme="minorHAnsi"/>
        </w:rPr>
        <w:t xml:space="preserve">, the program management contractor, and the </w:t>
      </w:r>
      <w:r w:rsidR="006F60EB">
        <w:rPr>
          <w:rFonts w:asciiTheme="minorHAnsi" w:hAnsiTheme="minorHAnsi"/>
        </w:rPr>
        <w:t>C</w:t>
      </w:r>
      <w:r w:rsidR="00DE520A" w:rsidRPr="00040AB6">
        <w:rPr>
          <w:rFonts w:asciiTheme="minorHAnsi" w:hAnsiTheme="minorHAnsi"/>
        </w:rPr>
        <w:t xml:space="preserve">ompany. </w:t>
      </w:r>
      <w:r w:rsidR="006C06C1" w:rsidRPr="00040AB6">
        <w:rPr>
          <w:rFonts w:asciiTheme="minorHAnsi" w:hAnsiTheme="minorHAnsi"/>
        </w:rPr>
        <w:t xml:space="preserve">  </w:t>
      </w:r>
    </w:p>
    <w:p w14:paraId="614D78FA" w14:textId="77777777" w:rsidR="00EB58D9" w:rsidRPr="00040AB6" w:rsidRDefault="00EB58D9">
      <w:pPr>
        <w:spacing w:after="0" w:line="240" w:lineRule="auto"/>
        <w:rPr>
          <w:rFonts w:asciiTheme="minorHAnsi" w:hAnsiTheme="minorHAnsi"/>
        </w:rPr>
      </w:pPr>
    </w:p>
    <w:p w14:paraId="3F2612DD" w14:textId="12C99D5D" w:rsidR="001C693F" w:rsidRPr="00040AB6" w:rsidRDefault="00DE520A">
      <w:pPr>
        <w:spacing w:after="0" w:line="240" w:lineRule="auto"/>
        <w:rPr>
          <w:rFonts w:asciiTheme="minorHAnsi" w:hAnsiTheme="minorHAnsi"/>
          <w:b/>
          <w:u w:val="single"/>
        </w:rPr>
      </w:pPr>
      <w:r w:rsidRPr="00040AB6">
        <w:rPr>
          <w:rFonts w:asciiTheme="minorHAnsi" w:hAnsiTheme="minorHAnsi"/>
          <w:b/>
          <w:u w:val="single"/>
        </w:rPr>
        <w:t xml:space="preserve">Program </w:t>
      </w:r>
      <w:r w:rsidR="004E6EDA" w:rsidRPr="00040AB6">
        <w:rPr>
          <w:rFonts w:asciiTheme="minorHAnsi" w:hAnsiTheme="minorHAnsi"/>
          <w:b/>
          <w:u w:val="single"/>
        </w:rPr>
        <w:t>Lender</w:t>
      </w:r>
    </w:p>
    <w:p w14:paraId="32AE8379" w14:textId="03990000" w:rsidR="001C693F" w:rsidRPr="00040AB6" w:rsidRDefault="001C693F">
      <w:pPr>
        <w:spacing w:after="0" w:line="240" w:lineRule="auto"/>
        <w:rPr>
          <w:rFonts w:asciiTheme="minorHAnsi" w:hAnsiTheme="minorHAnsi"/>
        </w:rPr>
      </w:pPr>
      <w:r w:rsidRPr="00040AB6">
        <w:rPr>
          <w:rFonts w:asciiTheme="minorHAnsi" w:hAnsiTheme="minorHAnsi"/>
        </w:rPr>
        <w:t xml:space="preserve">Craft3, a non-profit community development financial institution (CDFI) lender, </w:t>
      </w:r>
      <w:r w:rsidR="00DE520A" w:rsidRPr="00040AB6">
        <w:rPr>
          <w:rFonts w:asciiTheme="minorHAnsi" w:hAnsiTheme="minorHAnsi"/>
        </w:rPr>
        <w:t xml:space="preserve">will act as the program lender, under the terms and conditions of a service agreement with Energy Trust. Craft 3 </w:t>
      </w:r>
      <w:r w:rsidRPr="00040AB6">
        <w:rPr>
          <w:rFonts w:asciiTheme="minorHAnsi" w:hAnsiTheme="minorHAnsi"/>
        </w:rPr>
        <w:t>received a grant from the State Of Washington’s Clean Energy Revolving Loan Fund</w:t>
      </w:r>
      <w:r w:rsidR="00DC379A" w:rsidRPr="00040AB6">
        <w:rPr>
          <w:rStyle w:val="FootnoteReference"/>
          <w:rFonts w:asciiTheme="minorHAnsi" w:hAnsiTheme="minorHAnsi"/>
        </w:rPr>
        <w:footnoteReference w:id="3"/>
      </w:r>
      <w:r w:rsidRPr="00040AB6">
        <w:rPr>
          <w:rFonts w:asciiTheme="minorHAnsi" w:hAnsiTheme="minorHAnsi"/>
        </w:rPr>
        <w:t xml:space="preserve"> for the purpose of providing financing to </w:t>
      </w:r>
      <w:r w:rsidR="00A415B4" w:rsidRPr="00040AB6">
        <w:rPr>
          <w:rFonts w:asciiTheme="minorHAnsi" w:hAnsiTheme="minorHAnsi"/>
        </w:rPr>
        <w:t xml:space="preserve">Washington residents for the purpose of installing energy efficiency measures. </w:t>
      </w:r>
      <w:r w:rsidR="00DE520A" w:rsidRPr="00040AB6">
        <w:rPr>
          <w:rFonts w:asciiTheme="minorHAnsi" w:hAnsiTheme="minorHAnsi"/>
        </w:rPr>
        <w:t>The intent of this offering is to facilitate the acquisition of cost</w:t>
      </w:r>
      <w:r w:rsidR="00BA3C0F" w:rsidRPr="00040AB6">
        <w:rPr>
          <w:rFonts w:asciiTheme="minorHAnsi" w:hAnsiTheme="minorHAnsi"/>
        </w:rPr>
        <w:t>-</w:t>
      </w:r>
      <w:r w:rsidR="00DE520A" w:rsidRPr="00040AB6">
        <w:rPr>
          <w:rFonts w:asciiTheme="minorHAnsi" w:hAnsiTheme="minorHAnsi"/>
        </w:rPr>
        <w:t xml:space="preserve">effective natural gas savings while extending the benefit of the State Of Washington’s Clean Energy Revolving Loan Fund to natural gas ratepayers in Southwest Washington. </w:t>
      </w:r>
    </w:p>
    <w:p w14:paraId="6BF694F7" w14:textId="77777777" w:rsidR="001C693F" w:rsidRPr="00040AB6" w:rsidRDefault="001C693F">
      <w:pPr>
        <w:spacing w:after="0" w:line="240" w:lineRule="auto"/>
        <w:rPr>
          <w:rFonts w:asciiTheme="minorHAnsi" w:hAnsiTheme="minorHAnsi"/>
        </w:rPr>
      </w:pPr>
    </w:p>
    <w:p w14:paraId="4B3A486C" w14:textId="77777777" w:rsidR="008C5FE3" w:rsidRPr="00040AB6" w:rsidRDefault="003F7CDA">
      <w:pPr>
        <w:spacing w:after="0" w:line="240" w:lineRule="auto"/>
        <w:rPr>
          <w:rFonts w:asciiTheme="minorHAnsi" w:hAnsiTheme="minorHAnsi" w:cs="Arial"/>
          <w:b/>
          <w:bCs/>
          <w:u w:val="single"/>
        </w:rPr>
      </w:pPr>
      <w:r w:rsidRPr="00040AB6">
        <w:rPr>
          <w:rFonts w:asciiTheme="minorHAnsi" w:hAnsiTheme="minorHAnsi" w:cs="Arial"/>
          <w:b/>
          <w:bCs/>
          <w:u w:val="single"/>
        </w:rPr>
        <w:t>L</w:t>
      </w:r>
      <w:r w:rsidR="004E6EDA" w:rsidRPr="00040AB6">
        <w:rPr>
          <w:rFonts w:asciiTheme="minorHAnsi" w:hAnsiTheme="minorHAnsi" w:cs="Arial"/>
          <w:b/>
          <w:bCs/>
          <w:u w:val="single"/>
        </w:rPr>
        <w:t>oan</w:t>
      </w:r>
    </w:p>
    <w:p w14:paraId="02796F6A" w14:textId="15F92430" w:rsidR="00BD7243" w:rsidRPr="00040AB6" w:rsidRDefault="004E6EDA">
      <w:pPr>
        <w:spacing w:after="0" w:line="240" w:lineRule="auto"/>
        <w:rPr>
          <w:rFonts w:asciiTheme="minorHAnsi" w:hAnsiTheme="minorHAnsi"/>
        </w:rPr>
      </w:pPr>
      <w:r w:rsidRPr="00040AB6">
        <w:rPr>
          <w:rFonts w:asciiTheme="minorHAnsi" w:hAnsiTheme="minorHAnsi"/>
        </w:rPr>
        <w:t>The l</w:t>
      </w:r>
      <w:r w:rsidR="001C693F" w:rsidRPr="00040AB6">
        <w:rPr>
          <w:rFonts w:asciiTheme="minorHAnsi" w:hAnsiTheme="minorHAnsi"/>
        </w:rPr>
        <w:t xml:space="preserve">oan offerings through Craft3 </w:t>
      </w:r>
      <w:r w:rsidRPr="00040AB6">
        <w:rPr>
          <w:rFonts w:asciiTheme="minorHAnsi" w:hAnsiTheme="minorHAnsi"/>
        </w:rPr>
        <w:t xml:space="preserve">that will qualify for on-the-bill repayment services must </w:t>
      </w:r>
      <w:r w:rsidR="003F7CDA" w:rsidRPr="00040AB6">
        <w:rPr>
          <w:rFonts w:asciiTheme="minorHAnsi" w:hAnsiTheme="minorHAnsi"/>
        </w:rPr>
        <w:t xml:space="preserve">fit the following parameters: </w:t>
      </w:r>
    </w:p>
    <w:p w14:paraId="07B3EAB6" w14:textId="77777777" w:rsidR="004E6EDA" w:rsidRPr="00040AB6" w:rsidRDefault="004E6EDA" w:rsidP="001C693F">
      <w:pPr>
        <w:pStyle w:val="ListParagraph"/>
        <w:numPr>
          <w:ilvl w:val="0"/>
          <w:numId w:val="18"/>
        </w:numPr>
        <w:rPr>
          <w:rFonts w:asciiTheme="minorHAnsi" w:hAnsiTheme="minorHAnsi"/>
        </w:rPr>
      </w:pPr>
      <w:r w:rsidRPr="00040AB6">
        <w:rPr>
          <w:rFonts w:asciiTheme="minorHAnsi" w:hAnsiTheme="minorHAnsi"/>
        </w:rPr>
        <w:t xml:space="preserve">Loans must be granted to residential homeowners who use natural gas as their primary heating fuel. </w:t>
      </w:r>
    </w:p>
    <w:p w14:paraId="1C3FFA40" w14:textId="66E45FAB" w:rsidR="004E6EDA" w:rsidRDefault="004E6EDA" w:rsidP="001C693F">
      <w:pPr>
        <w:pStyle w:val="ListParagraph"/>
        <w:numPr>
          <w:ilvl w:val="0"/>
          <w:numId w:val="18"/>
        </w:numPr>
        <w:rPr>
          <w:rFonts w:asciiTheme="minorHAnsi" w:hAnsiTheme="minorHAnsi"/>
        </w:rPr>
      </w:pPr>
      <w:r w:rsidRPr="00040AB6">
        <w:rPr>
          <w:rFonts w:asciiTheme="minorHAnsi" w:hAnsiTheme="minorHAnsi"/>
        </w:rPr>
        <w:t xml:space="preserve">Loan amounts must be used to install </w:t>
      </w:r>
      <w:r w:rsidR="006F60EB">
        <w:rPr>
          <w:rFonts w:asciiTheme="minorHAnsi" w:hAnsiTheme="minorHAnsi"/>
        </w:rPr>
        <w:t xml:space="preserve">conservation and </w:t>
      </w:r>
      <w:r w:rsidRPr="00040AB6">
        <w:rPr>
          <w:rFonts w:asciiTheme="minorHAnsi" w:hAnsiTheme="minorHAnsi"/>
        </w:rPr>
        <w:t>energy efficient measures incented under NW Natural’s existing homes program.</w:t>
      </w:r>
    </w:p>
    <w:p w14:paraId="0890784A" w14:textId="25E629B1" w:rsidR="000C2008" w:rsidRDefault="000C2008" w:rsidP="001C693F">
      <w:pPr>
        <w:pStyle w:val="ListParagraph"/>
        <w:numPr>
          <w:ilvl w:val="0"/>
          <w:numId w:val="18"/>
        </w:numPr>
        <w:rPr>
          <w:rFonts w:asciiTheme="minorHAnsi" w:hAnsiTheme="minorHAnsi"/>
        </w:rPr>
      </w:pPr>
      <w:r>
        <w:rPr>
          <w:rFonts w:asciiTheme="minorHAnsi" w:hAnsiTheme="minorHAnsi"/>
        </w:rPr>
        <w:t>Loan Amount:</w:t>
      </w:r>
    </w:p>
    <w:p w14:paraId="00BEBC1A" w14:textId="09DA3C60" w:rsidR="000C2008" w:rsidRPr="00040AB6" w:rsidRDefault="000C2008" w:rsidP="000C2008">
      <w:pPr>
        <w:pStyle w:val="ListParagraph"/>
        <w:numPr>
          <w:ilvl w:val="1"/>
          <w:numId w:val="18"/>
        </w:numPr>
        <w:rPr>
          <w:rFonts w:asciiTheme="minorHAnsi" w:hAnsiTheme="minorHAnsi"/>
        </w:rPr>
      </w:pPr>
      <w:r>
        <w:rPr>
          <w:rFonts w:asciiTheme="minorHAnsi" w:hAnsiTheme="minorHAnsi"/>
        </w:rPr>
        <w:t>Loan amounts must be no less than $2500 and no more than $15,000.</w:t>
      </w:r>
    </w:p>
    <w:p w14:paraId="5D702136" w14:textId="77777777" w:rsidR="001C693F" w:rsidRPr="00040AB6" w:rsidRDefault="004E6EDA" w:rsidP="001C693F">
      <w:pPr>
        <w:pStyle w:val="ListParagraph"/>
        <w:numPr>
          <w:ilvl w:val="0"/>
          <w:numId w:val="18"/>
        </w:numPr>
        <w:rPr>
          <w:rFonts w:asciiTheme="minorHAnsi" w:hAnsiTheme="minorHAnsi"/>
        </w:rPr>
      </w:pPr>
      <w:r w:rsidRPr="00040AB6">
        <w:rPr>
          <w:rFonts w:asciiTheme="minorHAnsi" w:hAnsiTheme="minorHAnsi"/>
        </w:rPr>
        <w:t>Term of loan:</w:t>
      </w:r>
    </w:p>
    <w:p w14:paraId="31B6F982" w14:textId="77777777" w:rsidR="001C693F" w:rsidRPr="00040AB6" w:rsidRDefault="001C693F" w:rsidP="001C693F">
      <w:pPr>
        <w:pStyle w:val="ListParagraph"/>
        <w:numPr>
          <w:ilvl w:val="1"/>
          <w:numId w:val="18"/>
        </w:numPr>
        <w:rPr>
          <w:rFonts w:asciiTheme="minorHAnsi" w:hAnsiTheme="minorHAnsi"/>
        </w:rPr>
      </w:pPr>
      <w:r w:rsidRPr="00040AB6">
        <w:rPr>
          <w:rFonts w:asciiTheme="minorHAnsi" w:hAnsiTheme="minorHAnsi"/>
        </w:rPr>
        <w:t xml:space="preserve">Loans up to $7500 to have a max term of 7 years, </w:t>
      </w:r>
    </w:p>
    <w:p w14:paraId="538ECD23" w14:textId="77777777" w:rsidR="001C693F" w:rsidRPr="00040AB6" w:rsidRDefault="001C693F" w:rsidP="001C693F">
      <w:pPr>
        <w:pStyle w:val="ListParagraph"/>
        <w:numPr>
          <w:ilvl w:val="1"/>
          <w:numId w:val="18"/>
        </w:numPr>
        <w:rPr>
          <w:rFonts w:asciiTheme="minorHAnsi" w:hAnsiTheme="minorHAnsi"/>
        </w:rPr>
      </w:pPr>
      <w:r w:rsidRPr="00040AB6">
        <w:rPr>
          <w:rFonts w:asciiTheme="minorHAnsi" w:hAnsiTheme="minorHAnsi"/>
        </w:rPr>
        <w:t xml:space="preserve">Loans between $7500-$15,000 up to 15 years. </w:t>
      </w:r>
    </w:p>
    <w:p w14:paraId="28609A8C" w14:textId="5511BFE8" w:rsidR="001C693F" w:rsidRPr="00040AB6" w:rsidRDefault="001817A0" w:rsidP="001C693F">
      <w:pPr>
        <w:pStyle w:val="ListParagraph"/>
        <w:numPr>
          <w:ilvl w:val="0"/>
          <w:numId w:val="18"/>
        </w:numPr>
        <w:rPr>
          <w:rFonts w:asciiTheme="minorHAnsi" w:hAnsiTheme="minorHAnsi"/>
        </w:rPr>
      </w:pPr>
      <w:r w:rsidRPr="00040AB6">
        <w:rPr>
          <w:rFonts w:asciiTheme="minorHAnsi" w:hAnsiTheme="minorHAnsi"/>
        </w:rPr>
        <w:t xml:space="preserve">The program will launch with a fixed interest rate at 4.49%. Contingent on market conditions, Craft3 may at a later date revise the </w:t>
      </w:r>
      <w:r w:rsidR="006F60EB">
        <w:rPr>
          <w:rFonts w:asciiTheme="minorHAnsi" w:hAnsiTheme="minorHAnsi"/>
        </w:rPr>
        <w:t xml:space="preserve">interest rate </w:t>
      </w:r>
      <w:r w:rsidRPr="00040AB6">
        <w:rPr>
          <w:rFonts w:asciiTheme="minorHAnsi" w:hAnsiTheme="minorHAnsi"/>
        </w:rPr>
        <w:t>offer for future customers, not to exceed 5.49%. Under all circumstances rates will be fixed, and consistent for any qualifying customer.</w:t>
      </w:r>
    </w:p>
    <w:p w14:paraId="3F0D98FF" w14:textId="5626B080" w:rsidR="008C5FE3" w:rsidRPr="00040AB6" w:rsidRDefault="008C5FE3" w:rsidP="001C693F">
      <w:pPr>
        <w:pStyle w:val="ListParagraph"/>
        <w:numPr>
          <w:ilvl w:val="0"/>
          <w:numId w:val="18"/>
        </w:numPr>
        <w:rPr>
          <w:rFonts w:asciiTheme="minorHAnsi" w:hAnsiTheme="minorHAnsi"/>
        </w:rPr>
      </w:pPr>
      <w:r w:rsidRPr="00040AB6">
        <w:rPr>
          <w:rFonts w:asciiTheme="minorHAnsi" w:hAnsiTheme="minorHAnsi"/>
        </w:rPr>
        <w:t xml:space="preserve">Loans will be unsecured. </w:t>
      </w:r>
    </w:p>
    <w:p w14:paraId="4DC00810" w14:textId="77777777" w:rsidR="003E169E" w:rsidRPr="00040AB6" w:rsidRDefault="008C5FE3" w:rsidP="003E169E">
      <w:pPr>
        <w:pStyle w:val="ListParagraph"/>
        <w:numPr>
          <w:ilvl w:val="0"/>
          <w:numId w:val="18"/>
        </w:numPr>
        <w:rPr>
          <w:rFonts w:asciiTheme="minorHAnsi" w:hAnsiTheme="minorHAnsi"/>
        </w:rPr>
      </w:pPr>
      <w:r w:rsidRPr="00040AB6">
        <w:rPr>
          <w:rFonts w:asciiTheme="minorHAnsi" w:hAnsiTheme="minorHAnsi"/>
        </w:rPr>
        <w:t xml:space="preserve">No penalty for early repayment. </w:t>
      </w:r>
    </w:p>
    <w:p w14:paraId="30FAB9D6" w14:textId="7533B09E" w:rsidR="003E169E" w:rsidRPr="00040AB6" w:rsidRDefault="003E169E" w:rsidP="003E169E">
      <w:pPr>
        <w:pStyle w:val="ListParagraph"/>
        <w:numPr>
          <w:ilvl w:val="0"/>
          <w:numId w:val="18"/>
        </w:numPr>
        <w:rPr>
          <w:rFonts w:asciiTheme="minorHAnsi" w:hAnsiTheme="minorHAnsi"/>
        </w:rPr>
      </w:pPr>
      <w:r w:rsidRPr="00040AB6">
        <w:rPr>
          <w:rFonts w:asciiTheme="minorHAnsi" w:hAnsiTheme="minorHAnsi"/>
        </w:rPr>
        <w:t xml:space="preserve">Craft3 may assess a financing fee of $100 for loans between $2500-$7500, $200 </w:t>
      </w:r>
      <w:r w:rsidR="001817A0" w:rsidRPr="00040AB6">
        <w:rPr>
          <w:rFonts w:asciiTheme="minorHAnsi" w:hAnsiTheme="minorHAnsi"/>
        </w:rPr>
        <w:t xml:space="preserve">for loans </w:t>
      </w:r>
      <w:r w:rsidRPr="00040AB6">
        <w:rPr>
          <w:rFonts w:asciiTheme="minorHAnsi" w:hAnsiTheme="minorHAnsi"/>
        </w:rPr>
        <w:t>between $7500-$15,000</w:t>
      </w:r>
    </w:p>
    <w:p w14:paraId="55B3F218" w14:textId="77777777" w:rsidR="004923AD" w:rsidRDefault="003E169E" w:rsidP="004923AD">
      <w:pPr>
        <w:pStyle w:val="ListParagraph"/>
        <w:numPr>
          <w:ilvl w:val="1"/>
          <w:numId w:val="18"/>
        </w:numPr>
        <w:ind w:left="1440"/>
        <w:rPr>
          <w:rFonts w:asciiTheme="minorHAnsi" w:hAnsiTheme="minorHAnsi"/>
        </w:rPr>
      </w:pPr>
      <w:r w:rsidRPr="00040AB6">
        <w:rPr>
          <w:rFonts w:asciiTheme="minorHAnsi" w:hAnsiTheme="minorHAnsi"/>
        </w:rPr>
        <w:t>Fees may be financed as an addition to the loan balance</w:t>
      </w:r>
    </w:p>
    <w:p w14:paraId="1A71A02D" w14:textId="735B55BD" w:rsidR="00980CDA" w:rsidRPr="004923AD" w:rsidRDefault="006F60EB" w:rsidP="004923AD">
      <w:pPr>
        <w:pStyle w:val="ListParagraph"/>
        <w:numPr>
          <w:ilvl w:val="0"/>
          <w:numId w:val="18"/>
        </w:numPr>
        <w:rPr>
          <w:rFonts w:asciiTheme="minorHAnsi" w:hAnsiTheme="minorHAnsi"/>
        </w:rPr>
      </w:pPr>
      <w:r w:rsidRPr="004923AD">
        <w:rPr>
          <w:rFonts w:asciiTheme="minorHAnsi" w:hAnsiTheme="minorHAnsi"/>
        </w:rPr>
        <w:t xml:space="preserve">The loan may include </w:t>
      </w:r>
      <w:r w:rsidR="000C2008" w:rsidRPr="004923AD">
        <w:rPr>
          <w:rFonts w:asciiTheme="minorHAnsi" w:hAnsiTheme="minorHAnsi"/>
        </w:rPr>
        <w:t xml:space="preserve">only those </w:t>
      </w:r>
      <w:r w:rsidRPr="004923AD">
        <w:rPr>
          <w:rFonts w:asciiTheme="minorHAnsi" w:hAnsiTheme="minorHAnsi"/>
        </w:rPr>
        <w:t xml:space="preserve">costs </w:t>
      </w:r>
      <w:r w:rsidR="007750EC" w:rsidRPr="004923AD">
        <w:rPr>
          <w:rFonts w:asciiTheme="minorHAnsi" w:hAnsiTheme="minorHAnsi"/>
        </w:rPr>
        <w:t xml:space="preserve">that are </w:t>
      </w:r>
      <w:r w:rsidR="006D05BF" w:rsidRPr="004923AD">
        <w:rPr>
          <w:rFonts w:asciiTheme="minorHAnsi" w:hAnsiTheme="minorHAnsi"/>
        </w:rPr>
        <w:t xml:space="preserve">directly attributable </w:t>
      </w:r>
      <w:r w:rsidR="007750EC" w:rsidRPr="004923AD">
        <w:rPr>
          <w:rFonts w:asciiTheme="minorHAnsi" w:hAnsiTheme="minorHAnsi"/>
        </w:rPr>
        <w:t xml:space="preserve">to the </w:t>
      </w:r>
      <w:r w:rsidR="006D05BF" w:rsidRPr="004923AD">
        <w:rPr>
          <w:rFonts w:asciiTheme="minorHAnsi" w:hAnsiTheme="minorHAnsi"/>
        </w:rPr>
        <w:t xml:space="preserve">commissioning and </w:t>
      </w:r>
      <w:r w:rsidR="004C098D" w:rsidRPr="004923AD">
        <w:rPr>
          <w:rFonts w:asciiTheme="minorHAnsi" w:hAnsiTheme="minorHAnsi"/>
        </w:rPr>
        <w:t>installation</w:t>
      </w:r>
      <w:r w:rsidRPr="004923AD">
        <w:rPr>
          <w:rFonts w:asciiTheme="minorHAnsi" w:hAnsiTheme="minorHAnsi"/>
        </w:rPr>
        <w:t xml:space="preserve"> of the qualifying measure</w:t>
      </w:r>
      <w:r w:rsidR="00E02FB6" w:rsidRPr="004923AD">
        <w:rPr>
          <w:rFonts w:asciiTheme="minorHAnsi" w:hAnsiTheme="minorHAnsi"/>
        </w:rPr>
        <w:t xml:space="preserve">, costs </w:t>
      </w:r>
      <w:r w:rsidR="006D05BF" w:rsidRPr="004923AD">
        <w:rPr>
          <w:rFonts w:asciiTheme="minorHAnsi" w:hAnsiTheme="minorHAnsi"/>
        </w:rPr>
        <w:t>incurred</w:t>
      </w:r>
      <w:r w:rsidR="00E02FB6" w:rsidRPr="004923AD">
        <w:rPr>
          <w:rFonts w:asciiTheme="minorHAnsi" w:hAnsiTheme="minorHAnsi"/>
        </w:rPr>
        <w:t xml:space="preserve"> to comply </w:t>
      </w:r>
      <w:r w:rsidR="007750EC" w:rsidRPr="004923AD">
        <w:rPr>
          <w:rFonts w:asciiTheme="minorHAnsi" w:hAnsiTheme="minorHAnsi"/>
        </w:rPr>
        <w:t xml:space="preserve">with applicable </w:t>
      </w:r>
      <w:r w:rsidR="00E02FB6" w:rsidRPr="004923AD">
        <w:rPr>
          <w:rFonts w:asciiTheme="minorHAnsi" w:hAnsiTheme="minorHAnsi"/>
        </w:rPr>
        <w:t xml:space="preserve">building </w:t>
      </w:r>
      <w:r w:rsidR="001A5661" w:rsidRPr="004923AD">
        <w:rPr>
          <w:rFonts w:asciiTheme="minorHAnsi" w:hAnsiTheme="minorHAnsi"/>
        </w:rPr>
        <w:t xml:space="preserve">code, </w:t>
      </w:r>
      <w:r w:rsidR="00E02FB6" w:rsidRPr="004923AD">
        <w:rPr>
          <w:rFonts w:asciiTheme="minorHAnsi" w:hAnsiTheme="minorHAnsi"/>
        </w:rPr>
        <w:t xml:space="preserve">mechanical </w:t>
      </w:r>
      <w:r w:rsidR="001A5661" w:rsidRPr="004923AD">
        <w:rPr>
          <w:rFonts w:asciiTheme="minorHAnsi" w:hAnsiTheme="minorHAnsi"/>
        </w:rPr>
        <w:t xml:space="preserve">code, </w:t>
      </w:r>
      <w:r w:rsidR="006D05BF" w:rsidRPr="004923AD">
        <w:rPr>
          <w:rFonts w:asciiTheme="minorHAnsi" w:hAnsiTheme="minorHAnsi"/>
        </w:rPr>
        <w:t xml:space="preserve">or </w:t>
      </w:r>
      <w:r w:rsidR="00E02FB6" w:rsidRPr="004923AD">
        <w:rPr>
          <w:rFonts w:asciiTheme="minorHAnsi" w:hAnsiTheme="minorHAnsi"/>
        </w:rPr>
        <w:t xml:space="preserve">other </w:t>
      </w:r>
      <w:r w:rsidR="001A5882" w:rsidRPr="004923AD">
        <w:rPr>
          <w:rFonts w:asciiTheme="minorHAnsi" w:hAnsiTheme="minorHAnsi"/>
        </w:rPr>
        <w:t xml:space="preserve">pertinent </w:t>
      </w:r>
      <w:r w:rsidR="007750EC" w:rsidRPr="004923AD">
        <w:rPr>
          <w:rFonts w:asciiTheme="minorHAnsi" w:hAnsiTheme="minorHAnsi"/>
        </w:rPr>
        <w:t>regulations</w:t>
      </w:r>
      <w:r w:rsidR="006D05BF" w:rsidRPr="004923AD">
        <w:rPr>
          <w:rFonts w:asciiTheme="minorHAnsi" w:hAnsiTheme="minorHAnsi"/>
        </w:rPr>
        <w:t xml:space="preserve">, or costs incurred to meet </w:t>
      </w:r>
      <w:r w:rsidR="001A5882" w:rsidRPr="004923AD">
        <w:rPr>
          <w:rFonts w:asciiTheme="minorHAnsi" w:hAnsiTheme="minorHAnsi"/>
        </w:rPr>
        <w:t>any technical specifications established by the Energy Trust</w:t>
      </w:r>
      <w:r w:rsidRPr="004923AD">
        <w:rPr>
          <w:rFonts w:asciiTheme="minorHAnsi" w:hAnsiTheme="minorHAnsi"/>
        </w:rPr>
        <w:t xml:space="preserve">.  </w:t>
      </w:r>
    </w:p>
    <w:p w14:paraId="5C056A0E" w14:textId="77777777" w:rsidR="00980CDA" w:rsidRDefault="00980CDA" w:rsidP="00F93D2E">
      <w:pPr>
        <w:tabs>
          <w:tab w:val="left" w:pos="360"/>
        </w:tabs>
        <w:spacing w:after="0" w:line="240" w:lineRule="auto"/>
        <w:ind w:left="360" w:hanging="360"/>
        <w:rPr>
          <w:rFonts w:asciiTheme="minorHAnsi" w:hAnsiTheme="minorHAnsi"/>
        </w:rPr>
      </w:pPr>
    </w:p>
    <w:p w14:paraId="65104E3E" w14:textId="141A9CFE" w:rsidR="001C693F" w:rsidRPr="00F93D2E" w:rsidRDefault="004420DD" w:rsidP="00F93D2E">
      <w:pPr>
        <w:tabs>
          <w:tab w:val="left" w:pos="360"/>
        </w:tabs>
        <w:spacing w:after="0" w:line="240" w:lineRule="auto"/>
        <w:ind w:left="360" w:hanging="360"/>
        <w:rPr>
          <w:rFonts w:asciiTheme="minorHAnsi" w:hAnsiTheme="minorHAnsi" w:cs="Arial"/>
          <w:b/>
          <w:bCs/>
          <w:u w:val="single"/>
        </w:rPr>
      </w:pPr>
      <w:r w:rsidRPr="00F93D2E">
        <w:rPr>
          <w:rFonts w:asciiTheme="minorHAnsi" w:hAnsiTheme="minorHAnsi" w:cs="Arial"/>
          <w:b/>
          <w:bCs/>
          <w:u w:val="single"/>
        </w:rPr>
        <w:t>Terms and Conditions</w:t>
      </w:r>
    </w:p>
    <w:p w14:paraId="3D969BB5" w14:textId="67263152" w:rsidR="00903FCA" w:rsidRPr="00040AB6" w:rsidRDefault="00903FCA" w:rsidP="00DB408A">
      <w:pPr>
        <w:tabs>
          <w:tab w:val="left" w:pos="360"/>
        </w:tabs>
        <w:spacing w:after="0" w:line="240" w:lineRule="auto"/>
        <w:ind w:left="360" w:hanging="360"/>
        <w:rPr>
          <w:rFonts w:asciiTheme="minorHAnsi" w:hAnsiTheme="minorHAnsi"/>
        </w:rPr>
      </w:pPr>
      <w:r w:rsidRPr="00040AB6">
        <w:rPr>
          <w:rFonts w:asciiTheme="minorHAnsi" w:hAnsiTheme="minorHAnsi"/>
        </w:rPr>
        <w:t xml:space="preserve">1.  </w:t>
      </w:r>
      <w:r w:rsidR="002C6CE4" w:rsidRPr="00040AB6">
        <w:rPr>
          <w:rFonts w:asciiTheme="minorHAnsi" w:hAnsiTheme="minorHAnsi"/>
        </w:rPr>
        <w:tab/>
      </w:r>
      <w:r w:rsidRPr="00040AB6">
        <w:rPr>
          <w:rFonts w:asciiTheme="minorHAnsi" w:hAnsiTheme="minorHAnsi"/>
        </w:rPr>
        <w:t xml:space="preserve">The Company will directly bill Energy Trust </w:t>
      </w:r>
      <w:r w:rsidR="00D03C02" w:rsidRPr="00040AB6">
        <w:rPr>
          <w:rFonts w:asciiTheme="minorHAnsi" w:hAnsiTheme="minorHAnsi"/>
        </w:rPr>
        <w:t xml:space="preserve">or Craft3 </w:t>
      </w:r>
      <w:r w:rsidRPr="00040AB6">
        <w:rPr>
          <w:rFonts w:asciiTheme="minorHAnsi" w:hAnsiTheme="minorHAnsi"/>
        </w:rPr>
        <w:t xml:space="preserve">for ongoing administrative costs, including costs associated with loan setup, loan termination and other incremental activities related to accounting and processing of bill payments.  </w:t>
      </w:r>
    </w:p>
    <w:p w14:paraId="4D6EE781" w14:textId="77777777" w:rsidR="00106C2C" w:rsidRPr="00040AB6" w:rsidRDefault="00106C2C" w:rsidP="00EB58D9">
      <w:pPr>
        <w:tabs>
          <w:tab w:val="left" w:pos="360"/>
        </w:tabs>
        <w:spacing w:after="0" w:line="240" w:lineRule="auto"/>
        <w:ind w:left="360" w:hanging="360"/>
        <w:rPr>
          <w:rFonts w:asciiTheme="minorHAnsi" w:hAnsiTheme="minorHAnsi"/>
        </w:rPr>
      </w:pPr>
    </w:p>
    <w:p w14:paraId="55E039E8" w14:textId="531A2E22" w:rsidR="00903FCA" w:rsidRPr="00040AB6" w:rsidRDefault="00903FCA" w:rsidP="00106C2C">
      <w:pPr>
        <w:pStyle w:val="ListParagraph"/>
        <w:numPr>
          <w:ilvl w:val="0"/>
          <w:numId w:val="22"/>
        </w:numPr>
        <w:tabs>
          <w:tab w:val="left" w:pos="360"/>
        </w:tabs>
        <w:spacing w:after="0" w:line="240" w:lineRule="auto"/>
        <w:ind w:left="360"/>
        <w:rPr>
          <w:rFonts w:asciiTheme="minorHAnsi" w:hAnsiTheme="minorHAnsi"/>
        </w:rPr>
      </w:pPr>
      <w:r w:rsidRPr="00040AB6">
        <w:rPr>
          <w:rFonts w:asciiTheme="minorHAnsi" w:hAnsiTheme="minorHAnsi"/>
        </w:rPr>
        <w:t xml:space="preserve">The business relationship and the services exchanged between Energy Trust and the Company shall be in accordance with an executed Service Agreement.  </w:t>
      </w:r>
      <w:r w:rsidR="00EB58D9" w:rsidRPr="00040AB6">
        <w:rPr>
          <w:rFonts w:asciiTheme="minorHAnsi" w:hAnsiTheme="minorHAnsi"/>
        </w:rPr>
        <w:t xml:space="preserve">The Energy Trust will act as the program manager of this offering. </w:t>
      </w:r>
    </w:p>
    <w:p w14:paraId="19BBC250" w14:textId="77777777" w:rsidR="00106C2C" w:rsidRPr="00040AB6" w:rsidRDefault="00106C2C" w:rsidP="00106C2C">
      <w:pPr>
        <w:pStyle w:val="ListParagraph"/>
        <w:tabs>
          <w:tab w:val="left" w:pos="360"/>
        </w:tabs>
        <w:spacing w:after="0" w:line="240" w:lineRule="auto"/>
        <w:ind w:left="1080"/>
        <w:rPr>
          <w:rFonts w:asciiTheme="minorHAnsi" w:hAnsiTheme="minorHAnsi"/>
        </w:rPr>
      </w:pPr>
    </w:p>
    <w:p w14:paraId="161A5A3E" w14:textId="6429DC09" w:rsidR="00903FCA" w:rsidRPr="00040AB6" w:rsidRDefault="00903FCA" w:rsidP="00106C2C">
      <w:pPr>
        <w:pStyle w:val="ListParagraph"/>
        <w:numPr>
          <w:ilvl w:val="0"/>
          <w:numId w:val="22"/>
        </w:numPr>
        <w:tabs>
          <w:tab w:val="left" w:pos="360"/>
        </w:tabs>
        <w:spacing w:after="0" w:line="240" w:lineRule="auto"/>
        <w:ind w:left="360"/>
        <w:rPr>
          <w:rFonts w:asciiTheme="minorHAnsi" w:hAnsiTheme="minorHAnsi"/>
        </w:rPr>
      </w:pPr>
      <w:r w:rsidRPr="00040AB6">
        <w:rPr>
          <w:rFonts w:asciiTheme="minorHAnsi" w:hAnsiTheme="minorHAnsi"/>
        </w:rPr>
        <w:t xml:space="preserve">The provision of On-the-Bill Repayment Services will </w:t>
      </w:r>
      <w:r w:rsidR="002C6CE4" w:rsidRPr="00040AB6">
        <w:rPr>
          <w:rFonts w:asciiTheme="minorHAnsi" w:hAnsiTheme="minorHAnsi"/>
        </w:rPr>
        <w:t xml:space="preserve">in no way </w:t>
      </w:r>
      <w:r w:rsidR="00AB3C01" w:rsidRPr="00040AB6">
        <w:rPr>
          <w:rFonts w:asciiTheme="minorHAnsi" w:hAnsiTheme="minorHAnsi"/>
        </w:rPr>
        <w:t>conflict with</w:t>
      </w:r>
      <w:r w:rsidR="002C6CE4" w:rsidRPr="00040AB6">
        <w:rPr>
          <w:rFonts w:asciiTheme="minorHAnsi" w:hAnsiTheme="minorHAnsi"/>
        </w:rPr>
        <w:t xml:space="preserve"> </w:t>
      </w:r>
      <w:r w:rsidRPr="00040AB6">
        <w:rPr>
          <w:rFonts w:asciiTheme="minorHAnsi" w:hAnsiTheme="minorHAnsi"/>
        </w:rPr>
        <w:t>the Company’s compliance</w:t>
      </w:r>
      <w:r w:rsidR="00EB58D9" w:rsidRPr="00040AB6">
        <w:rPr>
          <w:rFonts w:asciiTheme="minorHAnsi" w:hAnsiTheme="minorHAnsi"/>
        </w:rPr>
        <w:t xml:space="preserve"> to</w:t>
      </w:r>
      <w:r w:rsidRPr="00040AB6">
        <w:rPr>
          <w:rFonts w:asciiTheme="minorHAnsi" w:hAnsiTheme="minorHAnsi"/>
        </w:rPr>
        <w:t xml:space="preserve"> </w:t>
      </w:r>
      <w:r w:rsidR="002C6CE4" w:rsidRPr="00040AB6">
        <w:rPr>
          <w:rFonts w:asciiTheme="minorHAnsi" w:hAnsiTheme="minorHAnsi"/>
        </w:rPr>
        <w:t>WAC 480-90</w:t>
      </w:r>
      <w:r w:rsidRPr="00040AB6">
        <w:rPr>
          <w:rFonts w:asciiTheme="minorHAnsi" w:hAnsiTheme="minorHAnsi"/>
        </w:rPr>
        <w:t xml:space="preserve">, </w:t>
      </w:r>
      <w:r w:rsidR="002C6CE4" w:rsidRPr="00040AB6">
        <w:rPr>
          <w:rFonts w:asciiTheme="minorHAnsi" w:hAnsiTheme="minorHAnsi"/>
        </w:rPr>
        <w:t>Washington Administrative Code (WAC).</w:t>
      </w:r>
    </w:p>
    <w:p w14:paraId="166CBA0A" w14:textId="77777777" w:rsidR="00106C2C" w:rsidRPr="00040AB6" w:rsidRDefault="00106C2C" w:rsidP="00106C2C">
      <w:pPr>
        <w:tabs>
          <w:tab w:val="left" w:pos="360"/>
        </w:tabs>
        <w:spacing w:after="0" w:line="240" w:lineRule="auto"/>
        <w:rPr>
          <w:rFonts w:asciiTheme="minorHAnsi" w:hAnsiTheme="minorHAnsi"/>
        </w:rPr>
      </w:pPr>
    </w:p>
    <w:p w14:paraId="0C04B1A7" w14:textId="426CF7D9" w:rsidR="00903FCA" w:rsidRPr="00040AB6" w:rsidRDefault="00903FCA" w:rsidP="00106C2C">
      <w:pPr>
        <w:pStyle w:val="ListParagraph"/>
        <w:numPr>
          <w:ilvl w:val="0"/>
          <w:numId w:val="19"/>
        </w:numPr>
        <w:tabs>
          <w:tab w:val="left" w:pos="360"/>
        </w:tabs>
        <w:spacing w:after="0" w:line="240" w:lineRule="auto"/>
        <w:rPr>
          <w:rFonts w:asciiTheme="minorHAnsi" w:hAnsiTheme="minorHAnsi"/>
        </w:rPr>
      </w:pPr>
      <w:r w:rsidRPr="00040AB6">
        <w:rPr>
          <w:rFonts w:asciiTheme="minorHAnsi" w:hAnsiTheme="minorHAnsi"/>
        </w:rPr>
        <w:t xml:space="preserve">A Customer’s decision to enter into a loan agreement with </w:t>
      </w:r>
      <w:r w:rsidR="00EB58D9" w:rsidRPr="00040AB6">
        <w:rPr>
          <w:rFonts w:asciiTheme="minorHAnsi" w:hAnsiTheme="minorHAnsi"/>
        </w:rPr>
        <w:t>Craft3</w:t>
      </w:r>
      <w:r w:rsidRPr="00040AB6">
        <w:rPr>
          <w:rFonts w:asciiTheme="minorHAnsi" w:hAnsiTheme="minorHAnsi"/>
        </w:rPr>
        <w:t xml:space="preserve"> will not affect his/her ability to establish credit with the Company; it will have no impact on the amount that a Customer may be required to pay on deposit for Natural Gas utility service; and it will have no effect on a Customer’s ability to receive reliable natural gas service.  The Company will communicate this in writing to </w:t>
      </w:r>
      <w:r w:rsidR="00AB3C01" w:rsidRPr="00040AB6">
        <w:rPr>
          <w:rFonts w:asciiTheme="minorHAnsi" w:hAnsiTheme="minorHAnsi"/>
        </w:rPr>
        <w:t>c</w:t>
      </w:r>
      <w:r w:rsidRPr="00040AB6">
        <w:rPr>
          <w:rFonts w:asciiTheme="minorHAnsi" w:hAnsiTheme="minorHAnsi"/>
        </w:rPr>
        <w:t>ustomers who participate in th</w:t>
      </w:r>
      <w:r w:rsidR="00EB58D9" w:rsidRPr="00040AB6">
        <w:rPr>
          <w:rFonts w:asciiTheme="minorHAnsi" w:hAnsiTheme="minorHAnsi"/>
        </w:rPr>
        <w:t>is</w:t>
      </w:r>
      <w:r w:rsidRPr="00040AB6">
        <w:rPr>
          <w:rFonts w:asciiTheme="minorHAnsi" w:hAnsiTheme="minorHAnsi"/>
        </w:rPr>
        <w:t xml:space="preserve"> loan program. </w:t>
      </w:r>
    </w:p>
    <w:p w14:paraId="27B0BDC5" w14:textId="77777777" w:rsidR="00106C2C" w:rsidRPr="00040AB6" w:rsidRDefault="00106C2C" w:rsidP="00106C2C">
      <w:pPr>
        <w:pStyle w:val="ListParagraph"/>
        <w:tabs>
          <w:tab w:val="left" w:pos="360"/>
        </w:tabs>
        <w:spacing w:after="0" w:line="240" w:lineRule="auto"/>
        <w:ind w:left="360"/>
        <w:rPr>
          <w:rFonts w:asciiTheme="minorHAnsi" w:hAnsiTheme="minorHAnsi"/>
        </w:rPr>
      </w:pPr>
    </w:p>
    <w:p w14:paraId="2B1FFED4" w14:textId="77777777" w:rsidR="00903FCA" w:rsidRPr="00040AB6" w:rsidRDefault="00903FCA"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 xml:space="preserve">By entering into a loan agreement with </w:t>
      </w:r>
      <w:r w:rsidR="00AB3C01" w:rsidRPr="00040AB6">
        <w:rPr>
          <w:rFonts w:asciiTheme="minorHAnsi" w:hAnsiTheme="minorHAnsi" w:cs="Arial"/>
        </w:rPr>
        <w:t>Craft3</w:t>
      </w:r>
      <w:r w:rsidRPr="00040AB6">
        <w:rPr>
          <w:rFonts w:asciiTheme="minorHAnsi" w:hAnsiTheme="minorHAnsi" w:cs="Arial"/>
        </w:rPr>
        <w:t xml:space="preserve">, the </w:t>
      </w:r>
      <w:r w:rsidR="00AB3C01" w:rsidRPr="00040AB6">
        <w:rPr>
          <w:rFonts w:asciiTheme="minorHAnsi" w:hAnsiTheme="minorHAnsi" w:cs="Arial"/>
        </w:rPr>
        <w:t>c</w:t>
      </w:r>
      <w:r w:rsidRPr="00040AB6">
        <w:rPr>
          <w:rFonts w:asciiTheme="minorHAnsi" w:hAnsiTheme="minorHAnsi" w:cs="Arial"/>
        </w:rPr>
        <w:t xml:space="preserve">ustomer will be responsible to remit the monthly loan repayment amount to NW Natural with his/her monthly bill payment for natural gas services.  </w:t>
      </w:r>
    </w:p>
    <w:p w14:paraId="3EE39BDB" w14:textId="77777777" w:rsidR="00106C2C" w:rsidRPr="00040AB6" w:rsidRDefault="00106C2C" w:rsidP="00106C2C">
      <w:pPr>
        <w:spacing w:after="0" w:line="240" w:lineRule="auto"/>
        <w:ind w:left="360"/>
        <w:rPr>
          <w:rFonts w:asciiTheme="minorHAnsi" w:hAnsiTheme="minorHAnsi" w:cs="Arial"/>
        </w:rPr>
      </w:pPr>
    </w:p>
    <w:p w14:paraId="7831F871" w14:textId="3714784E" w:rsidR="00106C2C" w:rsidRPr="00040AB6" w:rsidRDefault="00903FCA" w:rsidP="00106C2C">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 xml:space="preserve">NW Natural is not a party to the </w:t>
      </w:r>
      <w:r w:rsidR="00AB3C01" w:rsidRPr="00040AB6">
        <w:rPr>
          <w:rFonts w:asciiTheme="minorHAnsi" w:hAnsiTheme="minorHAnsi" w:cs="Arial"/>
        </w:rPr>
        <w:t>l</w:t>
      </w:r>
      <w:r w:rsidRPr="00040AB6">
        <w:rPr>
          <w:rFonts w:asciiTheme="minorHAnsi" w:hAnsiTheme="minorHAnsi" w:cs="Arial"/>
        </w:rPr>
        <w:t xml:space="preserve">oan agreements and has no financial interest in </w:t>
      </w:r>
      <w:r w:rsidR="00EB58D9" w:rsidRPr="00040AB6">
        <w:rPr>
          <w:rFonts w:asciiTheme="minorHAnsi" w:hAnsiTheme="minorHAnsi" w:cs="Arial"/>
        </w:rPr>
        <w:t>these</w:t>
      </w:r>
      <w:r w:rsidRPr="00040AB6">
        <w:rPr>
          <w:rFonts w:asciiTheme="minorHAnsi" w:hAnsiTheme="minorHAnsi" w:cs="Arial"/>
        </w:rPr>
        <w:t xml:space="preserve"> </w:t>
      </w:r>
      <w:r w:rsidR="00AB3C01" w:rsidRPr="00040AB6">
        <w:rPr>
          <w:rFonts w:asciiTheme="minorHAnsi" w:hAnsiTheme="minorHAnsi" w:cs="Arial"/>
        </w:rPr>
        <w:t>l</w:t>
      </w:r>
      <w:r w:rsidRPr="00040AB6">
        <w:rPr>
          <w:rFonts w:asciiTheme="minorHAnsi" w:hAnsiTheme="minorHAnsi" w:cs="Arial"/>
        </w:rPr>
        <w:t>oans.</w:t>
      </w:r>
    </w:p>
    <w:p w14:paraId="27581FEE" w14:textId="77777777" w:rsidR="00DB408A" w:rsidRPr="00040AB6" w:rsidRDefault="00DB408A" w:rsidP="00DB408A">
      <w:pPr>
        <w:tabs>
          <w:tab w:val="left" w:pos="360"/>
        </w:tabs>
        <w:spacing w:after="0" w:line="240" w:lineRule="auto"/>
        <w:ind w:left="360"/>
        <w:rPr>
          <w:rFonts w:asciiTheme="minorHAnsi" w:hAnsiTheme="minorHAnsi" w:cs="Arial"/>
        </w:rPr>
      </w:pPr>
    </w:p>
    <w:p w14:paraId="14539010" w14:textId="4DAD819C" w:rsidR="00903FCA" w:rsidRPr="00040AB6" w:rsidRDefault="00903FCA"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 xml:space="preserve">Monthly payments received from </w:t>
      </w:r>
      <w:r w:rsidR="00AB3C01" w:rsidRPr="00040AB6">
        <w:rPr>
          <w:rFonts w:asciiTheme="minorHAnsi" w:hAnsiTheme="minorHAnsi" w:cs="Arial"/>
        </w:rPr>
        <w:t>c</w:t>
      </w:r>
      <w:r w:rsidRPr="00040AB6">
        <w:rPr>
          <w:rFonts w:asciiTheme="minorHAnsi" w:hAnsiTheme="minorHAnsi" w:cs="Arial"/>
        </w:rPr>
        <w:t xml:space="preserve">ustomers participating in this program will be allocated to the </w:t>
      </w:r>
      <w:r w:rsidR="00AB3C01" w:rsidRPr="00040AB6">
        <w:rPr>
          <w:rFonts w:asciiTheme="minorHAnsi" w:hAnsiTheme="minorHAnsi" w:cs="Arial"/>
        </w:rPr>
        <w:t>c</w:t>
      </w:r>
      <w:r w:rsidRPr="00040AB6">
        <w:rPr>
          <w:rFonts w:asciiTheme="minorHAnsi" w:hAnsiTheme="minorHAnsi" w:cs="Arial"/>
        </w:rPr>
        <w:t xml:space="preserve">ustomers’ account in accordance with Rule </w:t>
      </w:r>
      <w:r w:rsidR="008F1881" w:rsidRPr="00040AB6">
        <w:rPr>
          <w:rFonts w:asciiTheme="minorHAnsi" w:hAnsiTheme="minorHAnsi" w:cs="Arial"/>
        </w:rPr>
        <w:t>4</w:t>
      </w:r>
      <w:r w:rsidRPr="00040AB6">
        <w:rPr>
          <w:rFonts w:asciiTheme="minorHAnsi" w:hAnsiTheme="minorHAnsi" w:cs="Arial"/>
        </w:rPr>
        <w:t xml:space="preserve"> of this </w:t>
      </w:r>
      <w:r w:rsidR="008F1881" w:rsidRPr="00040AB6">
        <w:rPr>
          <w:rFonts w:asciiTheme="minorHAnsi" w:hAnsiTheme="minorHAnsi" w:cs="Arial"/>
        </w:rPr>
        <w:t>the Company’s T</w:t>
      </w:r>
      <w:r w:rsidRPr="00040AB6">
        <w:rPr>
          <w:rFonts w:asciiTheme="minorHAnsi" w:hAnsiTheme="minorHAnsi" w:cs="Arial"/>
        </w:rPr>
        <w:t xml:space="preserve">ariff.  </w:t>
      </w:r>
    </w:p>
    <w:p w14:paraId="30150442" w14:textId="77777777" w:rsidR="00106C2C" w:rsidRPr="00040AB6" w:rsidRDefault="00106C2C" w:rsidP="00106C2C">
      <w:pPr>
        <w:spacing w:after="0" w:line="240" w:lineRule="auto"/>
        <w:rPr>
          <w:rFonts w:asciiTheme="minorHAnsi" w:hAnsiTheme="minorHAnsi" w:cs="Arial"/>
        </w:rPr>
      </w:pPr>
    </w:p>
    <w:p w14:paraId="64CA80D0" w14:textId="1EAD74EC" w:rsidR="00903FCA" w:rsidRPr="00040AB6" w:rsidRDefault="00903FCA"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The Company will n</w:t>
      </w:r>
      <w:r w:rsidR="00AB3C01" w:rsidRPr="00040AB6">
        <w:rPr>
          <w:rFonts w:asciiTheme="minorHAnsi" w:hAnsiTheme="minorHAnsi" w:cs="Arial"/>
        </w:rPr>
        <w:t>ot disconnect gas service to a c</w:t>
      </w:r>
      <w:r w:rsidRPr="00040AB6">
        <w:rPr>
          <w:rFonts w:asciiTheme="minorHAnsi" w:hAnsiTheme="minorHAnsi" w:cs="Arial"/>
        </w:rPr>
        <w:t xml:space="preserve">ustomer for non-payment of </w:t>
      </w:r>
      <w:r w:rsidR="00AB3C01" w:rsidRPr="00040AB6">
        <w:rPr>
          <w:rFonts w:asciiTheme="minorHAnsi" w:hAnsiTheme="minorHAnsi" w:cs="Arial"/>
        </w:rPr>
        <w:t>l</w:t>
      </w:r>
      <w:r w:rsidRPr="00040AB6">
        <w:rPr>
          <w:rFonts w:asciiTheme="minorHAnsi" w:hAnsiTheme="minorHAnsi" w:cs="Arial"/>
        </w:rPr>
        <w:t xml:space="preserve">oan repayment charges.  </w:t>
      </w:r>
    </w:p>
    <w:p w14:paraId="10339028" w14:textId="77777777" w:rsidR="00106C2C" w:rsidRPr="00040AB6" w:rsidRDefault="00106C2C" w:rsidP="00106C2C">
      <w:pPr>
        <w:spacing w:after="0" w:line="240" w:lineRule="auto"/>
        <w:rPr>
          <w:rFonts w:asciiTheme="minorHAnsi" w:hAnsiTheme="minorHAnsi" w:cs="Arial"/>
        </w:rPr>
      </w:pPr>
    </w:p>
    <w:p w14:paraId="47BCA4F2" w14:textId="77777777" w:rsidR="00903FCA" w:rsidRPr="00040AB6" w:rsidRDefault="00903FCA"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 xml:space="preserve">NW Natural is solely a billing agent for </w:t>
      </w:r>
      <w:r w:rsidR="00886367" w:rsidRPr="00040AB6">
        <w:rPr>
          <w:rFonts w:asciiTheme="minorHAnsi" w:hAnsiTheme="minorHAnsi" w:cs="Arial"/>
        </w:rPr>
        <w:t>Craft3</w:t>
      </w:r>
      <w:r w:rsidRPr="00040AB6">
        <w:rPr>
          <w:rFonts w:asciiTheme="minorHAnsi" w:hAnsiTheme="minorHAnsi" w:cs="Arial"/>
        </w:rPr>
        <w:t>.  Participating Customers must acknowledge that the Company shall be held harmless for any liability resulting from contractors’ actions with regard to installation of energy efficiency measures resulting from this program.</w:t>
      </w:r>
    </w:p>
    <w:p w14:paraId="72350B34" w14:textId="77777777" w:rsidR="00106C2C" w:rsidRPr="00040AB6" w:rsidRDefault="00106C2C" w:rsidP="00106C2C">
      <w:pPr>
        <w:spacing w:after="0" w:line="240" w:lineRule="auto"/>
        <w:rPr>
          <w:rFonts w:asciiTheme="minorHAnsi" w:hAnsiTheme="minorHAnsi" w:cs="Arial"/>
        </w:rPr>
      </w:pPr>
    </w:p>
    <w:p w14:paraId="2B10BBA5" w14:textId="77777777" w:rsidR="00903FCA" w:rsidRPr="00040AB6" w:rsidRDefault="00903FCA"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 xml:space="preserve">NW Natural has no responsibility to collect charges, penalties, or fees beyond the remitting to </w:t>
      </w:r>
      <w:r w:rsidR="00886367" w:rsidRPr="00040AB6">
        <w:rPr>
          <w:rFonts w:asciiTheme="minorHAnsi" w:hAnsiTheme="minorHAnsi" w:cs="Arial"/>
        </w:rPr>
        <w:t>Craft3</w:t>
      </w:r>
      <w:r w:rsidRPr="00040AB6">
        <w:rPr>
          <w:rFonts w:asciiTheme="minorHAnsi" w:hAnsiTheme="minorHAnsi" w:cs="Arial"/>
        </w:rPr>
        <w:t xml:space="preserve"> the loan repayment collections the Company receives from Customers in accordance with the services described herein. </w:t>
      </w:r>
    </w:p>
    <w:p w14:paraId="11B2CA66" w14:textId="77777777" w:rsidR="00106C2C" w:rsidRPr="00040AB6" w:rsidRDefault="00106C2C" w:rsidP="00106C2C">
      <w:pPr>
        <w:spacing w:after="0" w:line="240" w:lineRule="auto"/>
        <w:rPr>
          <w:rFonts w:asciiTheme="minorHAnsi" w:hAnsiTheme="minorHAnsi" w:cs="Arial"/>
        </w:rPr>
      </w:pPr>
    </w:p>
    <w:p w14:paraId="3BFB79B7" w14:textId="03587E5A" w:rsidR="00903FCA" w:rsidRPr="00040AB6" w:rsidRDefault="00886367"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 xml:space="preserve">Craft3 </w:t>
      </w:r>
      <w:r w:rsidR="00903FCA" w:rsidRPr="00040AB6">
        <w:rPr>
          <w:rFonts w:asciiTheme="minorHAnsi" w:hAnsiTheme="minorHAnsi" w:cs="Arial"/>
        </w:rPr>
        <w:t xml:space="preserve">is responsible to tell the Company how much to bill per month for each loan and how many months each customer should be billed.  The Company is not responsible for any information provided by </w:t>
      </w:r>
      <w:r w:rsidRPr="00040AB6">
        <w:rPr>
          <w:rFonts w:asciiTheme="minorHAnsi" w:hAnsiTheme="minorHAnsi" w:cs="Arial"/>
        </w:rPr>
        <w:t>Craft3.</w:t>
      </w:r>
    </w:p>
    <w:p w14:paraId="38D13B13" w14:textId="77777777" w:rsidR="00106C2C" w:rsidRPr="00040AB6" w:rsidRDefault="00106C2C" w:rsidP="00106C2C">
      <w:pPr>
        <w:spacing w:after="0" w:line="240" w:lineRule="auto"/>
        <w:rPr>
          <w:rFonts w:asciiTheme="minorHAnsi" w:hAnsiTheme="minorHAnsi" w:cs="Arial"/>
        </w:rPr>
      </w:pPr>
    </w:p>
    <w:p w14:paraId="397933FA" w14:textId="77777777" w:rsidR="00903FCA" w:rsidRPr="00040AB6" w:rsidRDefault="00903FCA"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The Company will not a) accept loan pay-offs, b) issue refunds on loan payments, c) offer payment arrangements on loan amounts due, or d) allow energy assistance to be applied to loan balances.</w:t>
      </w:r>
    </w:p>
    <w:p w14:paraId="5E81034C" w14:textId="77777777" w:rsidR="00106C2C" w:rsidRPr="00040AB6" w:rsidRDefault="00106C2C" w:rsidP="00106C2C">
      <w:pPr>
        <w:spacing w:after="0" w:line="240" w:lineRule="auto"/>
        <w:rPr>
          <w:rFonts w:asciiTheme="minorHAnsi" w:hAnsiTheme="minorHAnsi" w:cs="Arial"/>
        </w:rPr>
      </w:pPr>
    </w:p>
    <w:p w14:paraId="79CBD722" w14:textId="77777777" w:rsidR="00903FCA" w:rsidRPr="00040AB6" w:rsidRDefault="00886367"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Craft3</w:t>
      </w:r>
      <w:r w:rsidR="00903FCA" w:rsidRPr="00040AB6">
        <w:rPr>
          <w:rFonts w:asciiTheme="minorHAnsi" w:hAnsiTheme="minorHAnsi" w:cs="Arial"/>
        </w:rPr>
        <w:t xml:space="preserve"> </w:t>
      </w:r>
      <w:r w:rsidRPr="00040AB6">
        <w:rPr>
          <w:rFonts w:asciiTheme="minorHAnsi" w:hAnsiTheme="minorHAnsi" w:cs="Arial"/>
        </w:rPr>
        <w:t>must</w:t>
      </w:r>
      <w:r w:rsidR="00903FCA" w:rsidRPr="00040AB6">
        <w:rPr>
          <w:rFonts w:asciiTheme="minorHAnsi" w:hAnsiTheme="minorHAnsi" w:cs="Arial"/>
        </w:rPr>
        <w:t xml:space="preserve"> obtain a signed consent form from participating Customers that states that the Customer agrees to allow the Company to provide </w:t>
      </w:r>
      <w:r w:rsidRPr="00040AB6">
        <w:rPr>
          <w:rFonts w:asciiTheme="minorHAnsi" w:hAnsiTheme="minorHAnsi" w:cs="Arial"/>
        </w:rPr>
        <w:t>Craft3</w:t>
      </w:r>
      <w:r w:rsidR="00903FCA" w:rsidRPr="00040AB6">
        <w:rPr>
          <w:rFonts w:asciiTheme="minorHAnsi" w:hAnsiTheme="minorHAnsi" w:cs="Arial"/>
        </w:rPr>
        <w:t xml:space="preserve"> with Customer-specific bill payment information. </w:t>
      </w:r>
    </w:p>
    <w:p w14:paraId="3D6AFB35" w14:textId="77777777" w:rsidR="00106C2C" w:rsidRPr="00040AB6" w:rsidRDefault="00106C2C" w:rsidP="00106C2C">
      <w:pPr>
        <w:spacing w:after="0" w:line="240" w:lineRule="auto"/>
        <w:rPr>
          <w:rFonts w:asciiTheme="minorHAnsi" w:hAnsiTheme="minorHAnsi" w:cs="Arial"/>
        </w:rPr>
      </w:pPr>
    </w:p>
    <w:p w14:paraId="1C0920F9" w14:textId="13769A89" w:rsidR="00903FCA" w:rsidRPr="00040AB6" w:rsidRDefault="00EB58D9" w:rsidP="002C6CE4">
      <w:pPr>
        <w:numPr>
          <w:ilvl w:val="0"/>
          <w:numId w:val="19"/>
        </w:numPr>
        <w:tabs>
          <w:tab w:val="left" w:pos="360"/>
        </w:tabs>
        <w:spacing w:after="0" w:line="240" w:lineRule="auto"/>
        <w:rPr>
          <w:rFonts w:asciiTheme="minorHAnsi" w:hAnsiTheme="minorHAnsi" w:cs="Arial"/>
        </w:rPr>
      </w:pPr>
      <w:r w:rsidRPr="00040AB6">
        <w:rPr>
          <w:rFonts w:asciiTheme="minorHAnsi" w:hAnsiTheme="minorHAnsi" w:cs="Arial"/>
        </w:rPr>
        <w:t>Craft3</w:t>
      </w:r>
      <w:r w:rsidR="00903FCA" w:rsidRPr="00040AB6">
        <w:rPr>
          <w:rFonts w:asciiTheme="minorHAnsi" w:hAnsiTheme="minorHAnsi" w:cs="Arial"/>
        </w:rPr>
        <w:t xml:space="preserve"> must obtain signed documentation from the Customer that certifies that the Customer has been made aware of the Company’s limited role in the loan repayment process. </w:t>
      </w:r>
    </w:p>
    <w:p w14:paraId="7E3F9CB8" w14:textId="77777777" w:rsidR="00106C2C" w:rsidRPr="00040AB6" w:rsidRDefault="00106C2C" w:rsidP="00106C2C">
      <w:pPr>
        <w:spacing w:after="0" w:line="240" w:lineRule="auto"/>
        <w:rPr>
          <w:rFonts w:asciiTheme="minorHAnsi" w:hAnsiTheme="minorHAnsi" w:cs="Arial"/>
        </w:rPr>
      </w:pPr>
    </w:p>
    <w:p w14:paraId="2542C068" w14:textId="76079CC6" w:rsidR="00903FCA" w:rsidRPr="00040AB6" w:rsidRDefault="00903FCA" w:rsidP="00CE6980">
      <w:pPr>
        <w:tabs>
          <w:tab w:val="left" w:pos="360"/>
        </w:tabs>
        <w:spacing w:after="0" w:line="240" w:lineRule="auto"/>
        <w:ind w:left="360" w:hanging="360"/>
        <w:rPr>
          <w:rFonts w:asciiTheme="minorHAnsi" w:hAnsiTheme="minorHAnsi"/>
        </w:rPr>
      </w:pPr>
      <w:r w:rsidRPr="00040AB6">
        <w:rPr>
          <w:rFonts w:asciiTheme="minorHAnsi" w:hAnsiTheme="minorHAnsi"/>
        </w:rPr>
        <w:t>1</w:t>
      </w:r>
      <w:r w:rsidR="00C46D97" w:rsidRPr="00040AB6">
        <w:rPr>
          <w:rFonts w:asciiTheme="minorHAnsi" w:hAnsiTheme="minorHAnsi"/>
        </w:rPr>
        <w:t>5</w:t>
      </w:r>
      <w:r w:rsidRPr="00040AB6">
        <w:rPr>
          <w:rFonts w:asciiTheme="minorHAnsi" w:hAnsiTheme="minorHAnsi"/>
        </w:rPr>
        <w:t xml:space="preserve">. </w:t>
      </w:r>
      <w:r w:rsidR="00886367" w:rsidRPr="00040AB6">
        <w:rPr>
          <w:rFonts w:asciiTheme="minorHAnsi" w:hAnsiTheme="minorHAnsi"/>
        </w:rPr>
        <w:tab/>
        <w:t>Craft3</w:t>
      </w:r>
      <w:r w:rsidRPr="00040AB6">
        <w:rPr>
          <w:rFonts w:asciiTheme="minorHAnsi" w:hAnsiTheme="minorHAnsi"/>
        </w:rPr>
        <w:t xml:space="preserve"> must provide the Company with a toll-free customer service phone number to which the Company will refer Customers who have questions or concerns about their loan.  The Company is not responsible for Customer questions and disputes related to the loan or the Customer’s perceived or real experience related to any portion of the loan or energy efficiency measures.  </w:t>
      </w:r>
    </w:p>
    <w:p w14:paraId="0177D367" w14:textId="77777777" w:rsidR="00F72D57" w:rsidRPr="00040AB6" w:rsidRDefault="00F72D57" w:rsidP="00EB58D9">
      <w:pPr>
        <w:spacing w:after="0" w:line="240" w:lineRule="auto"/>
        <w:rPr>
          <w:rFonts w:asciiTheme="minorHAnsi" w:hAnsiTheme="minorHAnsi"/>
        </w:rPr>
      </w:pPr>
    </w:p>
    <w:p w14:paraId="1EAA51CB" w14:textId="76FBEDB7" w:rsidR="00ED70D2" w:rsidRPr="00040AB6" w:rsidRDefault="00DF42BE" w:rsidP="00DF42BE">
      <w:pPr>
        <w:tabs>
          <w:tab w:val="left" w:pos="360"/>
        </w:tabs>
        <w:ind w:left="360" w:hanging="360"/>
        <w:rPr>
          <w:rFonts w:asciiTheme="minorHAnsi" w:hAnsiTheme="minorHAnsi"/>
        </w:rPr>
      </w:pPr>
      <w:r w:rsidRPr="00040AB6">
        <w:rPr>
          <w:rFonts w:asciiTheme="minorHAnsi" w:hAnsiTheme="minorHAnsi"/>
        </w:rPr>
        <w:t>16.</w:t>
      </w:r>
      <w:r w:rsidR="00ED70D2" w:rsidRPr="00040AB6">
        <w:rPr>
          <w:rFonts w:asciiTheme="minorHAnsi" w:hAnsiTheme="minorHAnsi"/>
        </w:rPr>
        <w:tab/>
        <w:t xml:space="preserve">The Company will provide Customers with an overview of the loan product.  Specific terms and conditions of the loan will be provided by Craft3. </w:t>
      </w:r>
    </w:p>
    <w:p w14:paraId="006E65F6" w14:textId="22DD017E" w:rsidR="00DF42BE" w:rsidRPr="00040AB6" w:rsidRDefault="00ED70D2" w:rsidP="00DF42BE">
      <w:pPr>
        <w:tabs>
          <w:tab w:val="left" w:pos="360"/>
        </w:tabs>
        <w:ind w:left="360" w:hanging="360"/>
        <w:rPr>
          <w:rFonts w:asciiTheme="minorHAnsi" w:hAnsiTheme="minorHAnsi"/>
        </w:rPr>
      </w:pPr>
      <w:r w:rsidRPr="00040AB6">
        <w:rPr>
          <w:rFonts w:asciiTheme="minorHAnsi" w:hAnsiTheme="minorHAnsi"/>
        </w:rPr>
        <w:t>17.</w:t>
      </w:r>
      <w:r w:rsidR="00DF42BE" w:rsidRPr="00040AB6">
        <w:rPr>
          <w:rFonts w:asciiTheme="minorHAnsi" w:hAnsiTheme="minorHAnsi"/>
        </w:rPr>
        <w:tab/>
        <w:t xml:space="preserve">A Customer with a loan open at the time he/she sells his/her home may either pay the loan off at the time of the sale; or if the new homeowner is willing to assume the loan and is able to pass the Craft3’s credit requirements, the new homeowner may assume the remaining balance of the loan.  </w:t>
      </w:r>
    </w:p>
    <w:p w14:paraId="316D71B8" w14:textId="6DCAF49A" w:rsidR="00DF42BE" w:rsidRPr="00040AB6" w:rsidRDefault="00DF42BE" w:rsidP="00DF42BE">
      <w:pPr>
        <w:tabs>
          <w:tab w:val="left" w:pos="360"/>
        </w:tabs>
        <w:ind w:left="360" w:hanging="360"/>
        <w:rPr>
          <w:rFonts w:asciiTheme="minorHAnsi" w:hAnsiTheme="minorHAnsi"/>
        </w:rPr>
      </w:pPr>
      <w:r w:rsidRPr="00040AB6">
        <w:rPr>
          <w:rFonts w:asciiTheme="minorHAnsi" w:hAnsiTheme="minorHAnsi"/>
        </w:rPr>
        <w:t>1</w:t>
      </w:r>
      <w:r w:rsidR="00ED70D2" w:rsidRPr="00040AB6">
        <w:rPr>
          <w:rFonts w:asciiTheme="minorHAnsi" w:hAnsiTheme="minorHAnsi"/>
        </w:rPr>
        <w:t>8</w:t>
      </w:r>
      <w:r w:rsidRPr="00040AB6">
        <w:rPr>
          <w:rFonts w:asciiTheme="minorHAnsi" w:hAnsiTheme="minorHAnsi"/>
        </w:rPr>
        <w:t xml:space="preserve">.  If a Customer with a loan refinances his/her mortgage, Craft3 will work with the Customer.  A fee may be assessed if Craft3 subordinates its lien to the new mortgage lender.  </w:t>
      </w:r>
    </w:p>
    <w:p w14:paraId="789DC6C5" w14:textId="37CCFABB" w:rsidR="00DF42BE" w:rsidRPr="00040AB6" w:rsidRDefault="00DF42BE" w:rsidP="00EB58D9">
      <w:pPr>
        <w:spacing w:after="0" w:line="240" w:lineRule="auto"/>
        <w:rPr>
          <w:rFonts w:asciiTheme="minorHAnsi" w:hAnsiTheme="minorHAnsi"/>
        </w:rPr>
      </w:pPr>
    </w:p>
    <w:sectPr w:rsidR="00DF42BE" w:rsidRPr="00040AB6" w:rsidSect="00137D89">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32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5B7D0" w15:done="0"/>
  <w15:commentEx w15:paraId="26BA7476" w15:done="0"/>
  <w15:commentEx w15:paraId="13CC9CE2" w15:done="0"/>
  <w15:commentEx w15:paraId="53EE9743" w15:done="0"/>
  <w15:commentEx w15:paraId="0D9F07B2" w15:done="0"/>
  <w15:commentEx w15:paraId="0A0AA3DA" w15:done="0"/>
  <w15:commentEx w15:paraId="2DA01F8C" w15:done="0"/>
  <w15:commentEx w15:paraId="138AA096" w15:done="0"/>
  <w15:commentEx w15:paraId="51D7E206" w15:done="0"/>
  <w15:commentEx w15:paraId="2F05F27D" w15:done="0"/>
  <w15:commentEx w15:paraId="2EB1E2D4" w15:done="0"/>
  <w15:commentEx w15:paraId="4A56B015" w15:done="0"/>
  <w15:commentEx w15:paraId="48133064" w15:done="0"/>
  <w15:commentEx w15:paraId="131064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3FCB7" w14:textId="77777777" w:rsidR="00A9305E" w:rsidRDefault="00A9305E" w:rsidP="0000701E">
      <w:pPr>
        <w:spacing w:after="0" w:line="240" w:lineRule="auto"/>
      </w:pPr>
      <w:r>
        <w:separator/>
      </w:r>
    </w:p>
  </w:endnote>
  <w:endnote w:type="continuationSeparator" w:id="0">
    <w:p w14:paraId="5444262E" w14:textId="77777777" w:rsidR="00A9305E" w:rsidRDefault="00A9305E" w:rsidP="0000701E">
      <w:pPr>
        <w:spacing w:after="0" w:line="240" w:lineRule="auto"/>
      </w:pPr>
      <w:r>
        <w:continuationSeparator/>
      </w:r>
    </w:p>
  </w:endnote>
  <w:endnote w:type="continuationNotice" w:id="1">
    <w:p w14:paraId="340903C6" w14:textId="77777777" w:rsidR="00A9305E" w:rsidRDefault="00A93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0EA10" w14:textId="77777777" w:rsidR="00FD16CF" w:rsidRDefault="00FD1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FCFD6" w14:textId="77777777" w:rsidR="008431AD" w:rsidRDefault="008431AD" w:rsidP="0000701E">
    <w:pPr>
      <w:pStyle w:val="Footer"/>
      <w:jc w:val="right"/>
    </w:pPr>
  </w:p>
  <w:p w14:paraId="39F5064E" w14:textId="04D3DD76" w:rsidR="008431AD" w:rsidRDefault="008431AD" w:rsidP="0000701E">
    <w:pPr>
      <w:pStyle w:val="Footer"/>
      <w:jc w:val="right"/>
    </w:pPr>
    <w:r>
      <w:t xml:space="preserve">Last </w:t>
    </w:r>
    <w:r w:rsidR="00F81D9F">
      <w:t>updated</w:t>
    </w:r>
    <w:r>
      <w:t xml:space="preserve"> </w:t>
    </w:r>
    <w:r w:rsidR="00980CDA">
      <w:t>Ju</w:t>
    </w:r>
    <w:r w:rsidR="00F81D9F">
      <w:t>ly</w:t>
    </w:r>
    <w:r w:rsidR="00980CDA">
      <w:t xml:space="preserve"> </w:t>
    </w:r>
    <w:r w:rsidR="00F81D9F">
      <w:t>10</w:t>
    </w:r>
    <w:r w:rsidR="00DF42BE">
      <w:t xml:space="preserve">, </w:t>
    </w:r>
    <w:r w:rsidR="00980CDA">
      <w:t>2015</w:t>
    </w:r>
    <w:r>
      <w:tab/>
    </w:r>
    <w:r>
      <w:tab/>
      <w:t xml:space="preserve">Page </w:t>
    </w:r>
    <w:r>
      <w:rPr>
        <w:b/>
      </w:rPr>
      <w:fldChar w:fldCharType="begin"/>
    </w:r>
    <w:r>
      <w:rPr>
        <w:b/>
      </w:rPr>
      <w:instrText xml:space="preserve"> PAGE </w:instrText>
    </w:r>
    <w:r>
      <w:rPr>
        <w:b/>
      </w:rPr>
      <w:fldChar w:fldCharType="separate"/>
    </w:r>
    <w:r w:rsidR="00FD16CF">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D16CF">
      <w:rPr>
        <w:b/>
        <w:noProof/>
      </w:rPr>
      <w:t>15</w:t>
    </w:r>
    <w:r>
      <w:rPr>
        <w:b/>
      </w:rPr>
      <w:fldChar w:fldCharType="end"/>
    </w:r>
  </w:p>
  <w:p w14:paraId="07FFB5B5" w14:textId="77777777" w:rsidR="008431AD" w:rsidRDefault="008431A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5D45" w14:textId="0E0913F4" w:rsidR="00137D89" w:rsidRDefault="00137D89" w:rsidP="00137D89">
    <w:pPr>
      <w:pStyle w:val="Footer"/>
      <w:jc w:val="right"/>
    </w:pPr>
    <w:r>
      <w:t xml:space="preserve">Last </w:t>
    </w:r>
    <w:r w:rsidR="007427E0">
      <w:t>updated</w:t>
    </w:r>
    <w:r>
      <w:t xml:space="preserve"> </w:t>
    </w:r>
    <w:r w:rsidR="007427E0">
      <w:t>July</w:t>
    </w:r>
    <w:r w:rsidR="00774E72">
      <w:t xml:space="preserve"> 1</w:t>
    </w:r>
    <w:r w:rsidR="007427E0">
      <w:t>0</w:t>
    </w:r>
    <w:r w:rsidR="00774E72">
      <w:t>, 201</w:t>
    </w:r>
    <w:r w:rsidR="007427E0">
      <w:t>5</w:t>
    </w:r>
    <w:r>
      <w:tab/>
    </w:r>
    <w:r>
      <w:tab/>
      <w:t xml:space="preserve">Page </w:t>
    </w:r>
    <w:r>
      <w:rPr>
        <w:b/>
      </w:rPr>
      <w:fldChar w:fldCharType="begin"/>
    </w:r>
    <w:r>
      <w:rPr>
        <w:b/>
      </w:rPr>
      <w:instrText xml:space="preserve"> PAGE </w:instrText>
    </w:r>
    <w:r>
      <w:rPr>
        <w:b/>
      </w:rPr>
      <w:fldChar w:fldCharType="separate"/>
    </w:r>
    <w:r w:rsidR="00FD16C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D16CF">
      <w:rPr>
        <w:b/>
        <w:noProof/>
      </w:rPr>
      <w:t>16</w:t>
    </w:r>
    <w:r>
      <w:rPr>
        <w:b/>
      </w:rPr>
      <w:fldChar w:fldCharType="end"/>
    </w:r>
  </w:p>
  <w:p w14:paraId="308BA37F" w14:textId="77777777" w:rsidR="00810571" w:rsidRDefault="00810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00965" w14:textId="77777777" w:rsidR="00A9305E" w:rsidRDefault="00A9305E" w:rsidP="0000701E">
      <w:pPr>
        <w:spacing w:after="0" w:line="240" w:lineRule="auto"/>
      </w:pPr>
      <w:r>
        <w:separator/>
      </w:r>
    </w:p>
  </w:footnote>
  <w:footnote w:type="continuationSeparator" w:id="0">
    <w:p w14:paraId="26E921FC" w14:textId="77777777" w:rsidR="00A9305E" w:rsidRDefault="00A9305E" w:rsidP="0000701E">
      <w:pPr>
        <w:spacing w:after="0" w:line="240" w:lineRule="auto"/>
      </w:pPr>
      <w:r>
        <w:continuationSeparator/>
      </w:r>
    </w:p>
  </w:footnote>
  <w:footnote w:type="continuationNotice" w:id="1">
    <w:p w14:paraId="450FE95C" w14:textId="77777777" w:rsidR="00A9305E" w:rsidRDefault="00A9305E">
      <w:pPr>
        <w:spacing w:after="0" w:line="240" w:lineRule="auto"/>
      </w:pPr>
    </w:p>
  </w:footnote>
  <w:footnote w:id="2">
    <w:p w14:paraId="424FA5CA" w14:textId="77777777" w:rsidR="008431AD" w:rsidRDefault="008431AD" w:rsidP="00EB0FF1">
      <w:pPr>
        <w:pStyle w:val="FootnoteText"/>
        <w:tabs>
          <w:tab w:val="left" w:pos="360"/>
        </w:tabs>
        <w:ind w:left="360" w:hanging="360"/>
      </w:pPr>
      <w:r>
        <w:rPr>
          <w:rStyle w:val="FootnoteReference"/>
        </w:rPr>
        <w:footnoteRef/>
      </w:r>
      <w:r>
        <w:t xml:space="preserve">  </w:t>
      </w:r>
      <w:r>
        <w:tab/>
        <w:t xml:space="preserve">SB 1149, codified as ORS 757.612, mandated the creation of an independent entity capable of providing demand side management services to utility customers.   </w:t>
      </w:r>
    </w:p>
  </w:footnote>
  <w:footnote w:id="3">
    <w:p w14:paraId="2A3A2B0B" w14:textId="4D9F33B2" w:rsidR="00DC379A" w:rsidRPr="00DC379A" w:rsidRDefault="00DC379A">
      <w:pPr>
        <w:pStyle w:val="FootnoteText"/>
      </w:pPr>
      <w:r>
        <w:rPr>
          <w:rStyle w:val="FootnoteReference"/>
        </w:rPr>
        <w:footnoteRef/>
      </w:r>
      <w:r>
        <w:t xml:space="preserve"> </w:t>
      </w:r>
      <w:r>
        <w:rPr>
          <w:i/>
        </w:rPr>
        <w:t xml:space="preserve">See </w:t>
      </w:r>
      <w:r w:rsidRPr="00DC379A">
        <w:t>http://www.commerce.wa.gov/Programs/Energy/Office/Pages/Clean-Energy-Funds.aspx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6E497" w14:textId="77777777" w:rsidR="00FD16CF" w:rsidRDefault="00FD1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9F04C" w14:textId="4B938005" w:rsidR="008431AD" w:rsidRDefault="008431AD" w:rsidP="0072436E">
    <w:pPr>
      <w:pStyle w:val="Header"/>
      <w:tabs>
        <w:tab w:val="clear" w:pos="4680"/>
        <w:tab w:val="clear" w:pos="9360"/>
        <w:tab w:val="left" w:pos="376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73304" w14:textId="77777777" w:rsidR="00FD16CF" w:rsidRDefault="00FD16CF">
    <w:pPr>
      <w:pStyle w:val="Header"/>
    </w:pP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A55"/>
    <w:multiLevelType w:val="hybridMultilevel"/>
    <w:tmpl w:val="E7FC4756"/>
    <w:lvl w:ilvl="0" w:tplc="10B2CD0A">
      <w:start w:val="1"/>
      <w:numFmt w:val="upperRoman"/>
      <w:lvlText w:val="%1."/>
      <w:lvlJc w:val="left"/>
      <w:pPr>
        <w:ind w:left="360" w:hanging="360"/>
      </w:pPr>
      <w:rPr>
        <w:rFonts w:ascii="Calibri" w:eastAsia="Times New Roman" w:hAnsi="Calibri"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9319E"/>
    <w:multiLevelType w:val="hybridMultilevel"/>
    <w:tmpl w:val="134C9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2594C"/>
    <w:multiLevelType w:val="hybridMultilevel"/>
    <w:tmpl w:val="225A4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B263AB"/>
    <w:multiLevelType w:val="hybridMultilevel"/>
    <w:tmpl w:val="615456B4"/>
    <w:lvl w:ilvl="0" w:tplc="EFD2FA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E330E9"/>
    <w:multiLevelType w:val="hybridMultilevel"/>
    <w:tmpl w:val="326CC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512733"/>
    <w:multiLevelType w:val="hybridMultilevel"/>
    <w:tmpl w:val="EDFC6182"/>
    <w:lvl w:ilvl="0" w:tplc="EFC4F48C">
      <w:start w:val="6"/>
      <w:numFmt w:val="upperRoman"/>
      <w:lvlText w:val="%1."/>
      <w:lvlJc w:val="left"/>
      <w:pPr>
        <w:ind w:left="90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
    <w:nsid w:val="28F44933"/>
    <w:multiLevelType w:val="hybridMultilevel"/>
    <w:tmpl w:val="61FC9B6A"/>
    <w:lvl w:ilvl="0" w:tplc="3E7A37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C2154E"/>
    <w:multiLevelType w:val="hybridMultilevel"/>
    <w:tmpl w:val="FBC2E496"/>
    <w:lvl w:ilvl="0" w:tplc="15D26EB4">
      <w:start w:val="1"/>
      <w:numFmt w:val="upperRoman"/>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410E2"/>
    <w:multiLevelType w:val="hybridMultilevel"/>
    <w:tmpl w:val="A3CA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A09F8"/>
    <w:multiLevelType w:val="hybridMultilevel"/>
    <w:tmpl w:val="DCA2ED90"/>
    <w:lvl w:ilvl="0" w:tplc="2700AA5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B27735"/>
    <w:multiLevelType w:val="hybridMultilevel"/>
    <w:tmpl w:val="05C496C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2">
    <w:nsid w:val="3A452F9B"/>
    <w:multiLevelType w:val="hybridMultilevel"/>
    <w:tmpl w:val="AB78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620D8"/>
    <w:multiLevelType w:val="hybridMultilevel"/>
    <w:tmpl w:val="783E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DA5149A"/>
    <w:multiLevelType w:val="hybridMultilevel"/>
    <w:tmpl w:val="D63E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32AC8"/>
    <w:multiLevelType w:val="hybridMultilevel"/>
    <w:tmpl w:val="8FF2CD1A"/>
    <w:lvl w:ilvl="0" w:tplc="00004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EB2287"/>
    <w:multiLevelType w:val="hybridMultilevel"/>
    <w:tmpl w:val="9E8024BA"/>
    <w:lvl w:ilvl="0" w:tplc="4DD08338">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567E10"/>
    <w:multiLevelType w:val="hybridMultilevel"/>
    <w:tmpl w:val="2F4CD0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590A28F0"/>
    <w:multiLevelType w:val="hybridMultilevel"/>
    <w:tmpl w:val="D2D82EE6"/>
    <w:lvl w:ilvl="0" w:tplc="02E8E49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E2A337D"/>
    <w:multiLevelType w:val="hybridMultilevel"/>
    <w:tmpl w:val="8FF2CD1A"/>
    <w:lvl w:ilvl="0" w:tplc="00004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9B7E67"/>
    <w:multiLevelType w:val="hybridMultilevel"/>
    <w:tmpl w:val="EF7E67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E4A30"/>
    <w:multiLevelType w:val="hybridMultilevel"/>
    <w:tmpl w:val="9DCE7E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65E5592"/>
    <w:multiLevelType w:val="hybridMultilevel"/>
    <w:tmpl w:val="2F1242D4"/>
    <w:lvl w:ilvl="0" w:tplc="15D26EB4">
      <w:start w:val="1"/>
      <w:numFmt w:val="upperRoman"/>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22"/>
  </w:num>
  <w:num w:numId="4">
    <w:abstractNumId w:val="8"/>
  </w:num>
  <w:num w:numId="5">
    <w:abstractNumId w:val="12"/>
  </w:num>
  <w:num w:numId="6">
    <w:abstractNumId w:val="3"/>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6"/>
  </w:num>
  <w:num w:numId="11">
    <w:abstractNumId w:val="20"/>
  </w:num>
  <w:num w:numId="12">
    <w:abstractNumId w:val="7"/>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1"/>
  </w:num>
  <w:num w:numId="19">
    <w:abstractNumId w:val="18"/>
  </w:num>
  <w:num w:numId="20">
    <w:abstractNumId w:val="15"/>
  </w:num>
  <w:num w:numId="21">
    <w:abstractNumId w:val="14"/>
  </w:num>
  <w:num w:numId="22">
    <w:abstractNumId w:val="19"/>
  </w:num>
  <w:num w:numId="23">
    <w:abstractNumId w:val="13"/>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Wyman">
    <w15:presenceInfo w15:providerId="AD" w15:userId="S-1-5-21-299502267-1482476501-1417001333-24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66"/>
    <w:rsid w:val="000001BB"/>
    <w:rsid w:val="0000280B"/>
    <w:rsid w:val="0000701E"/>
    <w:rsid w:val="00013C3F"/>
    <w:rsid w:val="00023D3D"/>
    <w:rsid w:val="000245F6"/>
    <w:rsid w:val="00030B47"/>
    <w:rsid w:val="00032878"/>
    <w:rsid w:val="000344DD"/>
    <w:rsid w:val="000375E0"/>
    <w:rsid w:val="00040AB6"/>
    <w:rsid w:val="00057DE6"/>
    <w:rsid w:val="00066B0C"/>
    <w:rsid w:val="000740DD"/>
    <w:rsid w:val="00076D36"/>
    <w:rsid w:val="00076F8D"/>
    <w:rsid w:val="00084CA1"/>
    <w:rsid w:val="00084FE6"/>
    <w:rsid w:val="0009033E"/>
    <w:rsid w:val="000946C0"/>
    <w:rsid w:val="00097823"/>
    <w:rsid w:val="000A1DFE"/>
    <w:rsid w:val="000B2D85"/>
    <w:rsid w:val="000B41A4"/>
    <w:rsid w:val="000C2008"/>
    <w:rsid w:val="000C2946"/>
    <w:rsid w:val="000E1BC9"/>
    <w:rsid w:val="000E6514"/>
    <w:rsid w:val="000F51D9"/>
    <w:rsid w:val="000F7410"/>
    <w:rsid w:val="00106C2C"/>
    <w:rsid w:val="00106E4B"/>
    <w:rsid w:val="001078A0"/>
    <w:rsid w:val="00113045"/>
    <w:rsid w:val="001142B0"/>
    <w:rsid w:val="00115260"/>
    <w:rsid w:val="00123388"/>
    <w:rsid w:val="0012571C"/>
    <w:rsid w:val="00126582"/>
    <w:rsid w:val="00136FF5"/>
    <w:rsid w:val="00137135"/>
    <w:rsid w:val="00137D89"/>
    <w:rsid w:val="00157523"/>
    <w:rsid w:val="00170502"/>
    <w:rsid w:val="00177605"/>
    <w:rsid w:val="001817A0"/>
    <w:rsid w:val="00184CCA"/>
    <w:rsid w:val="001A1EC1"/>
    <w:rsid w:val="001A3C72"/>
    <w:rsid w:val="001A4A16"/>
    <w:rsid w:val="001A5661"/>
    <w:rsid w:val="001A5882"/>
    <w:rsid w:val="001A5A0B"/>
    <w:rsid w:val="001B2EFF"/>
    <w:rsid w:val="001B48E0"/>
    <w:rsid w:val="001B5C89"/>
    <w:rsid w:val="001C2393"/>
    <w:rsid w:val="001C4B7A"/>
    <w:rsid w:val="001C6321"/>
    <w:rsid w:val="001C693F"/>
    <w:rsid w:val="001D659E"/>
    <w:rsid w:val="001E07DE"/>
    <w:rsid w:val="001E306E"/>
    <w:rsid w:val="001E33A9"/>
    <w:rsid w:val="001F07EE"/>
    <w:rsid w:val="001F4BE1"/>
    <w:rsid w:val="00202080"/>
    <w:rsid w:val="002020C4"/>
    <w:rsid w:val="00203657"/>
    <w:rsid w:val="002039B0"/>
    <w:rsid w:val="0020566B"/>
    <w:rsid w:val="0020795C"/>
    <w:rsid w:val="002120AA"/>
    <w:rsid w:val="002157A3"/>
    <w:rsid w:val="00215AAC"/>
    <w:rsid w:val="00225E05"/>
    <w:rsid w:val="00246DE6"/>
    <w:rsid w:val="00257A7D"/>
    <w:rsid w:val="002651C8"/>
    <w:rsid w:val="002668F1"/>
    <w:rsid w:val="00266A29"/>
    <w:rsid w:val="002805AA"/>
    <w:rsid w:val="0028568D"/>
    <w:rsid w:val="002A355C"/>
    <w:rsid w:val="002A7E24"/>
    <w:rsid w:val="002B0095"/>
    <w:rsid w:val="002B133B"/>
    <w:rsid w:val="002B22E3"/>
    <w:rsid w:val="002B2DEF"/>
    <w:rsid w:val="002B31D3"/>
    <w:rsid w:val="002B3534"/>
    <w:rsid w:val="002B3884"/>
    <w:rsid w:val="002C1CEA"/>
    <w:rsid w:val="002C2CBA"/>
    <w:rsid w:val="002C6CE4"/>
    <w:rsid w:val="002D1DB6"/>
    <w:rsid w:val="002E0279"/>
    <w:rsid w:val="002E1311"/>
    <w:rsid w:val="002E1FAB"/>
    <w:rsid w:val="002E2863"/>
    <w:rsid w:val="002F7203"/>
    <w:rsid w:val="00303426"/>
    <w:rsid w:val="00316B55"/>
    <w:rsid w:val="00320FB8"/>
    <w:rsid w:val="003324F5"/>
    <w:rsid w:val="003331A7"/>
    <w:rsid w:val="00336934"/>
    <w:rsid w:val="00341BE4"/>
    <w:rsid w:val="00344EB3"/>
    <w:rsid w:val="003450E7"/>
    <w:rsid w:val="00355735"/>
    <w:rsid w:val="00357665"/>
    <w:rsid w:val="003607A9"/>
    <w:rsid w:val="0036359C"/>
    <w:rsid w:val="00367B29"/>
    <w:rsid w:val="00372AF9"/>
    <w:rsid w:val="00381BD8"/>
    <w:rsid w:val="003A1FAE"/>
    <w:rsid w:val="003A4753"/>
    <w:rsid w:val="003B0029"/>
    <w:rsid w:val="003B1874"/>
    <w:rsid w:val="003B221B"/>
    <w:rsid w:val="003B3192"/>
    <w:rsid w:val="003B488B"/>
    <w:rsid w:val="003B653C"/>
    <w:rsid w:val="003C465F"/>
    <w:rsid w:val="003C7D77"/>
    <w:rsid w:val="003E169E"/>
    <w:rsid w:val="003E3683"/>
    <w:rsid w:val="003E4F99"/>
    <w:rsid w:val="003F318F"/>
    <w:rsid w:val="003F7CDA"/>
    <w:rsid w:val="004063D6"/>
    <w:rsid w:val="00410CE1"/>
    <w:rsid w:val="00412676"/>
    <w:rsid w:val="004160A8"/>
    <w:rsid w:val="00421BFF"/>
    <w:rsid w:val="00430E37"/>
    <w:rsid w:val="00431D5C"/>
    <w:rsid w:val="004420DD"/>
    <w:rsid w:val="00443502"/>
    <w:rsid w:val="00446ADD"/>
    <w:rsid w:val="004537C1"/>
    <w:rsid w:val="00455549"/>
    <w:rsid w:val="004652A8"/>
    <w:rsid w:val="00465EC4"/>
    <w:rsid w:val="00466DA3"/>
    <w:rsid w:val="0047136B"/>
    <w:rsid w:val="004716C6"/>
    <w:rsid w:val="004747B6"/>
    <w:rsid w:val="00476E02"/>
    <w:rsid w:val="00483F12"/>
    <w:rsid w:val="00486A27"/>
    <w:rsid w:val="004873B8"/>
    <w:rsid w:val="004923AD"/>
    <w:rsid w:val="004A44D7"/>
    <w:rsid w:val="004A5883"/>
    <w:rsid w:val="004B293D"/>
    <w:rsid w:val="004B5112"/>
    <w:rsid w:val="004B57C8"/>
    <w:rsid w:val="004C098D"/>
    <w:rsid w:val="004D0855"/>
    <w:rsid w:val="004D1E3F"/>
    <w:rsid w:val="004D4857"/>
    <w:rsid w:val="004D7339"/>
    <w:rsid w:val="004E39EB"/>
    <w:rsid w:val="004E6EDA"/>
    <w:rsid w:val="004E6F0E"/>
    <w:rsid w:val="004F5E75"/>
    <w:rsid w:val="00500691"/>
    <w:rsid w:val="005011BA"/>
    <w:rsid w:val="00501DF0"/>
    <w:rsid w:val="00502A24"/>
    <w:rsid w:val="00503D3A"/>
    <w:rsid w:val="005063AB"/>
    <w:rsid w:val="00510B95"/>
    <w:rsid w:val="005159E2"/>
    <w:rsid w:val="005163AE"/>
    <w:rsid w:val="00523319"/>
    <w:rsid w:val="00544A5B"/>
    <w:rsid w:val="00544F87"/>
    <w:rsid w:val="00551F20"/>
    <w:rsid w:val="00562BF0"/>
    <w:rsid w:val="00564D4C"/>
    <w:rsid w:val="00570966"/>
    <w:rsid w:val="005720E9"/>
    <w:rsid w:val="00585F3E"/>
    <w:rsid w:val="00590874"/>
    <w:rsid w:val="005A39B1"/>
    <w:rsid w:val="005A58F0"/>
    <w:rsid w:val="005B2BD6"/>
    <w:rsid w:val="005B4B2B"/>
    <w:rsid w:val="005C0399"/>
    <w:rsid w:val="005C5462"/>
    <w:rsid w:val="005C690D"/>
    <w:rsid w:val="005D0111"/>
    <w:rsid w:val="005E2E29"/>
    <w:rsid w:val="005F2CBA"/>
    <w:rsid w:val="005F44CD"/>
    <w:rsid w:val="006066EB"/>
    <w:rsid w:val="0061137C"/>
    <w:rsid w:val="0061226F"/>
    <w:rsid w:val="00614BC3"/>
    <w:rsid w:val="00622178"/>
    <w:rsid w:val="00624C3D"/>
    <w:rsid w:val="00626123"/>
    <w:rsid w:val="00633458"/>
    <w:rsid w:val="00651077"/>
    <w:rsid w:val="0066075C"/>
    <w:rsid w:val="00661E28"/>
    <w:rsid w:val="006641DA"/>
    <w:rsid w:val="006650F2"/>
    <w:rsid w:val="00671AC8"/>
    <w:rsid w:val="00676821"/>
    <w:rsid w:val="00686D03"/>
    <w:rsid w:val="006965FC"/>
    <w:rsid w:val="00696EE3"/>
    <w:rsid w:val="006A0C5B"/>
    <w:rsid w:val="006C06C1"/>
    <w:rsid w:val="006C5306"/>
    <w:rsid w:val="006D05BF"/>
    <w:rsid w:val="006D27FC"/>
    <w:rsid w:val="006E130D"/>
    <w:rsid w:val="006E4739"/>
    <w:rsid w:val="006E5197"/>
    <w:rsid w:val="006E7675"/>
    <w:rsid w:val="006F46D1"/>
    <w:rsid w:val="006F60EB"/>
    <w:rsid w:val="00701805"/>
    <w:rsid w:val="00711EBA"/>
    <w:rsid w:val="00713341"/>
    <w:rsid w:val="0072436E"/>
    <w:rsid w:val="007333D0"/>
    <w:rsid w:val="007344BA"/>
    <w:rsid w:val="007427E0"/>
    <w:rsid w:val="00744294"/>
    <w:rsid w:val="007504C3"/>
    <w:rsid w:val="00755EB7"/>
    <w:rsid w:val="007627D2"/>
    <w:rsid w:val="00764461"/>
    <w:rsid w:val="007723F3"/>
    <w:rsid w:val="00774E72"/>
    <w:rsid w:val="007750EC"/>
    <w:rsid w:val="0077574B"/>
    <w:rsid w:val="00776086"/>
    <w:rsid w:val="007A5A02"/>
    <w:rsid w:val="007B08E7"/>
    <w:rsid w:val="007E6083"/>
    <w:rsid w:val="007F0C14"/>
    <w:rsid w:val="007F13EA"/>
    <w:rsid w:val="007F2307"/>
    <w:rsid w:val="007F3355"/>
    <w:rsid w:val="007F43EE"/>
    <w:rsid w:val="008050E7"/>
    <w:rsid w:val="00810571"/>
    <w:rsid w:val="00814D49"/>
    <w:rsid w:val="00822685"/>
    <w:rsid w:val="0082276E"/>
    <w:rsid w:val="008238CF"/>
    <w:rsid w:val="00834E0C"/>
    <w:rsid w:val="008404D8"/>
    <w:rsid w:val="00841608"/>
    <w:rsid w:val="00842349"/>
    <w:rsid w:val="008431AD"/>
    <w:rsid w:val="00846F26"/>
    <w:rsid w:val="00854264"/>
    <w:rsid w:val="00854330"/>
    <w:rsid w:val="00863F1E"/>
    <w:rsid w:val="0086720C"/>
    <w:rsid w:val="00874B3F"/>
    <w:rsid w:val="008778C7"/>
    <w:rsid w:val="00880996"/>
    <w:rsid w:val="00886367"/>
    <w:rsid w:val="00892638"/>
    <w:rsid w:val="008A7584"/>
    <w:rsid w:val="008C480B"/>
    <w:rsid w:val="008C5FE3"/>
    <w:rsid w:val="008E41CE"/>
    <w:rsid w:val="008F1881"/>
    <w:rsid w:val="008F6B2D"/>
    <w:rsid w:val="00903FCA"/>
    <w:rsid w:val="00913254"/>
    <w:rsid w:val="00923EB2"/>
    <w:rsid w:val="00935B97"/>
    <w:rsid w:val="009421F0"/>
    <w:rsid w:val="00943319"/>
    <w:rsid w:val="009602BA"/>
    <w:rsid w:val="009604E4"/>
    <w:rsid w:val="00963BA2"/>
    <w:rsid w:val="009656A4"/>
    <w:rsid w:val="009730A6"/>
    <w:rsid w:val="00975612"/>
    <w:rsid w:val="00980CDA"/>
    <w:rsid w:val="00982ADD"/>
    <w:rsid w:val="00985486"/>
    <w:rsid w:val="00991192"/>
    <w:rsid w:val="009B3B7A"/>
    <w:rsid w:val="009C0801"/>
    <w:rsid w:val="009C0A25"/>
    <w:rsid w:val="009C112E"/>
    <w:rsid w:val="009C3EDF"/>
    <w:rsid w:val="009C7541"/>
    <w:rsid w:val="009E1A7B"/>
    <w:rsid w:val="009E7223"/>
    <w:rsid w:val="00A01E33"/>
    <w:rsid w:val="00A0634F"/>
    <w:rsid w:val="00A24D22"/>
    <w:rsid w:val="00A258F5"/>
    <w:rsid w:val="00A3612A"/>
    <w:rsid w:val="00A415B4"/>
    <w:rsid w:val="00A42FA1"/>
    <w:rsid w:val="00A5582A"/>
    <w:rsid w:val="00A64BDC"/>
    <w:rsid w:val="00A705AF"/>
    <w:rsid w:val="00A71E2C"/>
    <w:rsid w:val="00A74726"/>
    <w:rsid w:val="00A879A1"/>
    <w:rsid w:val="00A9305E"/>
    <w:rsid w:val="00AA011C"/>
    <w:rsid w:val="00AA56D0"/>
    <w:rsid w:val="00AB3C01"/>
    <w:rsid w:val="00AC233C"/>
    <w:rsid w:val="00AC3991"/>
    <w:rsid w:val="00AD09B3"/>
    <w:rsid w:val="00AD158F"/>
    <w:rsid w:val="00AD1AF8"/>
    <w:rsid w:val="00AD743B"/>
    <w:rsid w:val="00B01965"/>
    <w:rsid w:val="00B03049"/>
    <w:rsid w:val="00B12B90"/>
    <w:rsid w:val="00B13766"/>
    <w:rsid w:val="00B20B5E"/>
    <w:rsid w:val="00B275C3"/>
    <w:rsid w:val="00B2771F"/>
    <w:rsid w:val="00B341DB"/>
    <w:rsid w:val="00B4210B"/>
    <w:rsid w:val="00B52CD8"/>
    <w:rsid w:val="00B53A12"/>
    <w:rsid w:val="00B6005C"/>
    <w:rsid w:val="00B658B3"/>
    <w:rsid w:val="00B67D00"/>
    <w:rsid w:val="00B71802"/>
    <w:rsid w:val="00B82B2F"/>
    <w:rsid w:val="00B83252"/>
    <w:rsid w:val="00B847DF"/>
    <w:rsid w:val="00B903DE"/>
    <w:rsid w:val="00B94AFB"/>
    <w:rsid w:val="00B9765C"/>
    <w:rsid w:val="00BA3C0F"/>
    <w:rsid w:val="00BC0AB3"/>
    <w:rsid w:val="00BC3813"/>
    <w:rsid w:val="00BC6065"/>
    <w:rsid w:val="00BC65D5"/>
    <w:rsid w:val="00BD7243"/>
    <w:rsid w:val="00BD7A19"/>
    <w:rsid w:val="00BE1A1C"/>
    <w:rsid w:val="00BE4A87"/>
    <w:rsid w:val="00BE6EF3"/>
    <w:rsid w:val="00BE7265"/>
    <w:rsid w:val="00BE73D2"/>
    <w:rsid w:val="00BF1830"/>
    <w:rsid w:val="00BF2975"/>
    <w:rsid w:val="00C1043F"/>
    <w:rsid w:val="00C31476"/>
    <w:rsid w:val="00C31E34"/>
    <w:rsid w:val="00C32BC6"/>
    <w:rsid w:val="00C32DBD"/>
    <w:rsid w:val="00C41640"/>
    <w:rsid w:val="00C42309"/>
    <w:rsid w:val="00C46D97"/>
    <w:rsid w:val="00C46DB7"/>
    <w:rsid w:val="00C50E0F"/>
    <w:rsid w:val="00C54531"/>
    <w:rsid w:val="00C5545C"/>
    <w:rsid w:val="00C628A6"/>
    <w:rsid w:val="00C671A4"/>
    <w:rsid w:val="00C67C2E"/>
    <w:rsid w:val="00C71D5A"/>
    <w:rsid w:val="00C75549"/>
    <w:rsid w:val="00C76326"/>
    <w:rsid w:val="00C76CED"/>
    <w:rsid w:val="00C8375A"/>
    <w:rsid w:val="00C8615E"/>
    <w:rsid w:val="00CA27F2"/>
    <w:rsid w:val="00CB32EA"/>
    <w:rsid w:val="00CB6DFA"/>
    <w:rsid w:val="00CC523E"/>
    <w:rsid w:val="00CE6980"/>
    <w:rsid w:val="00CE6A50"/>
    <w:rsid w:val="00CE6FD9"/>
    <w:rsid w:val="00CF2671"/>
    <w:rsid w:val="00D022CC"/>
    <w:rsid w:val="00D03C02"/>
    <w:rsid w:val="00D111A2"/>
    <w:rsid w:val="00D2740E"/>
    <w:rsid w:val="00D3557B"/>
    <w:rsid w:val="00D40832"/>
    <w:rsid w:val="00D51544"/>
    <w:rsid w:val="00D527B5"/>
    <w:rsid w:val="00D528F5"/>
    <w:rsid w:val="00D57E7F"/>
    <w:rsid w:val="00D618B9"/>
    <w:rsid w:val="00D63818"/>
    <w:rsid w:val="00D63C79"/>
    <w:rsid w:val="00D651F6"/>
    <w:rsid w:val="00D72844"/>
    <w:rsid w:val="00D72EB5"/>
    <w:rsid w:val="00D90EBA"/>
    <w:rsid w:val="00DA11EB"/>
    <w:rsid w:val="00DB408A"/>
    <w:rsid w:val="00DC379A"/>
    <w:rsid w:val="00DC426E"/>
    <w:rsid w:val="00DC6DF4"/>
    <w:rsid w:val="00DC7F29"/>
    <w:rsid w:val="00DD1E82"/>
    <w:rsid w:val="00DD61F4"/>
    <w:rsid w:val="00DD70A0"/>
    <w:rsid w:val="00DE4408"/>
    <w:rsid w:val="00DE520A"/>
    <w:rsid w:val="00DF009A"/>
    <w:rsid w:val="00DF1A59"/>
    <w:rsid w:val="00DF42BE"/>
    <w:rsid w:val="00DF61C4"/>
    <w:rsid w:val="00DF6A7A"/>
    <w:rsid w:val="00E02FB6"/>
    <w:rsid w:val="00E04259"/>
    <w:rsid w:val="00E172E4"/>
    <w:rsid w:val="00E175DC"/>
    <w:rsid w:val="00E2128A"/>
    <w:rsid w:val="00E24F58"/>
    <w:rsid w:val="00E2534C"/>
    <w:rsid w:val="00E31365"/>
    <w:rsid w:val="00E35659"/>
    <w:rsid w:val="00E35E77"/>
    <w:rsid w:val="00E370CF"/>
    <w:rsid w:val="00E40417"/>
    <w:rsid w:val="00E515E5"/>
    <w:rsid w:val="00E53789"/>
    <w:rsid w:val="00E53D76"/>
    <w:rsid w:val="00E54B9D"/>
    <w:rsid w:val="00E5636B"/>
    <w:rsid w:val="00E565CC"/>
    <w:rsid w:val="00E84BE2"/>
    <w:rsid w:val="00E90D90"/>
    <w:rsid w:val="00E91352"/>
    <w:rsid w:val="00E92871"/>
    <w:rsid w:val="00E954BD"/>
    <w:rsid w:val="00E96A90"/>
    <w:rsid w:val="00EA2174"/>
    <w:rsid w:val="00EA2A1F"/>
    <w:rsid w:val="00EA575F"/>
    <w:rsid w:val="00EB0E8F"/>
    <w:rsid w:val="00EB0FF1"/>
    <w:rsid w:val="00EB2723"/>
    <w:rsid w:val="00EB3181"/>
    <w:rsid w:val="00EB58D9"/>
    <w:rsid w:val="00EC7B75"/>
    <w:rsid w:val="00ED0DFE"/>
    <w:rsid w:val="00ED116A"/>
    <w:rsid w:val="00ED2841"/>
    <w:rsid w:val="00ED70D2"/>
    <w:rsid w:val="00EF086C"/>
    <w:rsid w:val="00EF2D73"/>
    <w:rsid w:val="00EF56E5"/>
    <w:rsid w:val="00EF65E0"/>
    <w:rsid w:val="00EF6A4C"/>
    <w:rsid w:val="00F053CB"/>
    <w:rsid w:val="00F0613C"/>
    <w:rsid w:val="00F0743D"/>
    <w:rsid w:val="00F164BC"/>
    <w:rsid w:val="00F177B2"/>
    <w:rsid w:val="00F17DBF"/>
    <w:rsid w:val="00F25BC2"/>
    <w:rsid w:val="00F30AE6"/>
    <w:rsid w:val="00F36024"/>
    <w:rsid w:val="00F45147"/>
    <w:rsid w:val="00F47772"/>
    <w:rsid w:val="00F72D57"/>
    <w:rsid w:val="00F746E4"/>
    <w:rsid w:val="00F74A9E"/>
    <w:rsid w:val="00F81377"/>
    <w:rsid w:val="00F81D9F"/>
    <w:rsid w:val="00F81F85"/>
    <w:rsid w:val="00F9141D"/>
    <w:rsid w:val="00F93D2E"/>
    <w:rsid w:val="00F94EF4"/>
    <w:rsid w:val="00FA06CC"/>
    <w:rsid w:val="00FA5448"/>
    <w:rsid w:val="00FA5DC6"/>
    <w:rsid w:val="00FA7971"/>
    <w:rsid w:val="00FC511F"/>
    <w:rsid w:val="00FC5BED"/>
    <w:rsid w:val="00FC75F5"/>
    <w:rsid w:val="00FD16CF"/>
    <w:rsid w:val="00FD2372"/>
    <w:rsid w:val="00FD5AD1"/>
    <w:rsid w:val="00FE0DD2"/>
    <w:rsid w:val="00FF1636"/>
    <w:rsid w:val="00FF2CB2"/>
    <w:rsid w:val="00FF2F4F"/>
    <w:rsid w:val="00FF40CC"/>
    <w:rsid w:val="00FF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556B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66"/>
    <w:pPr>
      <w:ind w:left="720"/>
      <w:contextualSpacing/>
    </w:pPr>
  </w:style>
  <w:style w:type="paragraph" w:styleId="BalloonText">
    <w:name w:val="Balloon Text"/>
    <w:basedOn w:val="Normal"/>
    <w:link w:val="BalloonTextChar"/>
    <w:uiPriority w:val="99"/>
    <w:semiHidden/>
    <w:rsid w:val="006E47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4739"/>
    <w:rPr>
      <w:rFonts w:ascii="Tahoma" w:hAnsi="Tahoma" w:cs="Tahoma"/>
      <w:sz w:val="16"/>
      <w:szCs w:val="16"/>
    </w:rPr>
  </w:style>
  <w:style w:type="paragraph" w:styleId="Header">
    <w:name w:val="header"/>
    <w:basedOn w:val="Normal"/>
    <w:link w:val="HeaderChar"/>
    <w:uiPriority w:val="99"/>
    <w:rsid w:val="0000701E"/>
    <w:pPr>
      <w:tabs>
        <w:tab w:val="center" w:pos="4680"/>
        <w:tab w:val="right" w:pos="9360"/>
      </w:tabs>
      <w:spacing w:after="0" w:line="240" w:lineRule="auto"/>
    </w:pPr>
  </w:style>
  <w:style w:type="character" w:customStyle="1" w:styleId="HeaderChar">
    <w:name w:val="Header Char"/>
    <w:link w:val="Header"/>
    <w:uiPriority w:val="99"/>
    <w:locked/>
    <w:rsid w:val="0000701E"/>
    <w:rPr>
      <w:rFonts w:cs="Times New Roman"/>
    </w:rPr>
  </w:style>
  <w:style w:type="paragraph" w:styleId="Footer">
    <w:name w:val="footer"/>
    <w:basedOn w:val="Normal"/>
    <w:link w:val="FooterChar"/>
    <w:uiPriority w:val="99"/>
    <w:rsid w:val="0000701E"/>
    <w:pPr>
      <w:tabs>
        <w:tab w:val="center" w:pos="4680"/>
        <w:tab w:val="right" w:pos="9360"/>
      </w:tabs>
      <w:spacing w:after="0" w:line="240" w:lineRule="auto"/>
    </w:pPr>
  </w:style>
  <w:style w:type="character" w:customStyle="1" w:styleId="FooterChar">
    <w:name w:val="Footer Char"/>
    <w:link w:val="Footer"/>
    <w:uiPriority w:val="99"/>
    <w:locked/>
    <w:rsid w:val="0000701E"/>
    <w:rPr>
      <w:rFonts w:cs="Times New Roman"/>
    </w:rPr>
  </w:style>
  <w:style w:type="paragraph" w:styleId="EndnoteText">
    <w:name w:val="endnote text"/>
    <w:basedOn w:val="Normal"/>
    <w:link w:val="EndnoteTextChar"/>
    <w:uiPriority w:val="99"/>
    <w:semiHidden/>
    <w:rsid w:val="00764461"/>
    <w:pPr>
      <w:spacing w:after="0" w:line="240" w:lineRule="auto"/>
    </w:pPr>
    <w:rPr>
      <w:sz w:val="20"/>
      <w:szCs w:val="20"/>
    </w:rPr>
  </w:style>
  <w:style w:type="character" w:customStyle="1" w:styleId="EndnoteTextChar">
    <w:name w:val="Endnote Text Char"/>
    <w:link w:val="EndnoteText"/>
    <w:uiPriority w:val="99"/>
    <w:semiHidden/>
    <w:locked/>
    <w:rsid w:val="00764461"/>
    <w:rPr>
      <w:rFonts w:cs="Times New Roman"/>
      <w:sz w:val="20"/>
      <w:szCs w:val="20"/>
    </w:rPr>
  </w:style>
  <w:style w:type="character" w:styleId="EndnoteReference">
    <w:name w:val="endnote reference"/>
    <w:uiPriority w:val="99"/>
    <w:semiHidden/>
    <w:rsid w:val="00764461"/>
    <w:rPr>
      <w:rFonts w:cs="Times New Roman"/>
      <w:vertAlign w:val="superscript"/>
    </w:rPr>
  </w:style>
  <w:style w:type="paragraph" w:styleId="FootnoteText">
    <w:name w:val="footnote text"/>
    <w:basedOn w:val="Normal"/>
    <w:link w:val="FootnoteTextChar"/>
    <w:uiPriority w:val="99"/>
    <w:semiHidden/>
    <w:rsid w:val="00764461"/>
    <w:pPr>
      <w:spacing w:after="0" w:line="240" w:lineRule="auto"/>
    </w:pPr>
    <w:rPr>
      <w:sz w:val="20"/>
      <w:szCs w:val="20"/>
    </w:rPr>
  </w:style>
  <w:style w:type="character" w:customStyle="1" w:styleId="FootnoteTextChar">
    <w:name w:val="Footnote Text Char"/>
    <w:link w:val="FootnoteText"/>
    <w:uiPriority w:val="99"/>
    <w:semiHidden/>
    <w:locked/>
    <w:rsid w:val="00764461"/>
    <w:rPr>
      <w:rFonts w:cs="Times New Roman"/>
      <w:sz w:val="20"/>
      <w:szCs w:val="20"/>
    </w:rPr>
  </w:style>
  <w:style w:type="character" w:styleId="FootnoteReference">
    <w:name w:val="footnote reference"/>
    <w:uiPriority w:val="99"/>
    <w:semiHidden/>
    <w:rsid w:val="00764461"/>
    <w:rPr>
      <w:rFonts w:cs="Times New Roman"/>
      <w:vertAlign w:val="superscript"/>
    </w:rPr>
  </w:style>
  <w:style w:type="table" w:styleId="TableGrid">
    <w:name w:val="Table Grid"/>
    <w:basedOn w:val="TableNormal"/>
    <w:uiPriority w:val="99"/>
    <w:rsid w:val="0077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450E7"/>
    <w:rPr>
      <w:rFonts w:cs="Times New Roman"/>
      <w:color w:val="0000FF"/>
      <w:u w:val="single"/>
    </w:rPr>
  </w:style>
  <w:style w:type="character" w:styleId="CommentReference">
    <w:name w:val="annotation reference"/>
    <w:uiPriority w:val="99"/>
    <w:semiHidden/>
    <w:rsid w:val="00863F1E"/>
    <w:rPr>
      <w:rFonts w:cs="Times New Roman"/>
      <w:sz w:val="16"/>
      <w:szCs w:val="16"/>
    </w:rPr>
  </w:style>
  <w:style w:type="paragraph" w:styleId="CommentText">
    <w:name w:val="annotation text"/>
    <w:basedOn w:val="Normal"/>
    <w:link w:val="CommentTextChar"/>
    <w:uiPriority w:val="99"/>
    <w:semiHidden/>
    <w:rsid w:val="00863F1E"/>
    <w:pPr>
      <w:spacing w:line="240" w:lineRule="auto"/>
    </w:pPr>
    <w:rPr>
      <w:sz w:val="20"/>
      <w:szCs w:val="20"/>
    </w:rPr>
  </w:style>
  <w:style w:type="character" w:customStyle="1" w:styleId="CommentTextChar">
    <w:name w:val="Comment Text Char"/>
    <w:link w:val="CommentText"/>
    <w:uiPriority w:val="99"/>
    <w:semiHidden/>
    <w:locked/>
    <w:rsid w:val="00863F1E"/>
    <w:rPr>
      <w:rFonts w:cs="Times New Roman"/>
      <w:sz w:val="20"/>
      <w:szCs w:val="20"/>
    </w:rPr>
  </w:style>
  <w:style w:type="paragraph" w:styleId="CommentSubject">
    <w:name w:val="annotation subject"/>
    <w:basedOn w:val="CommentText"/>
    <w:next w:val="CommentText"/>
    <w:link w:val="CommentSubjectChar"/>
    <w:uiPriority w:val="99"/>
    <w:semiHidden/>
    <w:rsid w:val="00863F1E"/>
    <w:rPr>
      <w:b/>
      <w:bCs/>
    </w:rPr>
  </w:style>
  <w:style w:type="character" w:customStyle="1" w:styleId="CommentSubjectChar">
    <w:name w:val="Comment Subject Char"/>
    <w:link w:val="CommentSubject"/>
    <w:uiPriority w:val="99"/>
    <w:semiHidden/>
    <w:locked/>
    <w:rsid w:val="00863F1E"/>
    <w:rPr>
      <w:rFonts w:cs="Times New Roman"/>
      <w:b/>
      <w:bCs/>
      <w:sz w:val="20"/>
      <w:szCs w:val="20"/>
    </w:rPr>
  </w:style>
  <w:style w:type="paragraph" w:styleId="Revision">
    <w:name w:val="Revision"/>
    <w:hidden/>
    <w:uiPriority w:val="99"/>
    <w:semiHidden/>
    <w:rsid w:val="00A01E33"/>
    <w:rPr>
      <w:sz w:val="22"/>
      <w:szCs w:val="22"/>
    </w:rPr>
  </w:style>
  <w:style w:type="paragraph" w:styleId="BodyText">
    <w:name w:val="Body Text"/>
    <w:basedOn w:val="Normal"/>
    <w:link w:val="BodyTextChar"/>
    <w:rsid w:val="00F72D57"/>
    <w:pPr>
      <w:widowControl w:val="0"/>
      <w:spacing w:after="0" w:line="240" w:lineRule="auto"/>
    </w:pPr>
    <w:rPr>
      <w:rFonts w:ascii="Arial" w:hAnsi="Arial"/>
      <w:sz w:val="20"/>
      <w:szCs w:val="20"/>
    </w:rPr>
  </w:style>
  <w:style w:type="character" w:customStyle="1" w:styleId="BodyTextChar">
    <w:name w:val="Body Text Char"/>
    <w:link w:val="BodyText"/>
    <w:rsid w:val="00F72D57"/>
    <w:rPr>
      <w:rFonts w:ascii="Arial" w:hAnsi="Arial"/>
      <w:sz w:val="20"/>
      <w:szCs w:val="20"/>
    </w:rPr>
  </w:style>
  <w:style w:type="paragraph" w:styleId="NormalWeb">
    <w:name w:val="Normal (Web)"/>
    <w:basedOn w:val="Normal"/>
    <w:uiPriority w:val="99"/>
    <w:unhideWhenUsed/>
    <w:rsid w:val="00BE7265"/>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DC37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66"/>
    <w:pPr>
      <w:ind w:left="720"/>
      <w:contextualSpacing/>
    </w:pPr>
  </w:style>
  <w:style w:type="paragraph" w:styleId="BalloonText">
    <w:name w:val="Balloon Text"/>
    <w:basedOn w:val="Normal"/>
    <w:link w:val="BalloonTextChar"/>
    <w:uiPriority w:val="99"/>
    <w:semiHidden/>
    <w:rsid w:val="006E47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4739"/>
    <w:rPr>
      <w:rFonts w:ascii="Tahoma" w:hAnsi="Tahoma" w:cs="Tahoma"/>
      <w:sz w:val="16"/>
      <w:szCs w:val="16"/>
    </w:rPr>
  </w:style>
  <w:style w:type="paragraph" w:styleId="Header">
    <w:name w:val="header"/>
    <w:basedOn w:val="Normal"/>
    <w:link w:val="HeaderChar"/>
    <w:uiPriority w:val="99"/>
    <w:rsid w:val="0000701E"/>
    <w:pPr>
      <w:tabs>
        <w:tab w:val="center" w:pos="4680"/>
        <w:tab w:val="right" w:pos="9360"/>
      </w:tabs>
      <w:spacing w:after="0" w:line="240" w:lineRule="auto"/>
    </w:pPr>
  </w:style>
  <w:style w:type="character" w:customStyle="1" w:styleId="HeaderChar">
    <w:name w:val="Header Char"/>
    <w:link w:val="Header"/>
    <w:uiPriority w:val="99"/>
    <w:locked/>
    <w:rsid w:val="0000701E"/>
    <w:rPr>
      <w:rFonts w:cs="Times New Roman"/>
    </w:rPr>
  </w:style>
  <w:style w:type="paragraph" w:styleId="Footer">
    <w:name w:val="footer"/>
    <w:basedOn w:val="Normal"/>
    <w:link w:val="FooterChar"/>
    <w:uiPriority w:val="99"/>
    <w:rsid w:val="0000701E"/>
    <w:pPr>
      <w:tabs>
        <w:tab w:val="center" w:pos="4680"/>
        <w:tab w:val="right" w:pos="9360"/>
      </w:tabs>
      <w:spacing w:after="0" w:line="240" w:lineRule="auto"/>
    </w:pPr>
  </w:style>
  <w:style w:type="character" w:customStyle="1" w:styleId="FooterChar">
    <w:name w:val="Footer Char"/>
    <w:link w:val="Footer"/>
    <w:uiPriority w:val="99"/>
    <w:locked/>
    <w:rsid w:val="0000701E"/>
    <w:rPr>
      <w:rFonts w:cs="Times New Roman"/>
    </w:rPr>
  </w:style>
  <w:style w:type="paragraph" w:styleId="EndnoteText">
    <w:name w:val="endnote text"/>
    <w:basedOn w:val="Normal"/>
    <w:link w:val="EndnoteTextChar"/>
    <w:uiPriority w:val="99"/>
    <w:semiHidden/>
    <w:rsid w:val="00764461"/>
    <w:pPr>
      <w:spacing w:after="0" w:line="240" w:lineRule="auto"/>
    </w:pPr>
    <w:rPr>
      <w:sz w:val="20"/>
      <w:szCs w:val="20"/>
    </w:rPr>
  </w:style>
  <w:style w:type="character" w:customStyle="1" w:styleId="EndnoteTextChar">
    <w:name w:val="Endnote Text Char"/>
    <w:link w:val="EndnoteText"/>
    <w:uiPriority w:val="99"/>
    <w:semiHidden/>
    <w:locked/>
    <w:rsid w:val="00764461"/>
    <w:rPr>
      <w:rFonts w:cs="Times New Roman"/>
      <w:sz w:val="20"/>
      <w:szCs w:val="20"/>
    </w:rPr>
  </w:style>
  <w:style w:type="character" w:styleId="EndnoteReference">
    <w:name w:val="endnote reference"/>
    <w:uiPriority w:val="99"/>
    <w:semiHidden/>
    <w:rsid w:val="00764461"/>
    <w:rPr>
      <w:rFonts w:cs="Times New Roman"/>
      <w:vertAlign w:val="superscript"/>
    </w:rPr>
  </w:style>
  <w:style w:type="paragraph" w:styleId="FootnoteText">
    <w:name w:val="footnote text"/>
    <w:basedOn w:val="Normal"/>
    <w:link w:val="FootnoteTextChar"/>
    <w:uiPriority w:val="99"/>
    <w:semiHidden/>
    <w:rsid w:val="00764461"/>
    <w:pPr>
      <w:spacing w:after="0" w:line="240" w:lineRule="auto"/>
    </w:pPr>
    <w:rPr>
      <w:sz w:val="20"/>
      <w:szCs w:val="20"/>
    </w:rPr>
  </w:style>
  <w:style w:type="character" w:customStyle="1" w:styleId="FootnoteTextChar">
    <w:name w:val="Footnote Text Char"/>
    <w:link w:val="FootnoteText"/>
    <w:uiPriority w:val="99"/>
    <w:semiHidden/>
    <w:locked/>
    <w:rsid w:val="00764461"/>
    <w:rPr>
      <w:rFonts w:cs="Times New Roman"/>
      <w:sz w:val="20"/>
      <w:szCs w:val="20"/>
    </w:rPr>
  </w:style>
  <w:style w:type="character" w:styleId="FootnoteReference">
    <w:name w:val="footnote reference"/>
    <w:uiPriority w:val="99"/>
    <w:semiHidden/>
    <w:rsid w:val="00764461"/>
    <w:rPr>
      <w:rFonts w:cs="Times New Roman"/>
      <w:vertAlign w:val="superscript"/>
    </w:rPr>
  </w:style>
  <w:style w:type="table" w:styleId="TableGrid">
    <w:name w:val="Table Grid"/>
    <w:basedOn w:val="TableNormal"/>
    <w:uiPriority w:val="99"/>
    <w:rsid w:val="0077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450E7"/>
    <w:rPr>
      <w:rFonts w:cs="Times New Roman"/>
      <w:color w:val="0000FF"/>
      <w:u w:val="single"/>
    </w:rPr>
  </w:style>
  <w:style w:type="character" w:styleId="CommentReference">
    <w:name w:val="annotation reference"/>
    <w:uiPriority w:val="99"/>
    <w:semiHidden/>
    <w:rsid w:val="00863F1E"/>
    <w:rPr>
      <w:rFonts w:cs="Times New Roman"/>
      <w:sz w:val="16"/>
      <w:szCs w:val="16"/>
    </w:rPr>
  </w:style>
  <w:style w:type="paragraph" w:styleId="CommentText">
    <w:name w:val="annotation text"/>
    <w:basedOn w:val="Normal"/>
    <w:link w:val="CommentTextChar"/>
    <w:uiPriority w:val="99"/>
    <w:semiHidden/>
    <w:rsid w:val="00863F1E"/>
    <w:pPr>
      <w:spacing w:line="240" w:lineRule="auto"/>
    </w:pPr>
    <w:rPr>
      <w:sz w:val="20"/>
      <w:szCs w:val="20"/>
    </w:rPr>
  </w:style>
  <w:style w:type="character" w:customStyle="1" w:styleId="CommentTextChar">
    <w:name w:val="Comment Text Char"/>
    <w:link w:val="CommentText"/>
    <w:uiPriority w:val="99"/>
    <w:semiHidden/>
    <w:locked/>
    <w:rsid w:val="00863F1E"/>
    <w:rPr>
      <w:rFonts w:cs="Times New Roman"/>
      <w:sz w:val="20"/>
      <w:szCs w:val="20"/>
    </w:rPr>
  </w:style>
  <w:style w:type="paragraph" w:styleId="CommentSubject">
    <w:name w:val="annotation subject"/>
    <w:basedOn w:val="CommentText"/>
    <w:next w:val="CommentText"/>
    <w:link w:val="CommentSubjectChar"/>
    <w:uiPriority w:val="99"/>
    <w:semiHidden/>
    <w:rsid w:val="00863F1E"/>
    <w:rPr>
      <w:b/>
      <w:bCs/>
    </w:rPr>
  </w:style>
  <w:style w:type="character" w:customStyle="1" w:styleId="CommentSubjectChar">
    <w:name w:val="Comment Subject Char"/>
    <w:link w:val="CommentSubject"/>
    <w:uiPriority w:val="99"/>
    <w:semiHidden/>
    <w:locked/>
    <w:rsid w:val="00863F1E"/>
    <w:rPr>
      <w:rFonts w:cs="Times New Roman"/>
      <w:b/>
      <w:bCs/>
      <w:sz w:val="20"/>
      <w:szCs w:val="20"/>
    </w:rPr>
  </w:style>
  <w:style w:type="paragraph" w:styleId="Revision">
    <w:name w:val="Revision"/>
    <w:hidden/>
    <w:uiPriority w:val="99"/>
    <w:semiHidden/>
    <w:rsid w:val="00A01E33"/>
    <w:rPr>
      <w:sz w:val="22"/>
      <w:szCs w:val="22"/>
    </w:rPr>
  </w:style>
  <w:style w:type="paragraph" w:styleId="BodyText">
    <w:name w:val="Body Text"/>
    <w:basedOn w:val="Normal"/>
    <w:link w:val="BodyTextChar"/>
    <w:rsid w:val="00F72D57"/>
    <w:pPr>
      <w:widowControl w:val="0"/>
      <w:spacing w:after="0" w:line="240" w:lineRule="auto"/>
    </w:pPr>
    <w:rPr>
      <w:rFonts w:ascii="Arial" w:hAnsi="Arial"/>
      <w:sz w:val="20"/>
      <w:szCs w:val="20"/>
    </w:rPr>
  </w:style>
  <w:style w:type="character" w:customStyle="1" w:styleId="BodyTextChar">
    <w:name w:val="Body Text Char"/>
    <w:link w:val="BodyText"/>
    <w:rsid w:val="00F72D57"/>
    <w:rPr>
      <w:rFonts w:ascii="Arial" w:hAnsi="Arial"/>
      <w:sz w:val="20"/>
      <w:szCs w:val="20"/>
    </w:rPr>
  </w:style>
  <w:style w:type="paragraph" w:styleId="NormalWeb">
    <w:name w:val="Normal (Web)"/>
    <w:basedOn w:val="Normal"/>
    <w:uiPriority w:val="99"/>
    <w:unhideWhenUsed/>
    <w:rsid w:val="00BE7265"/>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DC37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4474">
      <w:bodyDiv w:val="1"/>
      <w:marLeft w:val="0"/>
      <w:marRight w:val="0"/>
      <w:marTop w:val="0"/>
      <w:marBottom w:val="0"/>
      <w:divBdr>
        <w:top w:val="none" w:sz="0" w:space="0" w:color="auto"/>
        <w:left w:val="none" w:sz="0" w:space="0" w:color="auto"/>
        <w:bottom w:val="none" w:sz="0" w:space="0" w:color="auto"/>
        <w:right w:val="none" w:sz="0" w:space="0" w:color="auto"/>
      </w:divBdr>
    </w:div>
    <w:div w:id="98834613">
      <w:bodyDiv w:val="1"/>
      <w:marLeft w:val="0"/>
      <w:marRight w:val="0"/>
      <w:marTop w:val="0"/>
      <w:marBottom w:val="0"/>
      <w:divBdr>
        <w:top w:val="none" w:sz="0" w:space="0" w:color="auto"/>
        <w:left w:val="none" w:sz="0" w:space="0" w:color="auto"/>
        <w:bottom w:val="none" w:sz="0" w:space="0" w:color="auto"/>
        <w:right w:val="none" w:sz="0" w:space="0" w:color="auto"/>
      </w:divBdr>
    </w:div>
    <w:div w:id="302126969">
      <w:bodyDiv w:val="1"/>
      <w:marLeft w:val="0"/>
      <w:marRight w:val="0"/>
      <w:marTop w:val="0"/>
      <w:marBottom w:val="0"/>
      <w:divBdr>
        <w:top w:val="none" w:sz="0" w:space="0" w:color="auto"/>
        <w:left w:val="none" w:sz="0" w:space="0" w:color="auto"/>
        <w:bottom w:val="none" w:sz="0" w:space="0" w:color="auto"/>
        <w:right w:val="none" w:sz="0" w:space="0" w:color="auto"/>
      </w:divBdr>
    </w:div>
    <w:div w:id="340738806">
      <w:bodyDiv w:val="1"/>
      <w:marLeft w:val="0"/>
      <w:marRight w:val="0"/>
      <w:marTop w:val="0"/>
      <w:marBottom w:val="0"/>
      <w:divBdr>
        <w:top w:val="none" w:sz="0" w:space="0" w:color="auto"/>
        <w:left w:val="none" w:sz="0" w:space="0" w:color="auto"/>
        <w:bottom w:val="none" w:sz="0" w:space="0" w:color="auto"/>
        <w:right w:val="none" w:sz="0" w:space="0" w:color="auto"/>
      </w:divBdr>
    </w:div>
    <w:div w:id="354427957">
      <w:bodyDiv w:val="1"/>
      <w:marLeft w:val="0"/>
      <w:marRight w:val="0"/>
      <w:marTop w:val="0"/>
      <w:marBottom w:val="0"/>
      <w:divBdr>
        <w:top w:val="none" w:sz="0" w:space="0" w:color="auto"/>
        <w:left w:val="none" w:sz="0" w:space="0" w:color="auto"/>
        <w:bottom w:val="none" w:sz="0" w:space="0" w:color="auto"/>
        <w:right w:val="none" w:sz="0" w:space="0" w:color="auto"/>
      </w:divBdr>
    </w:div>
    <w:div w:id="387802781">
      <w:bodyDiv w:val="1"/>
      <w:marLeft w:val="0"/>
      <w:marRight w:val="0"/>
      <w:marTop w:val="0"/>
      <w:marBottom w:val="0"/>
      <w:divBdr>
        <w:top w:val="none" w:sz="0" w:space="0" w:color="auto"/>
        <w:left w:val="none" w:sz="0" w:space="0" w:color="auto"/>
        <w:bottom w:val="none" w:sz="0" w:space="0" w:color="auto"/>
        <w:right w:val="none" w:sz="0" w:space="0" w:color="auto"/>
      </w:divBdr>
    </w:div>
    <w:div w:id="431245136">
      <w:bodyDiv w:val="1"/>
      <w:marLeft w:val="0"/>
      <w:marRight w:val="0"/>
      <w:marTop w:val="0"/>
      <w:marBottom w:val="0"/>
      <w:divBdr>
        <w:top w:val="none" w:sz="0" w:space="0" w:color="auto"/>
        <w:left w:val="none" w:sz="0" w:space="0" w:color="auto"/>
        <w:bottom w:val="none" w:sz="0" w:space="0" w:color="auto"/>
        <w:right w:val="none" w:sz="0" w:space="0" w:color="auto"/>
      </w:divBdr>
    </w:div>
    <w:div w:id="440296637">
      <w:bodyDiv w:val="1"/>
      <w:marLeft w:val="0"/>
      <w:marRight w:val="0"/>
      <w:marTop w:val="0"/>
      <w:marBottom w:val="0"/>
      <w:divBdr>
        <w:top w:val="none" w:sz="0" w:space="0" w:color="auto"/>
        <w:left w:val="none" w:sz="0" w:space="0" w:color="auto"/>
        <w:bottom w:val="none" w:sz="0" w:space="0" w:color="auto"/>
        <w:right w:val="none" w:sz="0" w:space="0" w:color="auto"/>
      </w:divBdr>
    </w:div>
    <w:div w:id="490022234">
      <w:bodyDiv w:val="1"/>
      <w:marLeft w:val="0"/>
      <w:marRight w:val="0"/>
      <w:marTop w:val="0"/>
      <w:marBottom w:val="0"/>
      <w:divBdr>
        <w:top w:val="none" w:sz="0" w:space="0" w:color="auto"/>
        <w:left w:val="none" w:sz="0" w:space="0" w:color="auto"/>
        <w:bottom w:val="none" w:sz="0" w:space="0" w:color="auto"/>
        <w:right w:val="none" w:sz="0" w:space="0" w:color="auto"/>
      </w:divBdr>
    </w:div>
    <w:div w:id="544365905">
      <w:bodyDiv w:val="1"/>
      <w:marLeft w:val="0"/>
      <w:marRight w:val="0"/>
      <w:marTop w:val="0"/>
      <w:marBottom w:val="0"/>
      <w:divBdr>
        <w:top w:val="none" w:sz="0" w:space="0" w:color="auto"/>
        <w:left w:val="none" w:sz="0" w:space="0" w:color="auto"/>
        <w:bottom w:val="none" w:sz="0" w:space="0" w:color="auto"/>
        <w:right w:val="none" w:sz="0" w:space="0" w:color="auto"/>
      </w:divBdr>
    </w:div>
    <w:div w:id="574782764">
      <w:bodyDiv w:val="1"/>
      <w:marLeft w:val="0"/>
      <w:marRight w:val="0"/>
      <w:marTop w:val="0"/>
      <w:marBottom w:val="0"/>
      <w:divBdr>
        <w:top w:val="none" w:sz="0" w:space="0" w:color="auto"/>
        <w:left w:val="none" w:sz="0" w:space="0" w:color="auto"/>
        <w:bottom w:val="none" w:sz="0" w:space="0" w:color="auto"/>
        <w:right w:val="none" w:sz="0" w:space="0" w:color="auto"/>
      </w:divBdr>
    </w:div>
    <w:div w:id="579414661">
      <w:bodyDiv w:val="1"/>
      <w:marLeft w:val="0"/>
      <w:marRight w:val="0"/>
      <w:marTop w:val="0"/>
      <w:marBottom w:val="0"/>
      <w:divBdr>
        <w:top w:val="none" w:sz="0" w:space="0" w:color="auto"/>
        <w:left w:val="none" w:sz="0" w:space="0" w:color="auto"/>
        <w:bottom w:val="none" w:sz="0" w:space="0" w:color="auto"/>
        <w:right w:val="none" w:sz="0" w:space="0" w:color="auto"/>
      </w:divBdr>
    </w:div>
    <w:div w:id="590087101">
      <w:bodyDiv w:val="1"/>
      <w:marLeft w:val="0"/>
      <w:marRight w:val="0"/>
      <w:marTop w:val="0"/>
      <w:marBottom w:val="0"/>
      <w:divBdr>
        <w:top w:val="none" w:sz="0" w:space="0" w:color="auto"/>
        <w:left w:val="none" w:sz="0" w:space="0" w:color="auto"/>
        <w:bottom w:val="none" w:sz="0" w:space="0" w:color="auto"/>
        <w:right w:val="none" w:sz="0" w:space="0" w:color="auto"/>
      </w:divBdr>
    </w:div>
    <w:div w:id="769396060">
      <w:bodyDiv w:val="1"/>
      <w:marLeft w:val="0"/>
      <w:marRight w:val="0"/>
      <w:marTop w:val="0"/>
      <w:marBottom w:val="0"/>
      <w:divBdr>
        <w:top w:val="none" w:sz="0" w:space="0" w:color="auto"/>
        <w:left w:val="none" w:sz="0" w:space="0" w:color="auto"/>
        <w:bottom w:val="none" w:sz="0" w:space="0" w:color="auto"/>
        <w:right w:val="none" w:sz="0" w:space="0" w:color="auto"/>
      </w:divBdr>
    </w:div>
    <w:div w:id="831675459">
      <w:bodyDiv w:val="1"/>
      <w:marLeft w:val="0"/>
      <w:marRight w:val="0"/>
      <w:marTop w:val="0"/>
      <w:marBottom w:val="0"/>
      <w:divBdr>
        <w:top w:val="none" w:sz="0" w:space="0" w:color="auto"/>
        <w:left w:val="none" w:sz="0" w:space="0" w:color="auto"/>
        <w:bottom w:val="none" w:sz="0" w:space="0" w:color="auto"/>
        <w:right w:val="none" w:sz="0" w:space="0" w:color="auto"/>
      </w:divBdr>
    </w:div>
    <w:div w:id="880167954">
      <w:bodyDiv w:val="1"/>
      <w:marLeft w:val="0"/>
      <w:marRight w:val="0"/>
      <w:marTop w:val="0"/>
      <w:marBottom w:val="0"/>
      <w:divBdr>
        <w:top w:val="none" w:sz="0" w:space="0" w:color="auto"/>
        <w:left w:val="none" w:sz="0" w:space="0" w:color="auto"/>
        <w:bottom w:val="none" w:sz="0" w:space="0" w:color="auto"/>
        <w:right w:val="none" w:sz="0" w:space="0" w:color="auto"/>
      </w:divBdr>
    </w:div>
    <w:div w:id="926692414">
      <w:bodyDiv w:val="1"/>
      <w:marLeft w:val="0"/>
      <w:marRight w:val="0"/>
      <w:marTop w:val="0"/>
      <w:marBottom w:val="0"/>
      <w:divBdr>
        <w:top w:val="none" w:sz="0" w:space="0" w:color="auto"/>
        <w:left w:val="none" w:sz="0" w:space="0" w:color="auto"/>
        <w:bottom w:val="none" w:sz="0" w:space="0" w:color="auto"/>
        <w:right w:val="none" w:sz="0" w:space="0" w:color="auto"/>
      </w:divBdr>
    </w:div>
    <w:div w:id="1019311857">
      <w:bodyDiv w:val="1"/>
      <w:marLeft w:val="0"/>
      <w:marRight w:val="0"/>
      <w:marTop w:val="0"/>
      <w:marBottom w:val="0"/>
      <w:divBdr>
        <w:top w:val="none" w:sz="0" w:space="0" w:color="auto"/>
        <w:left w:val="none" w:sz="0" w:space="0" w:color="auto"/>
        <w:bottom w:val="none" w:sz="0" w:space="0" w:color="auto"/>
        <w:right w:val="none" w:sz="0" w:space="0" w:color="auto"/>
      </w:divBdr>
    </w:div>
    <w:div w:id="1288505151">
      <w:bodyDiv w:val="1"/>
      <w:marLeft w:val="0"/>
      <w:marRight w:val="0"/>
      <w:marTop w:val="0"/>
      <w:marBottom w:val="0"/>
      <w:divBdr>
        <w:top w:val="none" w:sz="0" w:space="0" w:color="auto"/>
        <w:left w:val="none" w:sz="0" w:space="0" w:color="auto"/>
        <w:bottom w:val="none" w:sz="0" w:space="0" w:color="auto"/>
        <w:right w:val="none" w:sz="0" w:space="0" w:color="auto"/>
      </w:divBdr>
    </w:div>
    <w:div w:id="1291785732">
      <w:bodyDiv w:val="1"/>
      <w:marLeft w:val="0"/>
      <w:marRight w:val="0"/>
      <w:marTop w:val="0"/>
      <w:marBottom w:val="0"/>
      <w:divBdr>
        <w:top w:val="none" w:sz="0" w:space="0" w:color="auto"/>
        <w:left w:val="none" w:sz="0" w:space="0" w:color="auto"/>
        <w:bottom w:val="none" w:sz="0" w:space="0" w:color="auto"/>
        <w:right w:val="none" w:sz="0" w:space="0" w:color="auto"/>
      </w:divBdr>
    </w:div>
    <w:div w:id="1301610938">
      <w:bodyDiv w:val="1"/>
      <w:marLeft w:val="0"/>
      <w:marRight w:val="0"/>
      <w:marTop w:val="0"/>
      <w:marBottom w:val="0"/>
      <w:divBdr>
        <w:top w:val="none" w:sz="0" w:space="0" w:color="auto"/>
        <w:left w:val="none" w:sz="0" w:space="0" w:color="auto"/>
        <w:bottom w:val="none" w:sz="0" w:space="0" w:color="auto"/>
        <w:right w:val="none" w:sz="0" w:space="0" w:color="auto"/>
      </w:divBdr>
    </w:div>
    <w:div w:id="1452045982">
      <w:bodyDiv w:val="1"/>
      <w:marLeft w:val="0"/>
      <w:marRight w:val="0"/>
      <w:marTop w:val="0"/>
      <w:marBottom w:val="0"/>
      <w:divBdr>
        <w:top w:val="none" w:sz="0" w:space="0" w:color="auto"/>
        <w:left w:val="none" w:sz="0" w:space="0" w:color="auto"/>
        <w:bottom w:val="none" w:sz="0" w:space="0" w:color="auto"/>
        <w:right w:val="none" w:sz="0" w:space="0" w:color="auto"/>
      </w:divBdr>
    </w:div>
    <w:div w:id="1556044031">
      <w:bodyDiv w:val="1"/>
      <w:marLeft w:val="0"/>
      <w:marRight w:val="0"/>
      <w:marTop w:val="0"/>
      <w:marBottom w:val="0"/>
      <w:divBdr>
        <w:top w:val="none" w:sz="0" w:space="0" w:color="auto"/>
        <w:left w:val="none" w:sz="0" w:space="0" w:color="auto"/>
        <w:bottom w:val="none" w:sz="0" w:space="0" w:color="auto"/>
        <w:right w:val="none" w:sz="0" w:space="0" w:color="auto"/>
      </w:divBdr>
    </w:div>
    <w:div w:id="1686638907">
      <w:marLeft w:val="0"/>
      <w:marRight w:val="0"/>
      <w:marTop w:val="0"/>
      <w:marBottom w:val="0"/>
      <w:divBdr>
        <w:top w:val="none" w:sz="0" w:space="0" w:color="auto"/>
        <w:left w:val="none" w:sz="0" w:space="0" w:color="auto"/>
        <w:bottom w:val="none" w:sz="0" w:space="0" w:color="auto"/>
        <w:right w:val="none" w:sz="0" w:space="0" w:color="auto"/>
      </w:divBdr>
    </w:div>
    <w:div w:id="1686638908">
      <w:marLeft w:val="0"/>
      <w:marRight w:val="0"/>
      <w:marTop w:val="0"/>
      <w:marBottom w:val="0"/>
      <w:divBdr>
        <w:top w:val="none" w:sz="0" w:space="0" w:color="auto"/>
        <w:left w:val="none" w:sz="0" w:space="0" w:color="auto"/>
        <w:bottom w:val="none" w:sz="0" w:space="0" w:color="auto"/>
        <w:right w:val="none" w:sz="0" w:space="0" w:color="auto"/>
      </w:divBdr>
    </w:div>
    <w:div w:id="1686638909">
      <w:marLeft w:val="0"/>
      <w:marRight w:val="0"/>
      <w:marTop w:val="0"/>
      <w:marBottom w:val="0"/>
      <w:divBdr>
        <w:top w:val="none" w:sz="0" w:space="0" w:color="auto"/>
        <w:left w:val="none" w:sz="0" w:space="0" w:color="auto"/>
        <w:bottom w:val="none" w:sz="0" w:space="0" w:color="auto"/>
        <w:right w:val="none" w:sz="0" w:space="0" w:color="auto"/>
      </w:divBdr>
    </w:div>
    <w:div w:id="1758939548">
      <w:bodyDiv w:val="1"/>
      <w:marLeft w:val="0"/>
      <w:marRight w:val="0"/>
      <w:marTop w:val="0"/>
      <w:marBottom w:val="0"/>
      <w:divBdr>
        <w:top w:val="none" w:sz="0" w:space="0" w:color="auto"/>
        <w:left w:val="none" w:sz="0" w:space="0" w:color="auto"/>
        <w:bottom w:val="none" w:sz="0" w:space="0" w:color="auto"/>
        <w:right w:val="none" w:sz="0" w:space="0" w:color="auto"/>
      </w:divBdr>
    </w:div>
    <w:div w:id="1795438946">
      <w:bodyDiv w:val="1"/>
      <w:marLeft w:val="0"/>
      <w:marRight w:val="0"/>
      <w:marTop w:val="0"/>
      <w:marBottom w:val="0"/>
      <w:divBdr>
        <w:top w:val="none" w:sz="0" w:space="0" w:color="auto"/>
        <w:left w:val="none" w:sz="0" w:space="0" w:color="auto"/>
        <w:bottom w:val="none" w:sz="0" w:space="0" w:color="auto"/>
        <w:right w:val="none" w:sz="0" w:space="0" w:color="auto"/>
      </w:divBdr>
    </w:div>
    <w:div w:id="1894924937">
      <w:bodyDiv w:val="1"/>
      <w:marLeft w:val="0"/>
      <w:marRight w:val="0"/>
      <w:marTop w:val="0"/>
      <w:marBottom w:val="0"/>
      <w:divBdr>
        <w:top w:val="none" w:sz="0" w:space="0" w:color="auto"/>
        <w:left w:val="none" w:sz="0" w:space="0" w:color="auto"/>
        <w:bottom w:val="none" w:sz="0" w:space="0" w:color="auto"/>
        <w:right w:val="none" w:sz="0" w:space="0" w:color="auto"/>
      </w:divBdr>
    </w:div>
    <w:div w:id="1910574426">
      <w:bodyDiv w:val="1"/>
      <w:marLeft w:val="0"/>
      <w:marRight w:val="0"/>
      <w:marTop w:val="0"/>
      <w:marBottom w:val="0"/>
      <w:divBdr>
        <w:top w:val="none" w:sz="0" w:space="0" w:color="auto"/>
        <w:left w:val="none" w:sz="0" w:space="0" w:color="auto"/>
        <w:bottom w:val="none" w:sz="0" w:space="0" w:color="auto"/>
        <w:right w:val="none" w:sz="0" w:space="0" w:color="auto"/>
      </w:divBdr>
    </w:div>
    <w:div w:id="1933317144">
      <w:bodyDiv w:val="1"/>
      <w:marLeft w:val="0"/>
      <w:marRight w:val="0"/>
      <w:marTop w:val="0"/>
      <w:marBottom w:val="0"/>
      <w:divBdr>
        <w:top w:val="none" w:sz="0" w:space="0" w:color="auto"/>
        <w:left w:val="none" w:sz="0" w:space="0" w:color="auto"/>
        <w:bottom w:val="none" w:sz="0" w:space="0" w:color="auto"/>
        <w:right w:val="none" w:sz="0" w:space="0" w:color="auto"/>
      </w:divBdr>
    </w:div>
    <w:div w:id="1956328314">
      <w:bodyDiv w:val="1"/>
      <w:marLeft w:val="0"/>
      <w:marRight w:val="0"/>
      <w:marTop w:val="0"/>
      <w:marBottom w:val="0"/>
      <w:divBdr>
        <w:top w:val="none" w:sz="0" w:space="0" w:color="auto"/>
        <w:left w:val="none" w:sz="0" w:space="0" w:color="auto"/>
        <w:bottom w:val="none" w:sz="0" w:space="0" w:color="auto"/>
        <w:right w:val="none" w:sz="0" w:space="0" w:color="auto"/>
      </w:divBdr>
    </w:div>
    <w:div w:id="19781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2015-08-31T07:00:00+00:00</OpenedDate>
    <Date1 xmlns="dc463f71-b30c-4ab2-9473-d307f9d35888">2015-08-31T07:00:00+00:00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F02B8684F9984EA04B2C950794EFD0" ma:contentTypeVersion="119" ma:contentTypeDescription="" ma:contentTypeScope="" ma:versionID="bb940eb5d475d28786e48e259e2223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E6A55-819D-416B-9781-5E0CA681CB50}"/>
</file>

<file path=customXml/itemProps2.xml><?xml version="1.0" encoding="utf-8"?>
<ds:datastoreItem xmlns:ds="http://schemas.openxmlformats.org/officeDocument/2006/customXml" ds:itemID="{11BDF7E2-E7A5-42ED-A1C4-EB670BBE9262}"/>
</file>

<file path=customXml/itemProps3.xml><?xml version="1.0" encoding="utf-8"?>
<ds:datastoreItem xmlns:ds="http://schemas.openxmlformats.org/officeDocument/2006/customXml" ds:itemID="{6C759BDD-A18C-4FCC-B731-4254815D2C1D}"/>
</file>

<file path=customXml/itemProps4.xml><?xml version="1.0" encoding="utf-8"?>
<ds:datastoreItem xmlns:ds="http://schemas.openxmlformats.org/officeDocument/2006/customXml" ds:itemID="{A02D73C0-A82E-4FC0-89DC-9956D0CD4B3A}"/>
</file>

<file path=customXml/itemProps5.xml><?xml version="1.0" encoding="utf-8"?>
<ds:datastoreItem xmlns:ds="http://schemas.openxmlformats.org/officeDocument/2006/customXml" ds:itemID="{B30CA586-8E46-443E-A73D-925C3F14688B}"/>
</file>

<file path=docProps/app.xml><?xml version="1.0" encoding="utf-8"?>
<Properties xmlns="http://schemas.openxmlformats.org/officeDocument/2006/extended-properties" xmlns:vt="http://schemas.openxmlformats.org/officeDocument/2006/docPropsVTypes">
  <Template>Normal.dotm</Template>
  <TotalTime>14</TotalTime>
  <Pages>15</Pages>
  <Words>4822</Words>
  <Characters>26300</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31060</CharactersWithSpaces>
  <SharedDoc>false</SharedDoc>
  <HLinks>
    <vt:vector size="6" baseType="variant">
      <vt:variant>
        <vt:i4>3211368</vt:i4>
      </vt:variant>
      <vt:variant>
        <vt:i4>0</vt:i4>
      </vt:variant>
      <vt:variant>
        <vt:i4>0</vt:i4>
      </vt:variant>
      <vt:variant>
        <vt:i4>5</vt:i4>
      </vt:variant>
      <vt:variant>
        <vt:lpwstr>http://www.energytrust.org/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Jennifer</dc:creator>
  <cp:lastModifiedBy>Seagondollar, Shannon L.</cp:lastModifiedBy>
  <cp:revision>8</cp:revision>
  <cp:lastPrinted>2015-08-27T16:24:00Z</cp:lastPrinted>
  <dcterms:created xsi:type="dcterms:W3CDTF">2015-08-28T20:23:00Z</dcterms:created>
  <dcterms:modified xsi:type="dcterms:W3CDTF">2015-08-31T22:24:00Z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caa86b9a-91b2-4f50-9bcb-c638838e66d1</vt:lpwstr>
  </property>
  <property fmtid="{D5CDD505-2E9C-101B-9397-08002B2CF9AE}" pid="4" name="ContentTypeId">
    <vt:lpwstr>0x0101006E56B4D1795A2E4DB2F0B01679ED314A00CBF02B8684F9984EA04B2C950794EFD0</vt:lpwstr>
  </property>
  <property fmtid="{D5CDD505-2E9C-101B-9397-08002B2CF9AE}" pid="5" name="_docset_NoMedatataSyncRequired">
    <vt:lpwstr>False</vt:lpwstr>
  </property>
</Properties>
</file>