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164"/>
        <w:tblW w:w="9576" w:type="dxa"/>
        <w:tblBorders>
          <w:insideH w:val="single" w:sz="4" w:space="0" w:color="auto"/>
        </w:tblBorders>
        <w:tblLayout w:type="fixed"/>
        <w:tblLook w:val="0000"/>
      </w:tblPr>
      <w:tblGrid>
        <w:gridCol w:w="4788"/>
        <w:gridCol w:w="4788"/>
      </w:tblGrid>
      <w:tr w:rsidR="007D292A" w:rsidRPr="001E7615" w:rsidTr="007D292A">
        <w:trPr>
          <w:trHeight w:val="631"/>
        </w:trPr>
        <w:tc>
          <w:tcPr>
            <w:tcW w:w="4788" w:type="dxa"/>
          </w:tcPr>
          <w:p w:rsidR="007D292A" w:rsidRPr="001E7615" w:rsidRDefault="007D292A" w:rsidP="007D292A">
            <w:pPr>
              <w:pStyle w:val="Header"/>
              <w:ind w:right="-360"/>
              <w:rPr>
                <w:b/>
                <w:bCs/>
              </w:rPr>
            </w:pPr>
            <w:r w:rsidRPr="001E7615">
              <w:rPr>
                <w:b/>
                <w:bCs/>
              </w:rPr>
              <w:t>Avista Corp.</w:t>
            </w:r>
          </w:p>
          <w:p w:rsidR="007D292A" w:rsidRPr="001E7615" w:rsidRDefault="007D292A" w:rsidP="007D292A">
            <w:pPr>
              <w:pStyle w:val="Header"/>
              <w:ind w:right="-360"/>
            </w:pPr>
            <w:r w:rsidRPr="001E7615">
              <w:t xml:space="preserve">1411 </w:t>
            </w:r>
            <w:smartTag w:uri="urn:schemas-microsoft-com:office:smarttags" w:element="place">
              <w:r w:rsidRPr="001E7615">
                <w:t>East Mission</w:t>
              </w:r>
            </w:smartTag>
            <w:r w:rsidRPr="001E7615">
              <w:t xml:space="preserve">   P.O. Box 3727</w:t>
            </w:r>
          </w:p>
          <w:p w:rsidR="007D292A" w:rsidRPr="001E7615" w:rsidRDefault="007D292A" w:rsidP="007D292A">
            <w:pPr>
              <w:pStyle w:val="Header"/>
              <w:ind w:right="-360"/>
            </w:pPr>
            <w:smartTag w:uri="urn:schemas-microsoft-com:office:smarttags" w:element="place">
              <w:smartTag w:uri="urn:schemas-microsoft-com:office:smarttags" w:element="City">
                <w:r w:rsidRPr="001E7615">
                  <w:t>Spokane</w:t>
                </w:r>
              </w:smartTag>
            </w:smartTag>
            <w:r w:rsidRPr="001E7615">
              <w:t xml:space="preserve">. </w:t>
            </w:r>
            <w:smartTag w:uri="urn:schemas-microsoft-com:office:smarttags" w:element="place">
              <w:smartTag w:uri="urn:schemas-microsoft-com:office:smarttags" w:element="State">
                <w:r w:rsidRPr="001E7615">
                  <w:t>Washington</w:t>
                </w:r>
              </w:smartTag>
            </w:smartTag>
            <w:r w:rsidRPr="001E7615">
              <w:t xml:space="preserve">  99220-0500</w:t>
            </w:r>
          </w:p>
          <w:p w:rsidR="007D292A" w:rsidRPr="001E7615" w:rsidRDefault="007D292A" w:rsidP="007D292A">
            <w:pPr>
              <w:pStyle w:val="Header"/>
              <w:ind w:right="-360"/>
            </w:pPr>
            <w:r w:rsidRPr="001E7615">
              <w:t>Telephone 509-489-0500</w:t>
            </w:r>
          </w:p>
          <w:p w:rsidR="007D292A" w:rsidRPr="001E7615" w:rsidRDefault="007D292A" w:rsidP="007D292A">
            <w:pPr>
              <w:pStyle w:val="Header"/>
              <w:ind w:right="-360"/>
            </w:pPr>
            <w:r w:rsidRPr="001E7615">
              <w:t>Toll Free   800-727-9170</w:t>
            </w:r>
          </w:p>
          <w:p w:rsidR="007D292A" w:rsidRPr="001E7615" w:rsidRDefault="007D292A" w:rsidP="007D292A">
            <w:pPr>
              <w:pStyle w:val="Header"/>
              <w:ind w:right="-360"/>
              <w:rPr>
                <w:b/>
                <w:bCs/>
              </w:rPr>
            </w:pPr>
          </w:p>
        </w:tc>
        <w:tc>
          <w:tcPr>
            <w:tcW w:w="4788" w:type="dxa"/>
          </w:tcPr>
          <w:p w:rsidR="007D292A" w:rsidRPr="001E7615" w:rsidRDefault="007D292A" w:rsidP="007D292A">
            <w:pPr>
              <w:pStyle w:val="Header"/>
              <w:tabs>
                <w:tab w:val="left" w:pos="2232"/>
              </w:tabs>
              <w:ind w:right="-360"/>
              <w:rPr>
                <w:b/>
                <w:bCs/>
              </w:rPr>
            </w:pPr>
            <w:r w:rsidRPr="001E7615">
              <w:rPr>
                <w:b/>
                <w:bCs/>
              </w:rPr>
              <w:t xml:space="preserve"> </w:t>
            </w:r>
            <w:r w:rsidRPr="001E7615">
              <w:rPr>
                <w:b/>
                <w:bCs/>
              </w:rPr>
              <w:tab/>
              <w:t xml:space="preserve"> </w:t>
            </w:r>
            <w:r w:rsidR="000E4BA2">
              <w:rPr>
                <w:noProof/>
              </w:rPr>
              <w:drawing>
                <wp:inline distT="0" distB="0" distL="0" distR="0">
                  <wp:extent cx="1303655" cy="532130"/>
                  <wp:effectExtent l="19050" t="0" r="0" b="0"/>
                  <wp:docPr id="1" name="Picture 1" descr="_2ORDPRCSCorp_v_b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2ORDPRCSCorp_v_bPC"/>
                          <pic:cNvPicPr>
                            <a:picLocks noChangeAspect="1" noChangeArrowheads="1"/>
                          </pic:cNvPicPr>
                        </pic:nvPicPr>
                        <pic:blipFill>
                          <a:blip r:embed="rId8" cstate="print"/>
                          <a:srcRect/>
                          <a:stretch>
                            <a:fillRect/>
                          </a:stretch>
                        </pic:blipFill>
                        <pic:spPr bwMode="auto">
                          <a:xfrm>
                            <a:off x="0" y="0"/>
                            <a:ext cx="1303655" cy="532130"/>
                          </a:xfrm>
                          <a:prstGeom prst="rect">
                            <a:avLst/>
                          </a:prstGeom>
                          <a:noFill/>
                          <a:ln w="9525">
                            <a:noFill/>
                            <a:miter lim="800000"/>
                            <a:headEnd/>
                            <a:tailEnd/>
                          </a:ln>
                        </pic:spPr>
                      </pic:pic>
                    </a:graphicData>
                  </a:graphic>
                </wp:inline>
              </w:drawing>
            </w:r>
          </w:p>
        </w:tc>
      </w:tr>
    </w:tbl>
    <w:p w:rsidR="00D56B62" w:rsidRDefault="00D56B62" w:rsidP="007D292A">
      <w:pPr>
        <w:pStyle w:val="PlainText"/>
        <w:ind w:right="-360"/>
        <w:rPr>
          <w:rFonts w:ascii="Times New Roman" w:hAnsi="Times New Roman"/>
          <w:sz w:val="24"/>
        </w:rPr>
      </w:pPr>
    </w:p>
    <w:p w:rsidR="00093A6E" w:rsidRDefault="005A46AD" w:rsidP="007D292A">
      <w:pPr>
        <w:pStyle w:val="PlainText"/>
        <w:ind w:right="-360"/>
        <w:rPr>
          <w:rFonts w:ascii="Times New Roman" w:hAnsi="Times New Roman"/>
          <w:sz w:val="24"/>
        </w:rPr>
      </w:pPr>
      <w:r>
        <w:rPr>
          <w:rFonts w:ascii="Times New Roman" w:hAnsi="Times New Roman"/>
          <w:sz w:val="24"/>
        </w:rPr>
        <w:t>August 27</w:t>
      </w:r>
      <w:r w:rsidR="00093A6E" w:rsidRPr="00A64FEA">
        <w:rPr>
          <w:rFonts w:ascii="Times New Roman" w:hAnsi="Times New Roman"/>
          <w:sz w:val="24"/>
        </w:rPr>
        <w:t>, 20</w:t>
      </w:r>
      <w:r w:rsidR="007D292A" w:rsidRPr="00A64FEA">
        <w:rPr>
          <w:rFonts w:ascii="Times New Roman" w:hAnsi="Times New Roman"/>
          <w:sz w:val="24"/>
        </w:rPr>
        <w:t>1</w:t>
      </w:r>
      <w:r>
        <w:rPr>
          <w:rFonts w:ascii="Times New Roman" w:hAnsi="Times New Roman"/>
          <w:sz w:val="24"/>
        </w:rPr>
        <w:t>5</w:t>
      </w:r>
    </w:p>
    <w:p w:rsidR="00093A6E" w:rsidRDefault="00093A6E" w:rsidP="007D292A">
      <w:pPr>
        <w:pStyle w:val="PlainText"/>
        <w:ind w:left="-540" w:right="-360"/>
        <w:rPr>
          <w:rFonts w:ascii="Times New Roman" w:hAnsi="Times New Roman"/>
          <w:sz w:val="24"/>
        </w:rPr>
      </w:pPr>
    </w:p>
    <w:p w:rsidR="00D56B62" w:rsidRDefault="00D56B62" w:rsidP="007D292A">
      <w:pPr>
        <w:pStyle w:val="PlainText"/>
        <w:ind w:left="-540" w:right="-360"/>
        <w:rPr>
          <w:rFonts w:ascii="Times New Roman" w:hAnsi="Times New Roman"/>
          <w:sz w:val="24"/>
        </w:rPr>
      </w:pPr>
    </w:p>
    <w:p w:rsidR="00093A6E" w:rsidRDefault="00093A6E" w:rsidP="007D292A">
      <w:pPr>
        <w:pStyle w:val="PlainText"/>
        <w:tabs>
          <w:tab w:val="left" w:pos="360"/>
        </w:tabs>
        <w:ind w:right="-360"/>
        <w:rPr>
          <w:rFonts w:ascii="Times New Roman" w:hAnsi="Times New Roman"/>
          <w:sz w:val="24"/>
        </w:rPr>
      </w:pPr>
      <w:r>
        <w:rPr>
          <w:rFonts w:ascii="Times New Roman" w:hAnsi="Times New Roman"/>
          <w:sz w:val="24"/>
        </w:rPr>
        <w:t xml:space="preserve">State of </w:t>
      </w:r>
      <w:smartTag w:uri="urn:schemas-microsoft-com:office:smarttags" w:element="place">
        <w:smartTag w:uri="urn:schemas-microsoft-com:office:smarttags" w:element="State">
          <w:r>
            <w:rPr>
              <w:rFonts w:ascii="Times New Roman" w:hAnsi="Times New Roman"/>
              <w:sz w:val="24"/>
            </w:rPr>
            <w:t>Washington</w:t>
          </w:r>
        </w:smartTag>
      </w:smartTag>
    </w:p>
    <w:p w:rsidR="00093A6E" w:rsidRDefault="00093A6E" w:rsidP="007D292A">
      <w:pPr>
        <w:pStyle w:val="PlainText"/>
        <w:tabs>
          <w:tab w:val="left" w:pos="360"/>
        </w:tabs>
        <w:ind w:right="-360"/>
        <w:rPr>
          <w:rFonts w:ascii="Times New Roman" w:hAnsi="Times New Roman"/>
          <w:sz w:val="24"/>
        </w:rPr>
      </w:pPr>
      <w:smartTag w:uri="urn:schemas-microsoft-com:office:smarttags" w:element="place">
        <w:smartTag w:uri="urn:schemas-microsoft-com:office:smarttags" w:element="State">
          <w:r>
            <w:rPr>
              <w:rFonts w:ascii="Times New Roman" w:hAnsi="Times New Roman"/>
              <w:sz w:val="24"/>
            </w:rPr>
            <w:t>Washington</w:t>
          </w:r>
        </w:smartTag>
      </w:smartTag>
      <w:r>
        <w:rPr>
          <w:rFonts w:ascii="Times New Roman" w:hAnsi="Times New Roman"/>
          <w:sz w:val="24"/>
        </w:rPr>
        <w:t xml:space="preserve"> Utilities &amp; Transportation Commission</w:t>
      </w:r>
    </w:p>
    <w:p w:rsidR="00093A6E" w:rsidRDefault="00093A6E" w:rsidP="007D292A">
      <w:pPr>
        <w:pStyle w:val="PlainText"/>
        <w:tabs>
          <w:tab w:val="left" w:pos="360"/>
        </w:tabs>
        <w:ind w:right="-360"/>
        <w:rPr>
          <w:rFonts w:ascii="Times New Roman" w:hAnsi="Times New Roman"/>
          <w:sz w:val="24"/>
        </w:rPr>
      </w:pPr>
      <w:smartTag w:uri="urn:schemas-microsoft-com:office:smarttags" w:element="Street">
        <w:smartTag w:uri="urn:schemas-microsoft-com:office:smarttags" w:element="address">
          <w:r>
            <w:rPr>
              <w:rFonts w:ascii="Times New Roman" w:hAnsi="Times New Roman"/>
              <w:sz w:val="24"/>
            </w:rPr>
            <w:t>1300 S. Evergreen Park Drive</w:t>
          </w:r>
        </w:smartTag>
      </w:smartTag>
      <w:r>
        <w:rPr>
          <w:rFonts w:ascii="Times New Roman" w:hAnsi="Times New Roman"/>
          <w:sz w:val="24"/>
        </w:rPr>
        <w:t xml:space="preserve"> </w:t>
      </w:r>
    </w:p>
    <w:p w:rsidR="00093A6E" w:rsidRDefault="00093A6E" w:rsidP="007D292A">
      <w:pPr>
        <w:pStyle w:val="PlainText"/>
        <w:tabs>
          <w:tab w:val="left" w:pos="360"/>
        </w:tabs>
        <w:ind w:right="-360"/>
        <w:rPr>
          <w:rFonts w:ascii="Times New Roman" w:hAnsi="Times New Roman"/>
          <w:sz w:val="24"/>
        </w:rPr>
      </w:pPr>
      <w:smartTag w:uri="urn:schemas-microsoft-com:office:smarttags" w:element="place">
        <w:smartTag w:uri="urn:schemas-microsoft-com:office:smarttags" w:element="City">
          <w:r>
            <w:rPr>
              <w:rFonts w:ascii="Times New Roman" w:hAnsi="Times New Roman"/>
              <w:sz w:val="24"/>
            </w:rPr>
            <w:t>Olympia</w:t>
          </w:r>
        </w:smartTag>
        <w:r>
          <w:rPr>
            <w:rFonts w:ascii="Times New Roman" w:hAnsi="Times New Roman"/>
            <w:sz w:val="24"/>
          </w:rPr>
          <w:t xml:space="preserve">, </w:t>
        </w:r>
        <w:smartTag w:uri="urn:schemas-microsoft-com:office:smarttags" w:element="State">
          <w:r>
            <w:rPr>
              <w:rFonts w:ascii="Times New Roman" w:hAnsi="Times New Roman"/>
              <w:sz w:val="24"/>
            </w:rPr>
            <w:t>Washington</w:t>
          </w:r>
        </w:smartTag>
        <w:r>
          <w:rPr>
            <w:rFonts w:ascii="Times New Roman" w:hAnsi="Times New Roman"/>
            <w:sz w:val="24"/>
          </w:rPr>
          <w:t xml:space="preserve"> </w:t>
        </w:r>
        <w:smartTag w:uri="urn:schemas-microsoft-com:office:smarttags" w:element="PostalCode">
          <w:r>
            <w:rPr>
              <w:rFonts w:ascii="Times New Roman" w:hAnsi="Times New Roman"/>
              <w:sz w:val="24"/>
            </w:rPr>
            <w:t>98504-8002</w:t>
          </w:r>
        </w:smartTag>
      </w:smartTag>
      <w:r>
        <w:rPr>
          <w:rFonts w:ascii="Times New Roman" w:hAnsi="Times New Roman"/>
          <w:sz w:val="24"/>
        </w:rPr>
        <w:br/>
        <w:t xml:space="preserve"> </w:t>
      </w:r>
    </w:p>
    <w:p w:rsidR="00093A6E" w:rsidRDefault="00093A6E" w:rsidP="007D292A">
      <w:pPr>
        <w:pStyle w:val="PlainText"/>
        <w:tabs>
          <w:tab w:val="left" w:pos="360"/>
        </w:tabs>
        <w:ind w:right="-360"/>
        <w:rPr>
          <w:rFonts w:ascii="Times New Roman" w:hAnsi="Times New Roman"/>
          <w:sz w:val="24"/>
        </w:rPr>
      </w:pPr>
      <w:r>
        <w:rPr>
          <w:rFonts w:ascii="Times New Roman" w:hAnsi="Times New Roman"/>
          <w:sz w:val="24"/>
        </w:rPr>
        <w:t xml:space="preserve">Attention: Mr. </w:t>
      </w:r>
      <w:r w:rsidR="00AA52D9">
        <w:rPr>
          <w:rFonts w:ascii="Times New Roman" w:hAnsi="Times New Roman"/>
          <w:sz w:val="24"/>
        </w:rPr>
        <w:t>Steven King</w:t>
      </w:r>
      <w:r>
        <w:rPr>
          <w:rFonts w:ascii="Times New Roman" w:hAnsi="Times New Roman"/>
          <w:sz w:val="24"/>
        </w:rPr>
        <w:t>‚ Executive Director and Secretary</w:t>
      </w:r>
    </w:p>
    <w:p w:rsidR="00D56B62" w:rsidRDefault="00D56B62" w:rsidP="00064FF0">
      <w:pPr>
        <w:rPr>
          <w:b/>
          <w:sz w:val="24"/>
        </w:rPr>
      </w:pPr>
    </w:p>
    <w:p w:rsidR="00093A6E" w:rsidRDefault="00093A6E" w:rsidP="00AC5443">
      <w:pPr>
        <w:jc w:val="center"/>
        <w:rPr>
          <w:b/>
          <w:sz w:val="24"/>
        </w:rPr>
      </w:pPr>
      <w:r>
        <w:rPr>
          <w:b/>
          <w:sz w:val="24"/>
        </w:rPr>
        <w:t>RE:  WN U-29 – Natural Gas Service</w:t>
      </w:r>
    </w:p>
    <w:p w:rsidR="00093A6E" w:rsidRDefault="00093A6E" w:rsidP="00AC5443">
      <w:pPr>
        <w:jc w:val="center"/>
        <w:rPr>
          <w:b/>
          <w:sz w:val="24"/>
          <w:u w:val="single"/>
        </w:rPr>
      </w:pPr>
      <w:r w:rsidRPr="005816CE">
        <w:rPr>
          <w:b/>
          <w:sz w:val="24"/>
          <w:u w:val="single"/>
        </w:rPr>
        <w:t xml:space="preserve">Avista’s </w:t>
      </w:r>
      <w:r>
        <w:rPr>
          <w:b/>
          <w:sz w:val="24"/>
          <w:u w:val="single"/>
        </w:rPr>
        <w:t xml:space="preserve">Annual Purchased Gas </w:t>
      </w:r>
      <w:r w:rsidR="00EE6624">
        <w:rPr>
          <w:b/>
          <w:sz w:val="24"/>
          <w:u w:val="single"/>
        </w:rPr>
        <w:t xml:space="preserve">Cost </w:t>
      </w:r>
      <w:r>
        <w:rPr>
          <w:b/>
          <w:sz w:val="24"/>
          <w:u w:val="single"/>
        </w:rPr>
        <w:t>Adjustment (PGA)</w:t>
      </w:r>
    </w:p>
    <w:p w:rsidR="00093A6E" w:rsidRDefault="00093A6E" w:rsidP="00AC5443">
      <w:pPr>
        <w:jc w:val="center"/>
        <w:rPr>
          <w:b/>
          <w:sz w:val="24"/>
          <w:u w:val="single"/>
        </w:rPr>
      </w:pPr>
    </w:p>
    <w:p w:rsidR="00093A6E" w:rsidRDefault="00093A6E" w:rsidP="00AC5443">
      <w:pPr>
        <w:jc w:val="both"/>
        <w:rPr>
          <w:sz w:val="24"/>
        </w:rPr>
      </w:pPr>
      <w:r>
        <w:rPr>
          <w:sz w:val="24"/>
        </w:rPr>
        <w:t>Enclosed for filing with the Commission is a copy of the following proposed tariff sheets:</w:t>
      </w:r>
    </w:p>
    <w:p w:rsidR="00093A6E" w:rsidRDefault="00093A6E" w:rsidP="00AC5443">
      <w:pPr>
        <w:jc w:val="both"/>
        <w:rPr>
          <w:sz w:val="24"/>
        </w:rPr>
      </w:pPr>
      <w:r>
        <w:rPr>
          <w:sz w:val="24"/>
        </w:rPr>
        <w:tab/>
      </w:r>
    </w:p>
    <w:p w:rsidR="0074190B" w:rsidRPr="0074190B" w:rsidRDefault="00D062AC" w:rsidP="0074190B">
      <w:pPr>
        <w:jc w:val="center"/>
        <w:rPr>
          <w:b/>
          <w:sz w:val="24"/>
        </w:rPr>
      </w:pPr>
      <w:r>
        <w:rPr>
          <w:b/>
          <w:sz w:val="24"/>
        </w:rPr>
        <w:t>Second</w:t>
      </w:r>
      <w:r w:rsidR="0074190B">
        <w:rPr>
          <w:b/>
          <w:sz w:val="24"/>
        </w:rPr>
        <w:t xml:space="preserve"> Revision Sheet 149 </w:t>
      </w:r>
      <w:r w:rsidR="0074190B">
        <w:rPr>
          <w:sz w:val="24"/>
        </w:rPr>
        <w:t xml:space="preserve">canceling </w:t>
      </w:r>
      <w:r>
        <w:rPr>
          <w:b/>
          <w:sz w:val="24"/>
        </w:rPr>
        <w:t>Sub. First</w:t>
      </w:r>
      <w:r w:rsidR="0074190B">
        <w:rPr>
          <w:b/>
          <w:sz w:val="24"/>
        </w:rPr>
        <w:t xml:space="preserve"> Sheet 149</w:t>
      </w:r>
      <w:r w:rsidR="0074190B">
        <w:rPr>
          <w:rStyle w:val="FootnoteReference"/>
          <w:b/>
          <w:sz w:val="24"/>
        </w:rPr>
        <w:footnoteReference w:id="1"/>
      </w:r>
    </w:p>
    <w:p w:rsidR="00AA52D9" w:rsidRPr="00D56B62" w:rsidRDefault="005A46AD" w:rsidP="00AA52D9">
      <w:pPr>
        <w:jc w:val="center"/>
        <w:rPr>
          <w:b/>
          <w:sz w:val="24"/>
        </w:rPr>
      </w:pPr>
      <w:r w:rsidRPr="00C93F40">
        <w:rPr>
          <w:b/>
          <w:sz w:val="24"/>
        </w:rPr>
        <w:t xml:space="preserve">Sixteenth </w:t>
      </w:r>
      <w:r w:rsidR="00C93F40" w:rsidRPr="00C93F40">
        <w:rPr>
          <w:b/>
          <w:sz w:val="24"/>
        </w:rPr>
        <w:t xml:space="preserve">Revision Sheet 150 </w:t>
      </w:r>
      <w:r w:rsidR="00C93F40">
        <w:rPr>
          <w:sz w:val="24"/>
        </w:rPr>
        <w:t>canceling</w:t>
      </w:r>
      <w:r w:rsidR="00C93F40" w:rsidRPr="00C93F40">
        <w:rPr>
          <w:b/>
          <w:sz w:val="24"/>
        </w:rPr>
        <w:t xml:space="preserve"> </w:t>
      </w:r>
      <w:r w:rsidRPr="00C93F40">
        <w:rPr>
          <w:b/>
          <w:sz w:val="24"/>
        </w:rPr>
        <w:t xml:space="preserve">Fifteenth </w:t>
      </w:r>
      <w:r w:rsidR="00C93F40" w:rsidRPr="00C93F40">
        <w:rPr>
          <w:b/>
          <w:sz w:val="24"/>
        </w:rPr>
        <w:t>Revision Sheet 150</w:t>
      </w:r>
    </w:p>
    <w:p w:rsidR="00093A6E" w:rsidRPr="00D56B62" w:rsidRDefault="005A46AD" w:rsidP="00AC5443">
      <w:pPr>
        <w:jc w:val="center"/>
        <w:rPr>
          <w:b/>
          <w:sz w:val="24"/>
        </w:rPr>
      </w:pPr>
      <w:r>
        <w:rPr>
          <w:b/>
          <w:sz w:val="24"/>
        </w:rPr>
        <w:t>Eighteenth</w:t>
      </w:r>
      <w:r w:rsidR="00C93F40" w:rsidRPr="00C93F40">
        <w:rPr>
          <w:b/>
          <w:sz w:val="24"/>
        </w:rPr>
        <w:t xml:space="preserve"> Revision Sheet 155 </w:t>
      </w:r>
      <w:r w:rsidR="00C93F40">
        <w:rPr>
          <w:sz w:val="24"/>
        </w:rPr>
        <w:t>canceling</w:t>
      </w:r>
      <w:r w:rsidR="00C93F40" w:rsidRPr="00C93F40">
        <w:rPr>
          <w:b/>
          <w:sz w:val="24"/>
        </w:rPr>
        <w:t xml:space="preserve"> </w:t>
      </w:r>
      <w:r w:rsidRPr="00C93F40">
        <w:rPr>
          <w:b/>
          <w:sz w:val="24"/>
        </w:rPr>
        <w:t xml:space="preserve">Seventeenth </w:t>
      </w:r>
      <w:r w:rsidR="00C93F40" w:rsidRPr="00C93F40">
        <w:rPr>
          <w:b/>
          <w:sz w:val="24"/>
        </w:rPr>
        <w:t>Revision Sheet 155</w:t>
      </w:r>
    </w:p>
    <w:p w:rsidR="00B52A0C" w:rsidRPr="00426001" w:rsidRDefault="00B52A0C" w:rsidP="00AC5443">
      <w:pPr>
        <w:ind w:firstLine="720"/>
        <w:jc w:val="both"/>
        <w:rPr>
          <w:sz w:val="24"/>
        </w:rPr>
      </w:pPr>
    </w:p>
    <w:p w:rsidR="00B52A0C" w:rsidRDefault="00B52A0C" w:rsidP="00AC5443">
      <w:pPr>
        <w:jc w:val="both"/>
        <w:rPr>
          <w:sz w:val="24"/>
        </w:rPr>
      </w:pPr>
      <w:r w:rsidRPr="00426001">
        <w:rPr>
          <w:sz w:val="24"/>
        </w:rPr>
        <w:t>The Company requests that the proposed tariff sheets be m</w:t>
      </w:r>
      <w:r w:rsidR="007D292A" w:rsidRPr="00426001">
        <w:rPr>
          <w:sz w:val="24"/>
        </w:rPr>
        <w:t>ade effective on November 1, 201</w:t>
      </w:r>
      <w:r w:rsidR="005A46AD">
        <w:rPr>
          <w:sz w:val="24"/>
        </w:rPr>
        <w:t>5</w:t>
      </w:r>
      <w:r w:rsidRPr="00426001">
        <w:rPr>
          <w:sz w:val="24"/>
        </w:rPr>
        <w:t>.</w:t>
      </w:r>
    </w:p>
    <w:p w:rsidR="00093A6E" w:rsidRDefault="00093A6E" w:rsidP="00AC5443">
      <w:pPr>
        <w:jc w:val="both"/>
        <w:rPr>
          <w:sz w:val="24"/>
        </w:rPr>
      </w:pPr>
      <w:r>
        <w:rPr>
          <w:sz w:val="24"/>
        </w:rPr>
        <w:tab/>
      </w:r>
    </w:p>
    <w:p w:rsidR="003A24DA" w:rsidRDefault="003A24DA" w:rsidP="00AC5443">
      <w:pPr>
        <w:tabs>
          <w:tab w:val="left" w:pos="720"/>
        </w:tabs>
        <w:jc w:val="both"/>
        <w:rPr>
          <w:sz w:val="24"/>
          <w:szCs w:val="24"/>
        </w:rPr>
      </w:pPr>
      <w:r w:rsidRPr="00EE2529">
        <w:rPr>
          <w:sz w:val="24"/>
          <w:szCs w:val="24"/>
        </w:rPr>
        <w:t xml:space="preserve">This filing </w:t>
      </w:r>
      <w:r w:rsidR="00EE6624">
        <w:rPr>
          <w:sz w:val="24"/>
          <w:szCs w:val="24"/>
        </w:rPr>
        <w:t>i</w:t>
      </w:r>
      <w:r w:rsidRPr="00EE2529">
        <w:rPr>
          <w:sz w:val="24"/>
          <w:szCs w:val="24"/>
        </w:rPr>
        <w:t>s the Company’s annual Purchased Gas Cost Adjustment (</w:t>
      </w:r>
      <w:r w:rsidR="00EE6624">
        <w:rPr>
          <w:sz w:val="24"/>
          <w:szCs w:val="24"/>
        </w:rPr>
        <w:t>“</w:t>
      </w:r>
      <w:r w:rsidRPr="00EE2529">
        <w:rPr>
          <w:sz w:val="24"/>
          <w:szCs w:val="24"/>
        </w:rPr>
        <w:t>PGA</w:t>
      </w:r>
      <w:r w:rsidR="00EE6624">
        <w:rPr>
          <w:sz w:val="24"/>
          <w:szCs w:val="24"/>
        </w:rPr>
        <w:t>”</w:t>
      </w:r>
      <w:r w:rsidRPr="00EE2529">
        <w:rPr>
          <w:sz w:val="24"/>
          <w:szCs w:val="24"/>
        </w:rPr>
        <w:t>) to: 1) pass through changes in the estimated cost of natural gas for th</w:t>
      </w:r>
      <w:r w:rsidR="007642C0">
        <w:rPr>
          <w:sz w:val="24"/>
          <w:szCs w:val="24"/>
        </w:rPr>
        <w:t xml:space="preserve">e forthcoming year (Schedule </w:t>
      </w:r>
      <w:r w:rsidR="007642C0" w:rsidRPr="00917666">
        <w:rPr>
          <w:sz w:val="24"/>
          <w:szCs w:val="24"/>
        </w:rPr>
        <w:t>15</w:t>
      </w:r>
      <w:r w:rsidR="00AA52D9" w:rsidRPr="00917666">
        <w:rPr>
          <w:sz w:val="24"/>
          <w:szCs w:val="24"/>
        </w:rPr>
        <w:t>0</w:t>
      </w:r>
      <w:r w:rsidRPr="00917666">
        <w:rPr>
          <w:sz w:val="24"/>
          <w:szCs w:val="24"/>
        </w:rPr>
        <w:t xml:space="preserve">), and 2) revise the amortization rate(s) to refund or collect the balance of deferred </w:t>
      </w:r>
      <w:r w:rsidR="00AA52D9" w:rsidRPr="00917666">
        <w:rPr>
          <w:sz w:val="24"/>
          <w:szCs w:val="24"/>
        </w:rPr>
        <w:t xml:space="preserve">natural </w:t>
      </w:r>
      <w:r w:rsidRPr="00917666">
        <w:rPr>
          <w:sz w:val="24"/>
          <w:szCs w:val="24"/>
        </w:rPr>
        <w:t xml:space="preserve">gas </w:t>
      </w:r>
      <w:r w:rsidR="00EE6624">
        <w:rPr>
          <w:sz w:val="24"/>
          <w:szCs w:val="24"/>
        </w:rPr>
        <w:t xml:space="preserve">commodity and demand </w:t>
      </w:r>
      <w:r w:rsidRPr="00917666">
        <w:rPr>
          <w:sz w:val="24"/>
          <w:szCs w:val="24"/>
        </w:rPr>
        <w:t xml:space="preserve">costs (Schedule 155).  Below is a table summarizing the proposed changes reflected in this </w:t>
      </w:r>
      <w:proofErr w:type="gramStart"/>
      <w:r w:rsidRPr="00917666">
        <w:rPr>
          <w:sz w:val="24"/>
          <w:szCs w:val="24"/>
        </w:rPr>
        <w:t>filing.</w:t>
      </w:r>
      <w:proofErr w:type="gramEnd"/>
      <w:r w:rsidRPr="00917666">
        <w:rPr>
          <w:sz w:val="24"/>
          <w:szCs w:val="24"/>
        </w:rPr>
        <w:t xml:space="preserve">  </w:t>
      </w:r>
    </w:p>
    <w:p w:rsidR="00D062AC" w:rsidRDefault="00D062AC" w:rsidP="00AC5443">
      <w:pPr>
        <w:tabs>
          <w:tab w:val="left" w:pos="720"/>
        </w:tabs>
        <w:jc w:val="both"/>
        <w:rPr>
          <w:sz w:val="24"/>
          <w:szCs w:val="24"/>
        </w:rPr>
      </w:pPr>
    </w:p>
    <w:p w:rsidR="003A24DA" w:rsidRPr="00917666" w:rsidRDefault="00641AA9" w:rsidP="00732C0E">
      <w:pPr>
        <w:ind w:right="-360"/>
        <w:jc w:val="center"/>
        <w:rPr>
          <w:sz w:val="21"/>
          <w:szCs w:val="21"/>
        </w:rPr>
      </w:pPr>
      <w:r w:rsidRPr="00641AA9">
        <w:rPr>
          <w:noProof/>
          <w:szCs w:val="21"/>
        </w:rPr>
        <w:drawing>
          <wp:inline distT="0" distB="0" distL="0" distR="0">
            <wp:extent cx="5943600" cy="201808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943600" cy="2018080"/>
                    </a:xfrm>
                    <a:prstGeom prst="rect">
                      <a:avLst/>
                    </a:prstGeom>
                    <a:noFill/>
                    <a:ln w="9525">
                      <a:noFill/>
                      <a:miter lim="800000"/>
                      <a:headEnd/>
                      <a:tailEnd/>
                    </a:ln>
                  </pic:spPr>
                </pic:pic>
              </a:graphicData>
            </a:graphic>
          </wp:inline>
        </w:drawing>
      </w:r>
    </w:p>
    <w:p w:rsidR="00820A23" w:rsidRDefault="00820A23" w:rsidP="0074190B">
      <w:pPr>
        <w:rPr>
          <w:b/>
          <w:sz w:val="24"/>
          <w:szCs w:val="24"/>
          <w:u w:val="single"/>
        </w:rPr>
      </w:pPr>
    </w:p>
    <w:p w:rsidR="003A24DA" w:rsidRPr="00917666" w:rsidRDefault="003A24DA" w:rsidP="0074190B">
      <w:pPr>
        <w:rPr>
          <w:sz w:val="24"/>
          <w:szCs w:val="24"/>
        </w:rPr>
      </w:pPr>
      <w:r w:rsidRPr="00917666">
        <w:rPr>
          <w:b/>
          <w:sz w:val="24"/>
          <w:szCs w:val="24"/>
          <w:u w:val="single"/>
        </w:rPr>
        <w:lastRenderedPageBreak/>
        <w:t>Commodity Costs</w:t>
      </w:r>
    </w:p>
    <w:p w:rsidR="004C7E4C" w:rsidRPr="00917666" w:rsidRDefault="004C7E4C" w:rsidP="00AC5443">
      <w:pPr>
        <w:jc w:val="both"/>
        <w:rPr>
          <w:sz w:val="24"/>
          <w:szCs w:val="24"/>
        </w:rPr>
      </w:pPr>
    </w:p>
    <w:p w:rsidR="00AA52D9" w:rsidRDefault="00AA52D9" w:rsidP="00AA52D9">
      <w:pPr>
        <w:jc w:val="both"/>
        <w:rPr>
          <w:sz w:val="24"/>
          <w:szCs w:val="24"/>
        </w:rPr>
      </w:pPr>
      <w:r w:rsidRPr="00917666">
        <w:rPr>
          <w:sz w:val="24"/>
          <w:szCs w:val="24"/>
        </w:rPr>
        <w:t xml:space="preserve">As shown in the table above, the estimated </w:t>
      </w:r>
      <w:r w:rsidR="00EE6624">
        <w:rPr>
          <w:sz w:val="24"/>
          <w:szCs w:val="24"/>
        </w:rPr>
        <w:t>Weighted Average Cost of Gas (“</w:t>
      </w:r>
      <w:r w:rsidRPr="00917666">
        <w:rPr>
          <w:sz w:val="24"/>
          <w:szCs w:val="24"/>
        </w:rPr>
        <w:t>WACOG</w:t>
      </w:r>
      <w:r w:rsidR="00EE6624">
        <w:rPr>
          <w:sz w:val="24"/>
          <w:szCs w:val="24"/>
        </w:rPr>
        <w:t>”</w:t>
      </w:r>
      <w:r w:rsidR="00850F10">
        <w:rPr>
          <w:sz w:val="24"/>
          <w:szCs w:val="24"/>
        </w:rPr>
        <w:t xml:space="preserve">) change is a </w:t>
      </w:r>
      <w:r w:rsidR="00850F10" w:rsidRPr="00850F10">
        <w:rPr>
          <w:sz w:val="24"/>
          <w:szCs w:val="24"/>
        </w:rPr>
        <w:t xml:space="preserve">decrease </w:t>
      </w:r>
      <w:r w:rsidRPr="00850F10">
        <w:rPr>
          <w:sz w:val="24"/>
          <w:szCs w:val="24"/>
        </w:rPr>
        <w:t xml:space="preserve">of </w:t>
      </w:r>
      <w:r w:rsidR="00A31F9D">
        <w:rPr>
          <w:sz w:val="24"/>
          <w:szCs w:val="24"/>
        </w:rPr>
        <w:t>14.1</w:t>
      </w:r>
      <w:r w:rsidRPr="00917666">
        <w:rPr>
          <w:sz w:val="24"/>
          <w:szCs w:val="24"/>
        </w:rPr>
        <w:t xml:space="preserve"> cents per therm.  The proposed WACOG, including the revenue conversion factor, is </w:t>
      </w:r>
      <w:r w:rsidR="00BA50C7">
        <w:rPr>
          <w:sz w:val="24"/>
          <w:szCs w:val="24"/>
        </w:rPr>
        <w:t>26.2</w:t>
      </w:r>
      <w:r w:rsidRPr="00917666">
        <w:rPr>
          <w:sz w:val="24"/>
          <w:szCs w:val="24"/>
        </w:rPr>
        <w:t xml:space="preserve"> cents per therm compared to the present WACOG of </w:t>
      </w:r>
      <w:r w:rsidR="00850F10">
        <w:rPr>
          <w:sz w:val="24"/>
          <w:szCs w:val="24"/>
        </w:rPr>
        <w:t>40.3</w:t>
      </w:r>
      <w:r w:rsidRPr="00917666">
        <w:rPr>
          <w:sz w:val="24"/>
          <w:szCs w:val="24"/>
        </w:rPr>
        <w:t xml:space="preserve"> cents per therm included in rates.  </w:t>
      </w:r>
    </w:p>
    <w:p w:rsidR="00A31F9D" w:rsidRPr="00917666" w:rsidRDefault="00A31F9D" w:rsidP="00AA52D9">
      <w:pPr>
        <w:jc w:val="both"/>
        <w:rPr>
          <w:sz w:val="24"/>
          <w:szCs w:val="24"/>
        </w:rPr>
      </w:pPr>
    </w:p>
    <w:p w:rsidR="00A31F9D" w:rsidRPr="00732C0E" w:rsidRDefault="00A31F9D" w:rsidP="00A31F9D">
      <w:pPr>
        <w:jc w:val="both"/>
        <w:rPr>
          <w:sz w:val="24"/>
          <w:szCs w:val="24"/>
        </w:rPr>
      </w:pPr>
      <w:r w:rsidRPr="00F66072">
        <w:rPr>
          <w:sz w:val="24"/>
          <w:szCs w:val="24"/>
        </w:rPr>
        <w:t xml:space="preserve">The winter of 2014-2015 was significantly warmer than normal both in the western United States and nationally.  The warmer than normal weather led to a decrease in overall natural gas demand and </w:t>
      </w:r>
      <w:r>
        <w:rPr>
          <w:sz w:val="24"/>
          <w:szCs w:val="24"/>
        </w:rPr>
        <w:t xml:space="preserve">reduced wholesale natural gas prices in the winter and </w:t>
      </w:r>
      <w:r w:rsidRPr="00F66072">
        <w:rPr>
          <w:sz w:val="24"/>
          <w:szCs w:val="24"/>
        </w:rPr>
        <w:t>spring. The downward pressure on wholesale prices has continued e</w:t>
      </w:r>
      <w:r>
        <w:rPr>
          <w:sz w:val="24"/>
          <w:szCs w:val="24"/>
        </w:rPr>
        <w:t>ven after the winter period</w:t>
      </w:r>
      <w:r w:rsidRPr="00F66072">
        <w:rPr>
          <w:sz w:val="24"/>
          <w:szCs w:val="24"/>
        </w:rPr>
        <w:t xml:space="preserve"> due to the abundance of natural gas in storage and continued high natural gas production levels.  </w:t>
      </w:r>
    </w:p>
    <w:p w:rsidR="00AA52D9" w:rsidRPr="00917666" w:rsidRDefault="00AA52D9" w:rsidP="00AA52D9">
      <w:pPr>
        <w:jc w:val="both"/>
        <w:rPr>
          <w:sz w:val="24"/>
          <w:szCs w:val="24"/>
        </w:rPr>
      </w:pPr>
    </w:p>
    <w:p w:rsidR="00AA52D9" w:rsidRPr="00AA52D9" w:rsidRDefault="00AA52D9" w:rsidP="00AA52D9">
      <w:pPr>
        <w:jc w:val="both"/>
        <w:rPr>
          <w:sz w:val="24"/>
          <w:szCs w:val="24"/>
        </w:rPr>
      </w:pPr>
      <w:r w:rsidRPr="00917666">
        <w:rPr>
          <w:sz w:val="24"/>
          <w:szCs w:val="24"/>
        </w:rPr>
        <w:t>The Company’s natural gas Procurement Plan (“Plan”) uses a diversified</w:t>
      </w:r>
      <w:r w:rsidRPr="00AA52D9">
        <w:rPr>
          <w:sz w:val="24"/>
          <w:szCs w:val="24"/>
        </w:rPr>
        <w:t xml:space="preserve"> approach to procure natural gas for the coming PGA year.  While the Plan generally incorporates a more structured approach for the hedging portion of the portfolio, the Company exercises flexibility and discretion in all areas of the plan based on changes in the wholesale market.  The Company typically meets with Commission Staff semi-annually to discuss the state of the wholesale market and the status of the Company’s Plan.  In addition, the Company communicates with </w:t>
      </w:r>
      <w:r w:rsidR="00A20BB9">
        <w:rPr>
          <w:sz w:val="24"/>
          <w:szCs w:val="24"/>
        </w:rPr>
        <w:t xml:space="preserve">Commission </w:t>
      </w:r>
      <w:r w:rsidRPr="00AA52D9">
        <w:rPr>
          <w:sz w:val="24"/>
          <w:szCs w:val="24"/>
        </w:rPr>
        <w:t xml:space="preserve">Staff when it believes it makes sense to deviate from its Plan and/or opportunities arise in the market.       </w:t>
      </w:r>
    </w:p>
    <w:p w:rsidR="00AA52D9" w:rsidRPr="00AA52D9" w:rsidRDefault="00AA52D9" w:rsidP="00AA52D9">
      <w:pPr>
        <w:jc w:val="both"/>
        <w:rPr>
          <w:sz w:val="24"/>
          <w:szCs w:val="24"/>
        </w:rPr>
      </w:pPr>
    </w:p>
    <w:p w:rsidR="00AA52D9" w:rsidRPr="00AA52D9" w:rsidRDefault="00AA52D9" w:rsidP="00AA52D9">
      <w:pPr>
        <w:jc w:val="both"/>
        <w:rPr>
          <w:sz w:val="24"/>
          <w:szCs w:val="24"/>
        </w:rPr>
      </w:pPr>
      <w:r w:rsidRPr="00917666">
        <w:rPr>
          <w:sz w:val="24"/>
          <w:szCs w:val="24"/>
        </w:rPr>
        <w:t xml:space="preserve">Avista has been hedging natural gas on both a periodic and discretionary basis throughout </w:t>
      </w:r>
      <w:r w:rsidR="00A31F9D">
        <w:rPr>
          <w:sz w:val="24"/>
          <w:szCs w:val="24"/>
        </w:rPr>
        <w:t>2014-</w:t>
      </w:r>
      <w:r w:rsidRPr="00917666">
        <w:rPr>
          <w:sz w:val="24"/>
          <w:szCs w:val="24"/>
        </w:rPr>
        <w:t>201</w:t>
      </w:r>
      <w:r w:rsidR="00850F10">
        <w:rPr>
          <w:sz w:val="24"/>
          <w:szCs w:val="24"/>
        </w:rPr>
        <w:t>5</w:t>
      </w:r>
      <w:r w:rsidRPr="00917666">
        <w:rPr>
          <w:sz w:val="24"/>
          <w:szCs w:val="24"/>
        </w:rPr>
        <w:t xml:space="preserve"> for the forthcoming PGA </w:t>
      </w:r>
      <w:r w:rsidRPr="00E94546">
        <w:rPr>
          <w:sz w:val="24"/>
          <w:szCs w:val="24"/>
        </w:rPr>
        <w:t xml:space="preserve">year.  Approximately </w:t>
      </w:r>
      <w:r w:rsidR="00E94546" w:rsidRPr="00E94546">
        <w:rPr>
          <w:sz w:val="24"/>
          <w:szCs w:val="24"/>
        </w:rPr>
        <w:t>44</w:t>
      </w:r>
      <w:r w:rsidRPr="00E94546">
        <w:rPr>
          <w:sz w:val="24"/>
          <w:szCs w:val="24"/>
        </w:rPr>
        <w:t>% of estimated annual load requirements for the PGA year (</w:t>
      </w:r>
      <w:r w:rsidR="00736ED4" w:rsidRPr="00E94546">
        <w:rPr>
          <w:sz w:val="24"/>
          <w:szCs w:val="24"/>
        </w:rPr>
        <w:t>November</w:t>
      </w:r>
      <w:r w:rsidRPr="00E94546">
        <w:rPr>
          <w:sz w:val="24"/>
          <w:szCs w:val="24"/>
        </w:rPr>
        <w:t xml:space="preserve"> 201</w:t>
      </w:r>
      <w:r w:rsidR="00E94546" w:rsidRPr="00E94546">
        <w:rPr>
          <w:sz w:val="24"/>
          <w:szCs w:val="24"/>
        </w:rPr>
        <w:t>5</w:t>
      </w:r>
      <w:r w:rsidRPr="00E94546">
        <w:rPr>
          <w:sz w:val="24"/>
          <w:szCs w:val="24"/>
        </w:rPr>
        <w:t xml:space="preserve"> through October 201</w:t>
      </w:r>
      <w:r w:rsidR="00E94546" w:rsidRPr="00E94546">
        <w:rPr>
          <w:sz w:val="24"/>
          <w:szCs w:val="24"/>
        </w:rPr>
        <w:t>6</w:t>
      </w:r>
      <w:r w:rsidRPr="00E94546">
        <w:rPr>
          <w:sz w:val="24"/>
          <w:szCs w:val="24"/>
        </w:rPr>
        <w:t xml:space="preserve">) will be hedged at a fixed-price derived from the Company’s Plan.  </w:t>
      </w:r>
      <w:r w:rsidRPr="00BA50C7">
        <w:rPr>
          <w:sz w:val="24"/>
          <w:szCs w:val="24"/>
        </w:rPr>
        <w:t>These volumes are comprised of: 1</w:t>
      </w:r>
      <w:r w:rsidRPr="0072016E">
        <w:rPr>
          <w:sz w:val="24"/>
          <w:szCs w:val="24"/>
        </w:rPr>
        <w:t xml:space="preserve">) </w:t>
      </w:r>
      <w:r w:rsidR="0072016E" w:rsidRPr="0072016E">
        <w:rPr>
          <w:sz w:val="24"/>
          <w:szCs w:val="24"/>
        </w:rPr>
        <w:t>13</w:t>
      </w:r>
      <w:r w:rsidRPr="0072016E">
        <w:rPr>
          <w:sz w:val="24"/>
          <w:szCs w:val="24"/>
        </w:rPr>
        <w:t>%</w:t>
      </w:r>
      <w:r w:rsidRPr="00BA50C7">
        <w:rPr>
          <w:sz w:val="24"/>
          <w:szCs w:val="24"/>
        </w:rPr>
        <w:t xml:space="preserve"> of volumes hedged for a term of one year or less, </w:t>
      </w:r>
      <w:r w:rsidR="00A821D9" w:rsidRPr="00BA50C7">
        <w:rPr>
          <w:sz w:val="24"/>
          <w:szCs w:val="24"/>
        </w:rPr>
        <w:t xml:space="preserve">and </w:t>
      </w:r>
      <w:r w:rsidRPr="00BA50C7">
        <w:rPr>
          <w:sz w:val="24"/>
          <w:szCs w:val="24"/>
        </w:rPr>
        <w:t xml:space="preserve">2) </w:t>
      </w:r>
      <w:r w:rsidR="0072016E" w:rsidRPr="0072016E">
        <w:rPr>
          <w:sz w:val="24"/>
          <w:szCs w:val="24"/>
        </w:rPr>
        <w:t>31</w:t>
      </w:r>
      <w:r w:rsidRPr="0072016E">
        <w:rPr>
          <w:sz w:val="24"/>
          <w:szCs w:val="24"/>
        </w:rPr>
        <w:t>% of volumes</w:t>
      </w:r>
      <w:r w:rsidRPr="00BA50C7">
        <w:rPr>
          <w:sz w:val="24"/>
          <w:szCs w:val="24"/>
        </w:rPr>
        <w:t xml:space="preserve"> from prior multi-year hedges. Through</w:t>
      </w:r>
      <w:r w:rsidRPr="00E94546">
        <w:rPr>
          <w:sz w:val="24"/>
          <w:szCs w:val="24"/>
        </w:rPr>
        <w:t xml:space="preserve"> </w:t>
      </w:r>
      <w:r w:rsidR="00A20BB9" w:rsidRPr="00E94546">
        <w:rPr>
          <w:sz w:val="24"/>
          <w:szCs w:val="24"/>
        </w:rPr>
        <w:t>August 201</w:t>
      </w:r>
      <w:r w:rsidR="00E94546" w:rsidRPr="00E94546">
        <w:rPr>
          <w:sz w:val="24"/>
          <w:szCs w:val="24"/>
        </w:rPr>
        <w:t>5</w:t>
      </w:r>
      <w:r w:rsidRPr="00E94546">
        <w:rPr>
          <w:sz w:val="24"/>
          <w:szCs w:val="24"/>
        </w:rPr>
        <w:t>, the planned hedge volumes for the PGA year have been executed at a weighted average price of $</w:t>
      </w:r>
      <w:r w:rsidR="00E94546" w:rsidRPr="00E94546">
        <w:rPr>
          <w:sz w:val="24"/>
          <w:szCs w:val="24"/>
        </w:rPr>
        <w:t>3.33 per dekatherm ($0.333</w:t>
      </w:r>
      <w:r w:rsidRPr="00E94546">
        <w:rPr>
          <w:sz w:val="24"/>
          <w:szCs w:val="24"/>
        </w:rPr>
        <w:t xml:space="preserve"> per therm).</w:t>
      </w:r>
      <w:r w:rsidRPr="00AA52D9">
        <w:rPr>
          <w:sz w:val="24"/>
          <w:szCs w:val="24"/>
        </w:rPr>
        <w:t xml:space="preserve">  </w:t>
      </w:r>
    </w:p>
    <w:p w:rsidR="0072016E" w:rsidRDefault="0072016E" w:rsidP="00AA52D9">
      <w:pPr>
        <w:jc w:val="both"/>
        <w:rPr>
          <w:sz w:val="24"/>
          <w:szCs w:val="24"/>
        </w:rPr>
      </w:pPr>
    </w:p>
    <w:p w:rsidR="003610AB" w:rsidRDefault="003610AB" w:rsidP="003610AB">
      <w:pPr>
        <w:ind w:right="36"/>
        <w:jc w:val="both"/>
        <w:rPr>
          <w:sz w:val="24"/>
          <w:szCs w:val="24"/>
        </w:rPr>
      </w:pPr>
      <w:r w:rsidRPr="0072016E">
        <w:rPr>
          <w:sz w:val="24"/>
          <w:szCs w:val="24"/>
        </w:rPr>
        <w:t>The Company has approximately 920,000 dekatherms of underground storage capacity at Jackson Prairie.  As of June 30, 2015 approximately 412,000 dekatherms of this capacity is available to serve peak day needs with the remaining 508,000 dekatherms being utilized to capture financial benefits for customers associated with optimizing the use of Jackson Prairie by locking in price differentials between time periods.</w:t>
      </w:r>
      <w:r w:rsidRPr="0072016E">
        <w:rPr>
          <w:rStyle w:val="FootnoteReference"/>
          <w:sz w:val="24"/>
          <w:szCs w:val="24"/>
        </w:rPr>
        <w:footnoteReference w:id="2"/>
      </w:r>
      <w:r w:rsidRPr="0072016E">
        <w:rPr>
          <w:sz w:val="24"/>
          <w:szCs w:val="24"/>
        </w:rPr>
        <w:t xml:space="preserve">  </w:t>
      </w:r>
      <w:r w:rsidRPr="0010017F">
        <w:rPr>
          <w:sz w:val="24"/>
          <w:szCs w:val="24"/>
        </w:rPr>
        <w:t>Approximately $4.7 million</w:t>
      </w:r>
      <w:r w:rsidRPr="0072016E">
        <w:rPr>
          <w:sz w:val="24"/>
          <w:szCs w:val="24"/>
        </w:rPr>
        <w:t xml:space="preserve"> in net storage optimization benefits have been included in this filing. </w:t>
      </w:r>
      <w:r w:rsidRPr="0010017F">
        <w:rPr>
          <w:sz w:val="24"/>
          <w:szCs w:val="24"/>
        </w:rPr>
        <w:t>The storage WACOG associated with withdrawal costs as of June 30, 2015 for all</w:t>
      </w:r>
      <w:r w:rsidR="00A31F9D">
        <w:rPr>
          <w:sz w:val="24"/>
          <w:szCs w:val="24"/>
        </w:rPr>
        <w:t xml:space="preserve"> remaining</w:t>
      </w:r>
      <w:r w:rsidRPr="0010017F">
        <w:rPr>
          <w:sz w:val="24"/>
          <w:szCs w:val="24"/>
        </w:rPr>
        <w:t xml:space="preserve"> storage volumes</w:t>
      </w:r>
      <w:r w:rsidR="00A31F9D">
        <w:rPr>
          <w:sz w:val="24"/>
          <w:szCs w:val="24"/>
        </w:rPr>
        <w:t xml:space="preserve"> (providing 5% of annual </w:t>
      </w:r>
      <w:proofErr w:type="gramStart"/>
      <w:r w:rsidR="00A31F9D">
        <w:rPr>
          <w:sz w:val="24"/>
          <w:szCs w:val="24"/>
        </w:rPr>
        <w:t>load</w:t>
      </w:r>
      <w:proofErr w:type="gramEnd"/>
      <w:r w:rsidR="00A31F9D">
        <w:rPr>
          <w:sz w:val="24"/>
          <w:szCs w:val="24"/>
        </w:rPr>
        <w:t xml:space="preserve"> requirements)</w:t>
      </w:r>
      <w:r w:rsidRPr="0010017F">
        <w:rPr>
          <w:sz w:val="24"/>
          <w:szCs w:val="24"/>
        </w:rPr>
        <w:t xml:space="preserve"> is $2.37</w:t>
      </w:r>
      <w:r w:rsidRPr="0072016E">
        <w:rPr>
          <w:sz w:val="24"/>
          <w:szCs w:val="24"/>
        </w:rPr>
        <w:t xml:space="preserve"> per dekatherm.</w:t>
      </w:r>
    </w:p>
    <w:p w:rsidR="003610AB" w:rsidRPr="0072016E" w:rsidRDefault="003610AB" w:rsidP="003610AB">
      <w:pPr>
        <w:ind w:right="36"/>
        <w:jc w:val="both"/>
        <w:rPr>
          <w:sz w:val="24"/>
          <w:szCs w:val="24"/>
        </w:rPr>
      </w:pPr>
    </w:p>
    <w:p w:rsidR="0072016E" w:rsidRDefault="0072016E" w:rsidP="0072016E">
      <w:pPr>
        <w:jc w:val="both"/>
        <w:rPr>
          <w:sz w:val="24"/>
          <w:szCs w:val="24"/>
        </w:rPr>
      </w:pPr>
      <w:r w:rsidRPr="00917666">
        <w:rPr>
          <w:sz w:val="24"/>
          <w:szCs w:val="24"/>
        </w:rPr>
        <w:t xml:space="preserve">The Company used a 30-day historical average of forward prices and supply basins (ending </w:t>
      </w:r>
      <w:r>
        <w:rPr>
          <w:sz w:val="24"/>
          <w:szCs w:val="24"/>
        </w:rPr>
        <w:t>July</w:t>
      </w:r>
      <w:r w:rsidRPr="00917666">
        <w:rPr>
          <w:sz w:val="24"/>
          <w:szCs w:val="24"/>
        </w:rPr>
        <w:t xml:space="preserve"> </w:t>
      </w:r>
      <w:r>
        <w:rPr>
          <w:sz w:val="24"/>
          <w:szCs w:val="24"/>
        </w:rPr>
        <w:t>15, 2015</w:t>
      </w:r>
      <w:r w:rsidRPr="00917666">
        <w:rPr>
          <w:sz w:val="24"/>
          <w:szCs w:val="24"/>
        </w:rPr>
        <w:t xml:space="preserve">) to develop an estimated cost associated with index purchases.  The estimated monthly volumes to be purchased by basin are multiplied by the 30-day average forward price for the corresponding month and basin.  These index purchases represent approximately </w:t>
      </w:r>
      <w:r>
        <w:rPr>
          <w:sz w:val="24"/>
          <w:szCs w:val="24"/>
        </w:rPr>
        <w:t>51</w:t>
      </w:r>
      <w:r w:rsidRPr="00917666">
        <w:rPr>
          <w:sz w:val="24"/>
          <w:szCs w:val="24"/>
        </w:rPr>
        <w:t xml:space="preserve">% of </w:t>
      </w:r>
      <w:r w:rsidRPr="00917666">
        <w:rPr>
          <w:sz w:val="24"/>
          <w:szCs w:val="24"/>
        </w:rPr>
        <w:lastRenderedPageBreak/>
        <w:t>estimated annual load requirements for the coming year.  The annual weighted averag</w:t>
      </w:r>
      <w:r>
        <w:rPr>
          <w:sz w:val="24"/>
          <w:szCs w:val="24"/>
        </w:rPr>
        <w:t>e price for these volumes is $2.51</w:t>
      </w:r>
      <w:r w:rsidRPr="00917666">
        <w:rPr>
          <w:sz w:val="24"/>
          <w:szCs w:val="24"/>
        </w:rPr>
        <w:t xml:space="preserve"> per dekatherm.</w:t>
      </w:r>
    </w:p>
    <w:p w:rsidR="00064FF0" w:rsidRDefault="00064FF0" w:rsidP="00AC5443">
      <w:pPr>
        <w:jc w:val="both"/>
        <w:rPr>
          <w:b/>
          <w:sz w:val="24"/>
          <w:szCs w:val="24"/>
          <w:u w:val="single"/>
        </w:rPr>
      </w:pPr>
    </w:p>
    <w:p w:rsidR="003A24DA" w:rsidRDefault="003A24DA" w:rsidP="00AC5443">
      <w:pPr>
        <w:jc w:val="both"/>
        <w:rPr>
          <w:b/>
          <w:sz w:val="24"/>
          <w:szCs w:val="24"/>
          <w:u w:val="single"/>
        </w:rPr>
      </w:pPr>
      <w:r w:rsidRPr="00EE2529">
        <w:rPr>
          <w:b/>
          <w:sz w:val="24"/>
          <w:szCs w:val="24"/>
          <w:u w:val="single"/>
        </w:rPr>
        <w:t>Demand Costs</w:t>
      </w:r>
    </w:p>
    <w:p w:rsidR="004C7E4C" w:rsidRDefault="004C7E4C" w:rsidP="00AC5443">
      <w:pPr>
        <w:jc w:val="both"/>
        <w:rPr>
          <w:sz w:val="24"/>
          <w:szCs w:val="24"/>
        </w:rPr>
      </w:pPr>
    </w:p>
    <w:p w:rsidR="00AA52D9" w:rsidRPr="00271C09" w:rsidRDefault="00AA52D9" w:rsidP="00AA52D9">
      <w:pPr>
        <w:jc w:val="both"/>
        <w:rPr>
          <w:i/>
          <w:sz w:val="24"/>
          <w:szCs w:val="24"/>
        </w:rPr>
      </w:pPr>
      <w:r w:rsidRPr="00271C09">
        <w:rPr>
          <w:sz w:val="24"/>
          <w:szCs w:val="24"/>
        </w:rPr>
        <w:t xml:space="preserve">Demand </w:t>
      </w:r>
      <w:r>
        <w:rPr>
          <w:sz w:val="24"/>
          <w:szCs w:val="24"/>
        </w:rPr>
        <w:t>c</w:t>
      </w:r>
      <w:r w:rsidRPr="00271C09">
        <w:rPr>
          <w:sz w:val="24"/>
          <w:szCs w:val="24"/>
        </w:rPr>
        <w:t>osts primarily represent the cost of transport</w:t>
      </w:r>
      <w:r>
        <w:rPr>
          <w:sz w:val="24"/>
          <w:szCs w:val="24"/>
        </w:rPr>
        <w:t xml:space="preserve">ing natural gas on interstate pipelines </w:t>
      </w:r>
      <w:r w:rsidRPr="00271C09">
        <w:rPr>
          <w:sz w:val="24"/>
          <w:szCs w:val="24"/>
        </w:rPr>
        <w:t>to the Company’s</w:t>
      </w:r>
      <w:r>
        <w:rPr>
          <w:sz w:val="24"/>
          <w:szCs w:val="24"/>
        </w:rPr>
        <w:t xml:space="preserve"> local distribution</w:t>
      </w:r>
      <w:r w:rsidRPr="00271C09">
        <w:rPr>
          <w:sz w:val="24"/>
          <w:szCs w:val="24"/>
        </w:rPr>
        <w:t xml:space="preserve"> system.  As shown in the table above, there is a slight increase in the </w:t>
      </w:r>
      <w:r>
        <w:rPr>
          <w:sz w:val="24"/>
          <w:szCs w:val="24"/>
        </w:rPr>
        <w:t xml:space="preserve">overall </w:t>
      </w:r>
      <w:r w:rsidRPr="00271C09">
        <w:rPr>
          <w:sz w:val="24"/>
          <w:szCs w:val="24"/>
        </w:rPr>
        <w:t>demand rate</w:t>
      </w:r>
      <w:r w:rsidR="00D062AC">
        <w:rPr>
          <w:sz w:val="24"/>
          <w:szCs w:val="24"/>
        </w:rPr>
        <w:t xml:space="preserve"> for most rate schedules</w:t>
      </w:r>
      <w:r w:rsidRPr="00271C09">
        <w:rPr>
          <w:sz w:val="24"/>
          <w:szCs w:val="24"/>
        </w:rPr>
        <w:t xml:space="preserve">.  </w:t>
      </w:r>
      <w:r w:rsidR="001F53C7" w:rsidRPr="0006461C">
        <w:rPr>
          <w:sz w:val="24"/>
          <w:szCs w:val="24"/>
        </w:rPr>
        <w:t>Included in the Company’s filing are the new rates for TransCanada-Gas Transmission Northwest (GTN) which will go into effect January 1, 2016.</w:t>
      </w:r>
    </w:p>
    <w:p w:rsidR="00B015DB" w:rsidRDefault="00B015DB" w:rsidP="00AC5443">
      <w:pPr>
        <w:jc w:val="both"/>
        <w:rPr>
          <w:b/>
          <w:sz w:val="24"/>
          <w:szCs w:val="24"/>
          <w:u w:val="single"/>
        </w:rPr>
      </w:pPr>
    </w:p>
    <w:p w:rsidR="003A24DA" w:rsidRPr="00EE2529" w:rsidRDefault="003A24DA" w:rsidP="00AC5443">
      <w:pPr>
        <w:jc w:val="both"/>
        <w:rPr>
          <w:b/>
          <w:sz w:val="24"/>
          <w:szCs w:val="24"/>
          <w:u w:val="single"/>
        </w:rPr>
      </w:pPr>
      <w:r w:rsidRPr="00EE2529">
        <w:rPr>
          <w:b/>
          <w:sz w:val="24"/>
          <w:szCs w:val="24"/>
          <w:u w:val="single"/>
        </w:rPr>
        <w:t>Schedule 155 / Amortization Rate Change</w:t>
      </w:r>
    </w:p>
    <w:p w:rsidR="004C7E4C" w:rsidRDefault="004C7E4C" w:rsidP="00AC5443">
      <w:pPr>
        <w:jc w:val="both"/>
        <w:rPr>
          <w:sz w:val="24"/>
          <w:szCs w:val="24"/>
        </w:rPr>
      </w:pPr>
    </w:p>
    <w:p w:rsidR="00C433DF" w:rsidRDefault="00AA52D9" w:rsidP="00D062AC">
      <w:pPr>
        <w:jc w:val="both"/>
        <w:rPr>
          <w:sz w:val="24"/>
          <w:szCs w:val="24"/>
        </w:rPr>
      </w:pPr>
      <w:r w:rsidRPr="00271C09">
        <w:rPr>
          <w:sz w:val="24"/>
          <w:szCs w:val="24"/>
        </w:rPr>
        <w:t xml:space="preserve">As shown in the table above, the </w:t>
      </w:r>
      <w:r w:rsidRPr="009C109D">
        <w:rPr>
          <w:color w:val="000000" w:themeColor="text1"/>
          <w:sz w:val="24"/>
          <w:szCs w:val="24"/>
        </w:rPr>
        <w:t xml:space="preserve">proposed </w:t>
      </w:r>
      <w:r w:rsidR="00560628">
        <w:rPr>
          <w:color w:val="000000" w:themeColor="text1"/>
          <w:sz w:val="24"/>
          <w:szCs w:val="24"/>
        </w:rPr>
        <w:t xml:space="preserve">amortization rate </w:t>
      </w:r>
      <w:r w:rsidRPr="009C109D">
        <w:rPr>
          <w:color w:val="000000" w:themeColor="text1"/>
          <w:sz w:val="24"/>
          <w:szCs w:val="24"/>
        </w:rPr>
        <w:t xml:space="preserve">change </w:t>
      </w:r>
      <w:r w:rsidR="00992BB6" w:rsidRPr="009C109D">
        <w:rPr>
          <w:color w:val="000000" w:themeColor="text1"/>
          <w:sz w:val="24"/>
          <w:szCs w:val="24"/>
        </w:rPr>
        <w:t xml:space="preserve">for </w:t>
      </w:r>
      <w:r w:rsidR="00560628">
        <w:rPr>
          <w:color w:val="000000" w:themeColor="text1"/>
          <w:sz w:val="24"/>
          <w:szCs w:val="24"/>
        </w:rPr>
        <w:t>S</w:t>
      </w:r>
      <w:r w:rsidR="00992BB6" w:rsidRPr="009C109D">
        <w:rPr>
          <w:color w:val="000000" w:themeColor="text1"/>
          <w:sz w:val="24"/>
          <w:szCs w:val="24"/>
        </w:rPr>
        <w:t>chedule 101</w:t>
      </w:r>
      <w:r w:rsidR="00A20BB9">
        <w:rPr>
          <w:color w:val="000000" w:themeColor="text1"/>
          <w:sz w:val="24"/>
          <w:szCs w:val="24"/>
        </w:rPr>
        <w:t xml:space="preserve"> in particular is a</w:t>
      </w:r>
      <w:r w:rsidRPr="00271C09">
        <w:rPr>
          <w:sz w:val="24"/>
          <w:szCs w:val="24"/>
        </w:rPr>
        <w:t xml:space="preserve"> </w:t>
      </w:r>
      <w:r w:rsidR="00EB276A">
        <w:rPr>
          <w:sz w:val="24"/>
          <w:szCs w:val="24"/>
        </w:rPr>
        <w:t>de</w:t>
      </w:r>
      <w:r w:rsidRPr="00271C09">
        <w:rPr>
          <w:sz w:val="24"/>
          <w:szCs w:val="24"/>
        </w:rPr>
        <w:t>crease of $0.</w:t>
      </w:r>
      <w:r w:rsidR="00992BB6">
        <w:rPr>
          <w:sz w:val="24"/>
          <w:szCs w:val="24"/>
        </w:rPr>
        <w:t>0</w:t>
      </w:r>
      <w:r w:rsidR="00C433DF">
        <w:rPr>
          <w:sz w:val="24"/>
          <w:szCs w:val="24"/>
        </w:rPr>
        <w:t>117</w:t>
      </w:r>
      <w:r w:rsidR="003610AB">
        <w:rPr>
          <w:sz w:val="24"/>
          <w:szCs w:val="24"/>
        </w:rPr>
        <w:t>6</w:t>
      </w:r>
      <w:r w:rsidRPr="00271C09">
        <w:rPr>
          <w:sz w:val="24"/>
          <w:szCs w:val="24"/>
        </w:rPr>
        <w:t xml:space="preserve"> per therm.  </w:t>
      </w:r>
      <w:r>
        <w:rPr>
          <w:sz w:val="24"/>
          <w:szCs w:val="24"/>
        </w:rPr>
        <w:t>The current rate</w:t>
      </w:r>
      <w:r w:rsidR="00A20BB9">
        <w:rPr>
          <w:sz w:val="24"/>
          <w:szCs w:val="24"/>
        </w:rPr>
        <w:t xml:space="preserve"> applicable to Schedule 101</w:t>
      </w:r>
      <w:r>
        <w:rPr>
          <w:sz w:val="24"/>
          <w:szCs w:val="24"/>
        </w:rPr>
        <w:t xml:space="preserve"> </w:t>
      </w:r>
      <w:r w:rsidRPr="00917666">
        <w:rPr>
          <w:sz w:val="24"/>
          <w:szCs w:val="24"/>
        </w:rPr>
        <w:t xml:space="preserve">is </w:t>
      </w:r>
    </w:p>
    <w:p w:rsidR="00B1245D" w:rsidRDefault="00AA52D9" w:rsidP="00D062AC">
      <w:pPr>
        <w:jc w:val="both"/>
        <w:rPr>
          <w:sz w:val="24"/>
          <w:szCs w:val="24"/>
        </w:rPr>
      </w:pPr>
      <w:r w:rsidRPr="00917666">
        <w:rPr>
          <w:sz w:val="24"/>
          <w:szCs w:val="24"/>
        </w:rPr>
        <w:t>$0.0</w:t>
      </w:r>
      <w:r w:rsidR="00D062AC">
        <w:rPr>
          <w:sz w:val="24"/>
          <w:szCs w:val="24"/>
        </w:rPr>
        <w:t>1530</w:t>
      </w:r>
      <w:r w:rsidRPr="00271C09">
        <w:rPr>
          <w:sz w:val="24"/>
          <w:szCs w:val="24"/>
        </w:rPr>
        <w:t xml:space="preserve"> per therm</w:t>
      </w:r>
      <w:r>
        <w:rPr>
          <w:sz w:val="24"/>
          <w:szCs w:val="24"/>
        </w:rPr>
        <w:t xml:space="preserve"> in the </w:t>
      </w:r>
      <w:r w:rsidR="00C433DF">
        <w:rPr>
          <w:sz w:val="24"/>
          <w:szCs w:val="24"/>
          <w:u w:val="single"/>
        </w:rPr>
        <w:t>rebate</w:t>
      </w:r>
      <w:r>
        <w:rPr>
          <w:sz w:val="24"/>
          <w:szCs w:val="24"/>
        </w:rPr>
        <w:t xml:space="preserve"> direction; the proposed </w:t>
      </w:r>
      <w:r w:rsidRPr="00917666">
        <w:rPr>
          <w:sz w:val="24"/>
          <w:szCs w:val="24"/>
        </w:rPr>
        <w:t>rate is $0.0</w:t>
      </w:r>
      <w:r w:rsidR="00C433DF">
        <w:rPr>
          <w:sz w:val="24"/>
          <w:szCs w:val="24"/>
        </w:rPr>
        <w:t>270</w:t>
      </w:r>
      <w:r w:rsidR="003610AB">
        <w:rPr>
          <w:sz w:val="24"/>
          <w:szCs w:val="24"/>
        </w:rPr>
        <w:t>6</w:t>
      </w:r>
      <w:r w:rsidR="00064FF0">
        <w:rPr>
          <w:sz w:val="24"/>
          <w:szCs w:val="24"/>
        </w:rPr>
        <w:t xml:space="preserve"> per therm is also in</w:t>
      </w:r>
      <w:r w:rsidRPr="00917666">
        <w:rPr>
          <w:sz w:val="24"/>
          <w:szCs w:val="24"/>
        </w:rPr>
        <w:t xml:space="preserve"> the </w:t>
      </w:r>
      <w:r w:rsidR="00EB276A" w:rsidRPr="00EB276A">
        <w:rPr>
          <w:sz w:val="24"/>
          <w:szCs w:val="24"/>
          <w:u w:val="single"/>
        </w:rPr>
        <w:t>rebate</w:t>
      </w:r>
      <w:r w:rsidR="00B1245D">
        <w:rPr>
          <w:sz w:val="24"/>
          <w:szCs w:val="24"/>
        </w:rPr>
        <w:t xml:space="preserve"> direction.</w:t>
      </w:r>
      <w:r w:rsidR="00DE6971">
        <w:rPr>
          <w:rStyle w:val="FootnoteReference"/>
          <w:sz w:val="24"/>
          <w:szCs w:val="24"/>
        </w:rPr>
        <w:footnoteReference w:id="3"/>
      </w:r>
      <w:r w:rsidR="00B1245D">
        <w:rPr>
          <w:sz w:val="24"/>
          <w:szCs w:val="24"/>
        </w:rPr>
        <w:t xml:space="preserve">  The </w:t>
      </w:r>
      <w:r w:rsidRPr="00917666">
        <w:rPr>
          <w:sz w:val="24"/>
          <w:szCs w:val="24"/>
        </w:rPr>
        <w:t xml:space="preserve">reason for the </w:t>
      </w:r>
      <w:r w:rsidR="00D062AC">
        <w:rPr>
          <w:sz w:val="24"/>
          <w:szCs w:val="24"/>
        </w:rPr>
        <w:t>increase</w:t>
      </w:r>
      <w:r w:rsidRPr="00917666">
        <w:rPr>
          <w:sz w:val="24"/>
          <w:szCs w:val="24"/>
        </w:rPr>
        <w:t xml:space="preserve"> in the Schedule 155 amortization </w:t>
      </w:r>
      <w:r w:rsidR="00D062AC">
        <w:rPr>
          <w:sz w:val="24"/>
          <w:szCs w:val="24"/>
        </w:rPr>
        <w:t xml:space="preserve">rebate </w:t>
      </w:r>
      <w:r w:rsidRPr="00917666">
        <w:rPr>
          <w:sz w:val="24"/>
          <w:szCs w:val="24"/>
        </w:rPr>
        <w:t xml:space="preserve">rate is </w:t>
      </w:r>
      <w:r w:rsidR="00B1245D">
        <w:rPr>
          <w:sz w:val="24"/>
          <w:szCs w:val="24"/>
        </w:rPr>
        <w:t>due</w:t>
      </w:r>
      <w:r w:rsidR="00A20BB9">
        <w:rPr>
          <w:sz w:val="24"/>
          <w:szCs w:val="24"/>
        </w:rPr>
        <w:t xml:space="preserve"> to </w:t>
      </w:r>
      <w:r w:rsidR="00D062AC">
        <w:rPr>
          <w:sz w:val="24"/>
          <w:szCs w:val="24"/>
        </w:rPr>
        <w:t>wholesale natural gas prices that were lower than the level approved in the Company’s 2014 PGA.  As a result of the lower prices, the amount of revenue collected from customers exceeded the Company’s costs.  However, a portion of the benefit of reduced wholesale natural gas prices was offset by an under collection of fixed demand costs which was the result of a warmer than normal winter.</w:t>
      </w:r>
    </w:p>
    <w:p w:rsidR="008D1A8C" w:rsidRDefault="008D1A8C" w:rsidP="00D062AC">
      <w:pPr>
        <w:jc w:val="both"/>
        <w:rPr>
          <w:sz w:val="24"/>
          <w:szCs w:val="24"/>
        </w:rPr>
      </w:pPr>
    </w:p>
    <w:p w:rsidR="00936FE5" w:rsidRPr="00936FE5" w:rsidRDefault="00D062AC" w:rsidP="00AC5443">
      <w:pPr>
        <w:jc w:val="both"/>
        <w:outlineLvl w:val="0"/>
        <w:rPr>
          <w:b/>
          <w:sz w:val="24"/>
          <w:szCs w:val="24"/>
          <w:u w:val="single"/>
        </w:rPr>
      </w:pPr>
      <w:r>
        <w:rPr>
          <w:b/>
          <w:sz w:val="24"/>
          <w:szCs w:val="24"/>
          <w:u w:val="single"/>
        </w:rPr>
        <w:t>Summary</w:t>
      </w:r>
    </w:p>
    <w:p w:rsidR="00936FE5" w:rsidRPr="00936FE5" w:rsidRDefault="00936FE5" w:rsidP="00AC5443">
      <w:pPr>
        <w:jc w:val="both"/>
        <w:rPr>
          <w:sz w:val="24"/>
          <w:szCs w:val="24"/>
        </w:rPr>
      </w:pPr>
    </w:p>
    <w:p w:rsidR="003A24DA" w:rsidRDefault="00B52A0C" w:rsidP="00AC5443">
      <w:pPr>
        <w:tabs>
          <w:tab w:val="left" w:pos="720"/>
          <w:tab w:val="left" w:pos="3240"/>
        </w:tabs>
        <w:jc w:val="both"/>
        <w:rPr>
          <w:sz w:val="24"/>
        </w:rPr>
      </w:pPr>
      <w:r w:rsidRPr="00D67273">
        <w:rPr>
          <w:sz w:val="24"/>
          <w:szCs w:val="24"/>
        </w:rPr>
        <w:t xml:space="preserve">The annual revenue change reflected in this filing is </w:t>
      </w:r>
      <w:r w:rsidR="00C433DF" w:rsidRPr="00D67273">
        <w:rPr>
          <w:sz w:val="24"/>
          <w:szCs w:val="24"/>
        </w:rPr>
        <w:t>a</w:t>
      </w:r>
      <w:r w:rsidR="004D23AE" w:rsidRPr="00D67273">
        <w:rPr>
          <w:sz w:val="24"/>
          <w:szCs w:val="24"/>
        </w:rPr>
        <w:t xml:space="preserve"> </w:t>
      </w:r>
      <w:r w:rsidR="00C433DF">
        <w:rPr>
          <w:i/>
          <w:sz w:val="24"/>
          <w:szCs w:val="24"/>
        </w:rPr>
        <w:t>decrease</w:t>
      </w:r>
      <w:r w:rsidR="00F014F1" w:rsidRPr="00D67273">
        <w:rPr>
          <w:sz w:val="24"/>
          <w:szCs w:val="24"/>
        </w:rPr>
        <w:t xml:space="preserve"> </w:t>
      </w:r>
      <w:r w:rsidR="00F014F1" w:rsidRPr="00C433DF">
        <w:rPr>
          <w:sz w:val="24"/>
          <w:szCs w:val="24"/>
        </w:rPr>
        <w:t>of $</w:t>
      </w:r>
      <w:r w:rsidR="00902FB5">
        <w:rPr>
          <w:sz w:val="24"/>
          <w:szCs w:val="24"/>
        </w:rPr>
        <w:t>2</w:t>
      </w:r>
      <w:r w:rsidR="00F70D8A">
        <w:rPr>
          <w:sz w:val="24"/>
          <w:szCs w:val="24"/>
        </w:rPr>
        <w:t>6</w:t>
      </w:r>
      <w:r w:rsidR="00902FB5">
        <w:rPr>
          <w:sz w:val="24"/>
          <w:szCs w:val="24"/>
        </w:rPr>
        <w:t>.</w:t>
      </w:r>
      <w:r w:rsidR="00F70D8A">
        <w:rPr>
          <w:sz w:val="24"/>
          <w:szCs w:val="24"/>
        </w:rPr>
        <w:t>1</w:t>
      </w:r>
      <w:r w:rsidR="00F014F1" w:rsidRPr="00C433DF">
        <w:rPr>
          <w:sz w:val="24"/>
          <w:szCs w:val="24"/>
        </w:rPr>
        <w:t xml:space="preserve"> million,</w:t>
      </w:r>
      <w:r w:rsidR="00F014F1" w:rsidRPr="00D67273">
        <w:rPr>
          <w:sz w:val="24"/>
          <w:szCs w:val="24"/>
        </w:rPr>
        <w:t xml:space="preserve"> or </w:t>
      </w:r>
      <w:r w:rsidR="00C433DF" w:rsidRPr="00D67273">
        <w:rPr>
          <w:sz w:val="24"/>
          <w:szCs w:val="24"/>
        </w:rPr>
        <w:t>a</w:t>
      </w:r>
      <w:r w:rsidR="00670A1C" w:rsidRPr="00D67273">
        <w:rPr>
          <w:sz w:val="24"/>
          <w:szCs w:val="24"/>
        </w:rPr>
        <w:t xml:space="preserve"> </w:t>
      </w:r>
      <w:r w:rsidR="00C433DF">
        <w:rPr>
          <w:i/>
          <w:sz w:val="24"/>
          <w:szCs w:val="24"/>
        </w:rPr>
        <w:t>decrease</w:t>
      </w:r>
      <w:r w:rsidR="004D23AE" w:rsidRPr="00D67273">
        <w:rPr>
          <w:sz w:val="24"/>
          <w:szCs w:val="24"/>
        </w:rPr>
        <w:t xml:space="preserve"> </w:t>
      </w:r>
      <w:r w:rsidRPr="00D67273">
        <w:rPr>
          <w:sz w:val="24"/>
          <w:szCs w:val="24"/>
        </w:rPr>
        <w:t xml:space="preserve">in annual gas revenue of </w:t>
      </w:r>
      <w:r w:rsidR="00F70D8A">
        <w:rPr>
          <w:sz w:val="24"/>
          <w:szCs w:val="24"/>
        </w:rPr>
        <w:t>15</w:t>
      </w:r>
      <w:r w:rsidR="00D062AC">
        <w:rPr>
          <w:sz w:val="24"/>
          <w:szCs w:val="24"/>
        </w:rPr>
        <w:t>.0</w:t>
      </w:r>
      <w:r w:rsidRPr="00D67273">
        <w:rPr>
          <w:sz w:val="24"/>
          <w:szCs w:val="24"/>
        </w:rPr>
        <w:t xml:space="preserve">%.  </w:t>
      </w:r>
      <w:r w:rsidR="003A24DA" w:rsidRPr="002C2D32">
        <w:rPr>
          <w:sz w:val="24"/>
          <w:szCs w:val="24"/>
        </w:rPr>
        <w:t xml:space="preserve">The average residential or small commercial customer using </w:t>
      </w:r>
      <w:r w:rsidR="00FC02C5">
        <w:rPr>
          <w:sz w:val="24"/>
          <w:szCs w:val="24"/>
        </w:rPr>
        <w:t xml:space="preserve">68 </w:t>
      </w:r>
      <w:r w:rsidR="003A24DA" w:rsidRPr="002C2D32">
        <w:rPr>
          <w:sz w:val="24"/>
          <w:szCs w:val="24"/>
        </w:rPr>
        <w:t>therms per month</w:t>
      </w:r>
      <w:r w:rsidR="003A24DA" w:rsidRPr="002C2D32">
        <w:rPr>
          <w:sz w:val="24"/>
        </w:rPr>
        <w:t xml:space="preserve"> will see </w:t>
      </w:r>
      <w:proofErr w:type="gramStart"/>
      <w:r w:rsidR="003A24DA" w:rsidRPr="002C2D32">
        <w:rPr>
          <w:sz w:val="24"/>
        </w:rPr>
        <w:t>a</w:t>
      </w:r>
      <w:r w:rsidR="00AA52D9" w:rsidRPr="002C2D32">
        <w:rPr>
          <w:sz w:val="24"/>
        </w:rPr>
        <w:t>n</w:t>
      </w:r>
      <w:proofErr w:type="gramEnd"/>
      <w:r w:rsidR="00AA52D9" w:rsidRPr="002C2D32">
        <w:rPr>
          <w:sz w:val="24"/>
        </w:rPr>
        <w:t xml:space="preserve"> </w:t>
      </w:r>
      <w:r w:rsidR="00C433DF">
        <w:rPr>
          <w:sz w:val="24"/>
        </w:rPr>
        <w:t>decrease</w:t>
      </w:r>
      <w:r w:rsidR="003A24DA" w:rsidRPr="002C2D32">
        <w:rPr>
          <w:sz w:val="24"/>
        </w:rPr>
        <w:t xml:space="preserve"> of </w:t>
      </w:r>
      <w:r w:rsidR="00902FB5">
        <w:rPr>
          <w:sz w:val="24"/>
        </w:rPr>
        <w:t>$</w:t>
      </w:r>
      <w:r w:rsidR="00641AA9">
        <w:rPr>
          <w:sz w:val="24"/>
        </w:rPr>
        <w:t>10.17</w:t>
      </w:r>
      <w:r w:rsidR="003A24DA" w:rsidRPr="002C2D32">
        <w:rPr>
          <w:sz w:val="24"/>
        </w:rPr>
        <w:t xml:space="preserve"> per month, </w:t>
      </w:r>
      <w:r w:rsidR="003A24DA" w:rsidRPr="00FC02C5">
        <w:rPr>
          <w:sz w:val="24"/>
        </w:rPr>
        <w:t xml:space="preserve">or approximately </w:t>
      </w:r>
      <w:r w:rsidR="00902FB5">
        <w:rPr>
          <w:sz w:val="24"/>
        </w:rPr>
        <w:t>14.</w:t>
      </w:r>
      <w:r w:rsidR="00F70D8A">
        <w:rPr>
          <w:sz w:val="24"/>
        </w:rPr>
        <w:t>9</w:t>
      </w:r>
      <w:r w:rsidR="003A24DA" w:rsidRPr="00FC02C5">
        <w:rPr>
          <w:sz w:val="24"/>
        </w:rPr>
        <w:t>%.</w:t>
      </w:r>
      <w:r w:rsidR="003A24DA" w:rsidRPr="002C2D32">
        <w:rPr>
          <w:sz w:val="24"/>
        </w:rPr>
        <w:t xml:space="preserve">  The present bill for </w:t>
      </w:r>
      <w:r w:rsidR="004D23AE" w:rsidRPr="002C2D32">
        <w:rPr>
          <w:sz w:val="24"/>
        </w:rPr>
        <w:t>6</w:t>
      </w:r>
      <w:r w:rsidR="00FC02C5">
        <w:rPr>
          <w:sz w:val="24"/>
        </w:rPr>
        <w:t>8</w:t>
      </w:r>
      <w:r w:rsidR="003A24DA" w:rsidRPr="002C2D32">
        <w:rPr>
          <w:sz w:val="24"/>
        </w:rPr>
        <w:t xml:space="preserve"> </w:t>
      </w:r>
      <w:r w:rsidR="003A24DA" w:rsidRPr="00FC02C5">
        <w:rPr>
          <w:sz w:val="24"/>
        </w:rPr>
        <w:t>therms is $</w:t>
      </w:r>
      <w:r w:rsidR="00FC02C5" w:rsidRPr="00FC02C5">
        <w:rPr>
          <w:sz w:val="24"/>
        </w:rPr>
        <w:t>68.16</w:t>
      </w:r>
      <w:r w:rsidR="000E4D84" w:rsidRPr="00FC02C5">
        <w:rPr>
          <w:sz w:val="24"/>
        </w:rPr>
        <w:t xml:space="preserve"> </w:t>
      </w:r>
      <w:r w:rsidR="003A24DA" w:rsidRPr="00FC02C5">
        <w:rPr>
          <w:sz w:val="24"/>
        </w:rPr>
        <w:t>while the proposed bill is $</w:t>
      </w:r>
      <w:r w:rsidR="00FC02C5" w:rsidRPr="00FC02C5">
        <w:rPr>
          <w:sz w:val="24"/>
        </w:rPr>
        <w:t>5</w:t>
      </w:r>
      <w:r w:rsidR="00F70D8A">
        <w:rPr>
          <w:sz w:val="24"/>
        </w:rPr>
        <w:t>7.99</w:t>
      </w:r>
      <w:r w:rsidR="003A24DA" w:rsidRPr="00FC02C5">
        <w:rPr>
          <w:sz w:val="24"/>
        </w:rPr>
        <w:t>.</w:t>
      </w:r>
      <w:r w:rsidR="00CC5157">
        <w:rPr>
          <w:sz w:val="24"/>
        </w:rPr>
        <w:t xml:space="preserve">  </w:t>
      </w:r>
    </w:p>
    <w:p w:rsidR="00CC5157" w:rsidRDefault="00CC5157" w:rsidP="00AC5443">
      <w:pPr>
        <w:tabs>
          <w:tab w:val="left" w:pos="720"/>
          <w:tab w:val="left" w:pos="3240"/>
        </w:tabs>
        <w:jc w:val="both"/>
        <w:rPr>
          <w:sz w:val="24"/>
        </w:rPr>
      </w:pPr>
    </w:p>
    <w:p w:rsidR="00093A6E" w:rsidRDefault="00B52A0C" w:rsidP="00AC5443">
      <w:pPr>
        <w:tabs>
          <w:tab w:val="left" w:pos="720"/>
          <w:tab w:val="left" w:pos="3240"/>
        </w:tabs>
        <w:jc w:val="both"/>
        <w:rPr>
          <w:sz w:val="24"/>
        </w:rPr>
      </w:pPr>
      <w:r>
        <w:rPr>
          <w:sz w:val="24"/>
        </w:rPr>
        <w:t>Also enclosed are the workpapers supporting the proposed rate changes</w:t>
      </w:r>
      <w:r w:rsidR="00D95D14">
        <w:rPr>
          <w:sz w:val="24"/>
        </w:rPr>
        <w:t xml:space="preserve"> and</w:t>
      </w:r>
      <w:r w:rsidR="00CC5157">
        <w:rPr>
          <w:sz w:val="24"/>
        </w:rPr>
        <w:t xml:space="preserve"> a media release </w:t>
      </w:r>
      <w:r w:rsidR="00D95D14">
        <w:rPr>
          <w:sz w:val="24"/>
        </w:rPr>
        <w:t xml:space="preserve">which will be issued </w:t>
      </w:r>
      <w:r w:rsidR="00CC5157">
        <w:rPr>
          <w:sz w:val="24"/>
        </w:rPr>
        <w:t xml:space="preserve">coincident with this </w:t>
      </w:r>
      <w:proofErr w:type="gramStart"/>
      <w:r w:rsidR="00CC5157">
        <w:rPr>
          <w:sz w:val="24"/>
        </w:rPr>
        <w:t>filing</w:t>
      </w:r>
      <w:r w:rsidR="00D95D14">
        <w:rPr>
          <w:sz w:val="24"/>
        </w:rPr>
        <w:t>.</w:t>
      </w:r>
      <w:proofErr w:type="gramEnd"/>
      <w:r w:rsidR="00D95D14">
        <w:rPr>
          <w:sz w:val="24"/>
        </w:rPr>
        <w:t xml:space="preserve">  The Company will also </w:t>
      </w:r>
      <w:r w:rsidR="00CC5157">
        <w:rPr>
          <w:sz w:val="24"/>
        </w:rPr>
        <w:t xml:space="preserve">send a bill insert to customers regarding the proposed </w:t>
      </w:r>
      <w:r w:rsidR="004D23AE" w:rsidRPr="004D23AE">
        <w:rPr>
          <w:sz w:val="24"/>
        </w:rPr>
        <w:t>in</w:t>
      </w:r>
      <w:r w:rsidR="00CC5157" w:rsidRPr="004D23AE">
        <w:rPr>
          <w:sz w:val="24"/>
        </w:rPr>
        <w:t>crease</w:t>
      </w:r>
      <w:r w:rsidR="00CC5157">
        <w:rPr>
          <w:sz w:val="24"/>
        </w:rPr>
        <w:t xml:space="preserve"> prior to November 1.</w:t>
      </w:r>
    </w:p>
    <w:p w:rsidR="00093A6E" w:rsidRDefault="00093A6E" w:rsidP="00AC5443">
      <w:pPr>
        <w:tabs>
          <w:tab w:val="left" w:pos="720"/>
          <w:tab w:val="left" w:pos="3240"/>
        </w:tabs>
        <w:jc w:val="both"/>
        <w:rPr>
          <w:sz w:val="24"/>
        </w:rPr>
      </w:pPr>
    </w:p>
    <w:p w:rsidR="00B52A0C" w:rsidRDefault="00B52A0C" w:rsidP="00AC5443">
      <w:pPr>
        <w:jc w:val="both"/>
        <w:rPr>
          <w:sz w:val="24"/>
        </w:rPr>
      </w:pPr>
      <w:r>
        <w:rPr>
          <w:sz w:val="24"/>
        </w:rPr>
        <w:t xml:space="preserve">If you have any questions regarding this filing, please call </w:t>
      </w:r>
      <w:r w:rsidR="00FC02C5">
        <w:rPr>
          <w:sz w:val="24"/>
        </w:rPr>
        <w:t>Ryan Finesilver</w:t>
      </w:r>
      <w:r>
        <w:rPr>
          <w:sz w:val="24"/>
        </w:rPr>
        <w:t xml:space="preserve"> at 509-495-</w:t>
      </w:r>
      <w:r w:rsidR="00AA52D9">
        <w:rPr>
          <w:sz w:val="24"/>
        </w:rPr>
        <w:t>4</w:t>
      </w:r>
      <w:r w:rsidR="00FC02C5">
        <w:rPr>
          <w:sz w:val="24"/>
        </w:rPr>
        <w:t>873</w:t>
      </w:r>
      <w:r>
        <w:rPr>
          <w:sz w:val="24"/>
        </w:rPr>
        <w:t xml:space="preserve"> or </w:t>
      </w:r>
      <w:r w:rsidR="009F6C11">
        <w:rPr>
          <w:sz w:val="24"/>
        </w:rPr>
        <w:t>Patrick Ehrbar</w:t>
      </w:r>
      <w:r>
        <w:rPr>
          <w:sz w:val="24"/>
        </w:rPr>
        <w:t xml:space="preserve"> at 509-495-</w:t>
      </w:r>
      <w:r w:rsidR="009F6C11">
        <w:rPr>
          <w:sz w:val="24"/>
        </w:rPr>
        <w:t>8620</w:t>
      </w:r>
      <w:r>
        <w:rPr>
          <w:sz w:val="24"/>
        </w:rPr>
        <w:t>.</w:t>
      </w:r>
    </w:p>
    <w:p w:rsidR="00B52A0C" w:rsidRDefault="00B52A0C" w:rsidP="00AC5443">
      <w:pPr>
        <w:rPr>
          <w:sz w:val="24"/>
        </w:rPr>
      </w:pPr>
    </w:p>
    <w:p w:rsidR="00AA52D9" w:rsidRDefault="00B52A0C" w:rsidP="00AC5443">
      <w:pPr>
        <w:rPr>
          <w:sz w:val="24"/>
        </w:rPr>
      </w:pPr>
      <w:r>
        <w:rPr>
          <w:sz w:val="24"/>
        </w:rPr>
        <w:t>Sincerely,</w:t>
      </w:r>
    </w:p>
    <w:p w:rsidR="00064FF0" w:rsidRDefault="00064FF0" w:rsidP="00AC5443">
      <w:pPr>
        <w:rPr>
          <w:sz w:val="24"/>
        </w:rPr>
      </w:pPr>
    </w:p>
    <w:p w:rsidR="00064FF0" w:rsidRDefault="00064FF0" w:rsidP="00AC5443">
      <w:pPr>
        <w:rPr>
          <w:sz w:val="24"/>
        </w:rPr>
      </w:pPr>
    </w:p>
    <w:p w:rsidR="00D67273" w:rsidRPr="00D67273" w:rsidRDefault="00D67273" w:rsidP="00D67273">
      <w:pPr>
        <w:jc w:val="both"/>
        <w:rPr>
          <w:sz w:val="24"/>
        </w:rPr>
      </w:pPr>
      <w:r w:rsidRPr="00D67273">
        <w:rPr>
          <w:sz w:val="24"/>
        </w:rPr>
        <w:t>David J. Meyer</w:t>
      </w:r>
    </w:p>
    <w:p w:rsidR="00D67273" w:rsidRPr="00D67273" w:rsidRDefault="00D67273" w:rsidP="00D67273">
      <w:pPr>
        <w:jc w:val="both"/>
        <w:rPr>
          <w:sz w:val="24"/>
        </w:rPr>
      </w:pPr>
      <w:r w:rsidRPr="00D67273">
        <w:rPr>
          <w:sz w:val="24"/>
        </w:rPr>
        <w:t>Vice President and Chief Counsel for</w:t>
      </w:r>
    </w:p>
    <w:p w:rsidR="00D67273" w:rsidRPr="00D67273" w:rsidRDefault="00D67273" w:rsidP="00DE6971">
      <w:pPr>
        <w:jc w:val="both"/>
        <w:rPr>
          <w:sz w:val="24"/>
        </w:rPr>
      </w:pPr>
      <w:r w:rsidRPr="00D67273">
        <w:rPr>
          <w:sz w:val="24"/>
        </w:rPr>
        <w:t>Regulatory and Governmental Affairs</w:t>
      </w:r>
    </w:p>
    <w:p w:rsidR="00CC5157" w:rsidRDefault="00093A6E" w:rsidP="00AC5443">
      <w:pPr>
        <w:tabs>
          <w:tab w:val="left" w:pos="720"/>
          <w:tab w:val="left" w:pos="3240"/>
        </w:tabs>
      </w:pPr>
      <w:r>
        <w:rPr>
          <w:sz w:val="24"/>
        </w:rPr>
        <w:t xml:space="preserve"> </w:t>
      </w:r>
    </w:p>
    <w:sectPr w:rsidR="00CC5157" w:rsidSect="00C93E1E">
      <w:headerReference w:type="default" r:id="rId10"/>
      <w:pgSz w:w="12240" w:h="15840" w:code="1"/>
      <w:pgMar w:top="807" w:right="1440" w:bottom="1080" w:left="1440" w:header="540" w:footer="48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1F9D" w:rsidRDefault="00A31F9D">
      <w:r>
        <w:separator/>
      </w:r>
    </w:p>
  </w:endnote>
  <w:endnote w:type="continuationSeparator" w:id="0">
    <w:p w:rsidR="00A31F9D" w:rsidRDefault="00A31F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1F9D" w:rsidRDefault="00A31F9D">
      <w:r>
        <w:separator/>
      </w:r>
    </w:p>
  </w:footnote>
  <w:footnote w:type="continuationSeparator" w:id="0">
    <w:p w:rsidR="00A31F9D" w:rsidRDefault="00A31F9D">
      <w:r>
        <w:continuationSeparator/>
      </w:r>
    </w:p>
  </w:footnote>
  <w:footnote w:id="1">
    <w:p w:rsidR="00A31F9D" w:rsidRDefault="00A31F9D" w:rsidP="00740A53">
      <w:pPr>
        <w:pStyle w:val="FootnoteText"/>
        <w:jc w:val="both"/>
      </w:pPr>
      <w:r>
        <w:rPr>
          <w:rStyle w:val="FootnoteReference"/>
        </w:rPr>
        <w:footnoteRef/>
      </w:r>
      <w:r>
        <w:t xml:space="preserve"> Schedule 149 Backup and Supplemental Compressed Natural Gas Service is being filed in this</w:t>
      </w:r>
      <w:r w:rsidR="00740A53">
        <w:t xml:space="preserve"> PGA.  One of the components used to develop the rate for Schedule 149 is the billing rate for Schedule 111.  We have adjusted the billing rate for Schedule 111 to include the effects of this PGA as well as the rate increase in Schedule 192, Low Income Rate Assistance Rate Adjustment, as that rate change will occur on October 1, 2015.</w:t>
      </w:r>
    </w:p>
  </w:footnote>
  <w:footnote w:id="2">
    <w:p w:rsidR="00A31F9D" w:rsidRDefault="00A31F9D" w:rsidP="003610AB">
      <w:pPr>
        <w:pStyle w:val="FootnoteText"/>
        <w:jc w:val="both"/>
      </w:pPr>
      <w:r>
        <w:rPr>
          <w:rStyle w:val="FootnoteReference"/>
        </w:rPr>
        <w:footnoteRef/>
      </w:r>
      <w:r>
        <w:t xml:space="preserve"> Details regarding the storage optimization plan were provided to Staff in a previous communication on June 25, 2015.  The Company has included known optimization benefits in this filing, and will pass through to customers the net benefits of future storage optimization transactions in its next PGA.  </w:t>
      </w:r>
    </w:p>
  </w:footnote>
  <w:footnote w:id="3">
    <w:p w:rsidR="00DE6971" w:rsidRDefault="00DE6971" w:rsidP="00DE6971">
      <w:pPr>
        <w:pStyle w:val="FootnoteText"/>
        <w:jc w:val="both"/>
      </w:pPr>
      <w:r>
        <w:rPr>
          <w:rStyle w:val="FootnoteReference"/>
        </w:rPr>
        <w:footnoteRef/>
      </w:r>
      <w:r>
        <w:t xml:space="preserve"> The slight rate increase for Schedule 146 transportation customers, who typically are not included in the Company’s annual PGA filings as they procure their own natural gas commodity and interstate pipeline transportation, is related to prior period rate recovery of deferred costs related to Jackson Prairie (see Docket No. </w:t>
      </w:r>
      <w:proofErr w:type="gramStart"/>
      <w:r>
        <w:t>UG-121501).</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F9D" w:rsidRPr="00C93E1E" w:rsidRDefault="00A31F9D" w:rsidP="00C93E1E">
    <w:pPr>
      <w:pStyle w:val="Header"/>
      <w:tabs>
        <w:tab w:val="clear" w:pos="8640"/>
        <w:tab w:val="right" w:pos="9720"/>
      </w:tabs>
      <w:jc w:val="right"/>
    </w:pPr>
    <w:r w:rsidRPr="00C93E1E">
      <w:t>Avista Utilities 201</w:t>
    </w:r>
    <w:r>
      <w:t>5</w:t>
    </w:r>
    <w:r w:rsidRPr="00C93E1E">
      <w:t xml:space="preserve"> PGA Filing</w:t>
    </w:r>
  </w:p>
  <w:p w:rsidR="00A31F9D" w:rsidRDefault="00A31F9D" w:rsidP="00C93E1E">
    <w:pPr>
      <w:pStyle w:val="Header"/>
      <w:tabs>
        <w:tab w:val="clear" w:pos="8640"/>
        <w:tab w:val="right" w:pos="9720"/>
      </w:tabs>
      <w:jc w:val="right"/>
    </w:pPr>
    <w:r>
      <w:t>August 27</w:t>
    </w:r>
    <w:r w:rsidRPr="00C93E1E">
      <w:t>, 201</w:t>
    </w:r>
    <w:r>
      <w:t>5</w:t>
    </w:r>
  </w:p>
  <w:sdt>
    <w:sdtPr>
      <w:id w:val="250395305"/>
      <w:docPartObj>
        <w:docPartGallery w:val="Page Numbers (Top of Page)"/>
        <w:docPartUnique/>
      </w:docPartObj>
    </w:sdtPr>
    <w:sdtContent>
      <w:p w:rsidR="00A31F9D" w:rsidRDefault="00A31F9D" w:rsidP="006203D9">
        <w:pPr>
          <w:jc w:val="right"/>
        </w:pPr>
        <w:r>
          <w:t xml:space="preserve">Page </w:t>
        </w:r>
        <w:fldSimple w:instr=" PAGE ">
          <w:r w:rsidR="00BD5677">
            <w:rPr>
              <w:noProof/>
            </w:rPr>
            <w:t>2</w:t>
          </w:r>
        </w:fldSimple>
        <w:r>
          <w:t xml:space="preserve"> of </w:t>
        </w:r>
        <w:fldSimple w:instr=" NUMPAGES  ">
          <w:r w:rsidR="00BD5677">
            <w:rPr>
              <w:noProof/>
            </w:rPr>
            <w:t>3</w:t>
          </w:r>
        </w:fldSimple>
      </w:p>
    </w:sdtContent>
  </w:sdt>
  <w:p w:rsidR="00A31F9D" w:rsidRPr="007D292A" w:rsidRDefault="00A31F9D" w:rsidP="007D292A">
    <w:pPr>
      <w:pStyle w:val="Header"/>
      <w:tabs>
        <w:tab w:val="clear" w:pos="8640"/>
        <w:tab w:val="right" w:pos="9720"/>
      </w:tabs>
      <w:rPr>
        <w:sz w:val="24"/>
      </w:rPr>
    </w:pPr>
    <w:r w:rsidRPr="007D292A">
      <w:rPr>
        <w:sz w:val="24"/>
      </w:rPr>
      <w:tab/>
    </w:r>
    <w:r w:rsidRPr="007D292A">
      <w:rPr>
        <w:sz w:val="24"/>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C4700"/>
    <w:multiLevelType w:val="hybridMultilevel"/>
    <w:tmpl w:val="A31A9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58E28BC"/>
    <w:multiLevelType w:val="hybridMultilevel"/>
    <w:tmpl w:val="E258C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characterSpacingControl w:val="doNotCompress"/>
  <w:footnotePr>
    <w:footnote w:id="-1"/>
    <w:footnote w:id="0"/>
  </w:footnotePr>
  <w:endnotePr>
    <w:endnote w:id="-1"/>
    <w:endnote w:id="0"/>
  </w:endnotePr>
  <w:compat/>
  <w:rsids>
    <w:rsidRoot w:val="003A24DA"/>
    <w:rsid w:val="000110A9"/>
    <w:rsid w:val="00035C92"/>
    <w:rsid w:val="000541BF"/>
    <w:rsid w:val="00061B39"/>
    <w:rsid w:val="00064FF0"/>
    <w:rsid w:val="00072517"/>
    <w:rsid w:val="000749B4"/>
    <w:rsid w:val="0008299C"/>
    <w:rsid w:val="0008789D"/>
    <w:rsid w:val="00093422"/>
    <w:rsid w:val="000935FA"/>
    <w:rsid w:val="00093A6E"/>
    <w:rsid w:val="000A080B"/>
    <w:rsid w:val="000A588D"/>
    <w:rsid w:val="000E4BA2"/>
    <w:rsid w:val="000E4D84"/>
    <w:rsid w:val="000F44EE"/>
    <w:rsid w:val="000F651E"/>
    <w:rsid w:val="0010017F"/>
    <w:rsid w:val="00106994"/>
    <w:rsid w:val="00116CB8"/>
    <w:rsid w:val="00121427"/>
    <w:rsid w:val="0012361D"/>
    <w:rsid w:val="001411A7"/>
    <w:rsid w:val="00143B12"/>
    <w:rsid w:val="00146B7E"/>
    <w:rsid w:val="00150E5A"/>
    <w:rsid w:val="001B511A"/>
    <w:rsid w:val="001C78DF"/>
    <w:rsid w:val="001E4F52"/>
    <w:rsid w:val="001F1AB3"/>
    <w:rsid w:val="001F3681"/>
    <w:rsid w:val="001F4F10"/>
    <w:rsid w:val="001F53C7"/>
    <w:rsid w:val="00214D6E"/>
    <w:rsid w:val="002453FB"/>
    <w:rsid w:val="00250818"/>
    <w:rsid w:val="002548BB"/>
    <w:rsid w:val="002605A3"/>
    <w:rsid w:val="00262DD8"/>
    <w:rsid w:val="00267B6F"/>
    <w:rsid w:val="0028020D"/>
    <w:rsid w:val="002822C4"/>
    <w:rsid w:val="0029109F"/>
    <w:rsid w:val="00292559"/>
    <w:rsid w:val="002C2D32"/>
    <w:rsid w:val="002D57EC"/>
    <w:rsid w:val="002E0138"/>
    <w:rsid w:val="002E2956"/>
    <w:rsid w:val="002E5BF1"/>
    <w:rsid w:val="002F728C"/>
    <w:rsid w:val="00310BD0"/>
    <w:rsid w:val="00312EDD"/>
    <w:rsid w:val="00315977"/>
    <w:rsid w:val="00320294"/>
    <w:rsid w:val="00321B58"/>
    <w:rsid w:val="00321CC6"/>
    <w:rsid w:val="00323710"/>
    <w:rsid w:val="00337E03"/>
    <w:rsid w:val="00344E20"/>
    <w:rsid w:val="003610AB"/>
    <w:rsid w:val="00372E6F"/>
    <w:rsid w:val="00390FCA"/>
    <w:rsid w:val="003973C5"/>
    <w:rsid w:val="003A24DA"/>
    <w:rsid w:val="003C7D54"/>
    <w:rsid w:val="003D463E"/>
    <w:rsid w:val="003E5C53"/>
    <w:rsid w:val="003F283A"/>
    <w:rsid w:val="00402A34"/>
    <w:rsid w:val="00403FC5"/>
    <w:rsid w:val="0042436D"/>
    <w:rsid w:val="00426001"/>
    <w:rsid w:val="00444594"/>
    <w:rsid w:val="004451E6"/>
    <w:rsid w:val="004473E7"/>
    <w:rsid w:val="004517A7"/>
    <w:rsid w:val="004538BD"/>
    <w:rsid w:val="0045729D"/>
    <w:rsid w:val="00462713"/>
    <w:rsid w:val="00476A6C"/>
    <w:rsid w:val="004A436F"/>
    <w:rsid w:val="004A6644"/>
    <w:rsid w:val="004B6222"/>
    <w:rsid w:val="004C40BD"/>
    <w:rsid w:val="004C7E4C"/>
    <w:rsid w:val="004D23AE"/>
    <w:rsid w:val="004F6F7C"/>
    <w:rsid w:val="0050537E"/>
    <w:rsid w:val="0050671A"/>
    <w:rsid w:val="00512704"/>
    <w:rsid w:val="005155A9"/>
    <w:rsid w:val="005457C7"/>
    <w:rsid w:val="00556EFE"/>
    <w:rsid w:val="00560628"/>
    <w:rsid w:val="00564352"/>
    <w:rsid w:val="005736EC"/>
    <w:rsid w:val="00586D69"/>
    <w:rsid w:val="005A0379"/>
    <w:rsid w:val="005A1F17"/>
    <w:rsid w:val="005A46AD"/>
    <w:rsid w:val="005B02B2"/>
    <w:rsid w:val="005B6F2C"/>
    <w:rsid w:val="005C6EA3"/>
    <w:rsid w:val="005D0F60"/>
    <w:rsid w:val="005F7CE5"/>
    <w:rsid w:val="0061738C"/>
    <w:rsid w:val="006203D9"/>
    <w:rsid w:val="00624938"/>
    <w:rsid w:val="00626D59"/>
    <w:rsid w:val="0063790C"/>
    <w:rsid w:val="00640CA6"/>
    <w:rsid w:val="00641AA9"/>
    <w:rsid w:val="006468F1"/>
    <w:rsid w:val="006475D9"/>
    <w:rsid w:val="00655A73"/>
    <w:rsid w:val="0065654E"/>
    <w:rsid w:val="00656B7D"/>
    <w:rsid w:val="00670A1C"/>
    <w:rsid w:val="00672292"/>
    <w:rsid w:val="00682FCA"/>
    <w:rsid w:val="006943AB"/>
    <w:rsid w:val="006C552D"/>
    <w:rsid w:val="006F011A"/>
    <w:rsid w:val="007165AC"/>
    <w:rsid w:val="0072016E"/>
    <w:rsid w:val="00732C0E"/>
    <w:rsid w:val="00735E8D"/>
    <w:rsid w:val="00736ED4"/>
    <w:rsid w:val="00740A53"/>
    <w:rsid w:val="0074190B"/>
    <w:rsid w:val="00761526"/>
    <w:rsid w:val="007641AB"/>
    <w:rsid w:val="007642C0"/>
    <w:rsid w:val="00775BDC"/>
    <w:rsid w:val="0077674F"/>
    <w:rsid w:val="0078033B"/>
    <w:rsid w:val="007815D4"/>
    <w:rsid w:val="00791760"/>
    <w:rsid w:val="007B256F"/>
    <w:rsid w:val="007C7FD2"/>
    <w:rsid w:val="007D292A"/>
    <w:rsid w:val="00811A10"/>
    <w:rsid w:val="00814215"/>
    <w:rsid w:val="00820A23"/>
    <w:rsid w:val="008269EE"/>
    <w:rsid w:val="00844730"/>
    <w:rsid w:val="00850F10"/>
    <w:rsid w:val="00852594"/>
    <w:rsid w:val="00882827"/>
    <w:rsid w:val="00883838"/>
    <w:rsid w:val="00887D51"/>
    <w:rsid w:val="00897F12"/>
    <w:rsid w:val="008A5F60"/>
    <w:rsid w:val="008A7105"/>
    <w:rsid w:val="008B59DE"/>
    <w:rsid w:val="008B796C"/>
    <w:rsid w:val="008B7BB4"/>
    <w:rsid w:val="008C3AC9"/>
    <w:rsid w:val="008D1A8C"/>
    <w:rsid w:val="008F7ADD"/>
    <w:rsid w:val="00902FB5"/>
    <w:rsid w:val="00903C5C"/>
    <w:rsid w:val="00914A8A"/>
    <w:rsid w:val="00917666"/>
    <w:rsid w:val="00917717"/>
    <w:rsid w:val="00924737"/>
    <w:rsid w:val="00925257"/>
    <w:rsid w:val="009260DC"/>
    <w:rsid w:val="009309F5"/>
    <w:rsid w:val="00936FE5"/>
    <w:rsid w:val="00944B3C"/>
    <w:rsid w:val="00964324"/>
    <w:rsid w:val="00965BCA"/>
    <w:rsid w:val="00971079"/>
    <w:rsid w:val="00986F4A"/>
    <w:rsid w:val="00992BB6"/>
    <w:rsid w:val="009976BE"/>
    <w:rsid w:val="009B62AB"/>
    <w:rsid w:val="009B74B5"/>
    <w:rsid w:val="009C109D"/>
    <w:rsid w:val="009C5D8A"/>
    <w:rsid w:val="009E5109"/>
    <w:rsid w:val="009F6C11"/>
    <w:rsid w:val="00A12281"/>
    <w:rsid w:val="00A14754"/>
    <w:rsid w:val="00A16EB7"/>
    <w:rsid w:val="00A20BB9"/>
    <w:rsid w:val="00A31F9D"/>
    <w:rsid w:val="00A608EF"/>
    <w:rsid w:val="00A64FEA"/>
    <w:rsid w:val="00A65046"/>
    <w:rsid w:val="00A747A4"/>
    <w:rsid w:val="00A821D9"/>
    <w:rsid w:val="00A8642A"/>
    <w:rsid w:val="00A86D35"/>
    <w:rsid w:val="00A951EC"/>
    <w:rsid w:val="00AA393A"/>
    <w:rsid w:val="00AA52D9"/>
    <w:rsid w:val="00AA6743"/>
    <w:rsid w:val="00AB2BA9"/>
    <w:rsid w:val="00AC0B04"/>
    <w:rsid w:val="00AC5443"/>
    <w:rsid w:val="00AD42C8"/>
    <w:rsid w:val="00AD752C"/>
    <w:rsid w:val="00AF2F63"/>
    <w:rsid w:val="00AF3295"/>
    <w:rsid w:val="00AF683D"/>
    <w:rsid w:val="00B015DB"/>
    <w:rsid w:val="00B025EA"/>
    <w:rsid w:val="00B11709"/>
    <w:rsid w:val="00B1245D"/>
    <w:rsid w:val="00B129DB"/>
    <w:rsid w:val="00B221E0"/>
    <w:rsid w:val="00B52A0C"/>
    <w:rsid w:val="00B6252B"/>
    <w:rsid w:val="00B70A00"/>
    <w:rsid w:val="00B80498"/>
    <w:rsid w:val="00BA3629"/>
    <w:rsid w:val="00BA50C7"/>
    <w:rsid w:val="00BA7F80"/>
    <w:rsid w:val="00BB0F82"/>
    <w:rsid w:val="00BB7293"/>
    <w:rsid w:val="00BD5677"/>
    <w:rsid w:val="00C07962"/>
    <w:rsid w:val="00C115AF"/>
    <w:rsid w:val="00C14389"/>
    <w:rsid w:val="00C272AC"/>
    <w:rsid w:val="00C319FC"/>
    <w:rsid w:val="00C35E27"/>
    <w:rsid w:val="00C433DF"/>
    <w:rsid w:val="00C47578"/>
    <w:rsid w:val="00C555BC"/>
    <w:rsid w:val="00C56B8F"/>
    <w:rsid w:val="00C5768C"/>
    <w:rsid w:val="00C62E6E"/>
    <w:rsid w:val="00C754CB"/>
    <w:rsid w:val="00C8150B"/>
    <w:rsid w:val="00C91C55"/>
    <w:rsid w:val="00C93815"/>
    <w:rsid w:val="00C93E1E"/>
    <w:rsid w:val="00C93F40"/>
    <w:rsid w:val="00CC5157"/>
    <w:rsid w:val="00CC7AC5"/>
    <w:rsid w:val="00CC7BF0"/>
    <w:rsid w:val="00CF3D02"/>
    <w:rsid w:val="00D0155A"/>
    <w:rsid w:val="00D03DA3"/>
    <w:rsid w:val="00D062AC"/>
    <w:rsid w:val="00D16108"/>
    <w:rsid w:val="00D33C85"/>
    <w:rsid w:val="00D34C3B"/>
    <w:rsid w:val="00D4071A"/>
    <w:rsid w:val="00D56B62"/>
    <w:rsid w:val="00D67273"/>
    <w:rsid w:val="00D806D0"/>
    <w:rsid w:val="00D818A1"/>
    <w:rsid w:val="00D83CBE"/>
    <w:rsid w:val="00D84D6E"/>
    <w:rsid w:val="00D95D14"/>
    <w:rsid w:val="00D96771"/>
    <w:rsid w:val="00DB6D7D"/>
    <w:rsid w:val="00DE4C5D"/>
    <w:rsid w:val="00DE6971"/>
    <w:rsid w:val="00DF6BB5"/>
    <w:rsid w:val="00E07ABA"/>
    <w:rsid w:val="00E1008D"/>
    <w:rsid w:val="00E15CBB"/>
    <w:rsid w:val="00E310CD"/>
    <w:rsid w:val="00E538C2"/>
    <w:rsid w:val="00E575F9"/>
    <w:rsid w:val="00E6082A"/>
    <w:rsid w:val="00E63D85"/>
    <w:rsid w:val="00E714E7"/>
    <w:rsid w:val="00E80E37"/>
    <w:rsid w:val="00E80F37"/>
    <w:rsid w:val="00E94546"/>
    <w:rsid w:val="00EA5E42"/>
    <w:rsid w:val="00EB0D09"/>
    <w:rsid w:val="00EB276A"/>
    <w:rsid w:val="00EE6624"/>
    <w:rsid w:val="00EF38E7"/>
    <w:rsid w:val="00EF548D"/>
    <w:rsid w:val="00EF6022"/>
    <w:rsid w:val="00EF6DDF"/>
    <w:rsid w:val="00F014F1"/>
    <w:rsid w:val="00F1298E"/>
    <w:rsid w:val="00F279A7"/>
    <w:rsid w:val="00F359E6"/>
    <w:rsid w:val="00F41E99"/>
    <w:rsid w:val="00F6237C"/>
    <w:rsid w:val="00F70D8A"/>
    <w:rsid w:val="00F84797"/>
    <w:rsid w:val="00F97C86"/>
    <w:rsid w:val="00FA15BA"/>
    <w:rsid w:val="00FA19E7"/>
    <w:rsid w:val="00FB15A0"/>
    <w:rsid w:val="00FC02C5"/>
    <w:rsid w:val="00FC3B89"/>
    <w:rsid w:val="00FF3F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24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093A6E"/>
    <w:rPr>
      <w:rFonts w:ascii="Courier New" w:hAnsi="Courier New"/>
    </w:rPr>
  </w:style>
  <w:style w:type="paragraph" w:styleId="Header">
    <w:name w:val="header"/>
    <w:basedOn w:val="Normal"/>
    <w:link w:val="HeaderChar"/>
    <w:uiPriority w:val="99"/>
    <w:rsid w:val="00E80E37"/>
    <w:pPr>
      <w:tabs>
        <w:tab w:val="center" w:pos="4320"/>
        <w:tab w:val="right" w:pos="8640"/>
      </w:tabs>
    </w:pPr>
  </w:style>
  <w:style w:type="paragraph" w:styleId="Footer">
    <w:name w:val="footer"/>
    <w:basedOn w:val="Normal"/>
    <w:rsid w:val="00E80E37"/>
    <w:pPr>
      <w:tabs>
        <w:tab w:val="center" w:pos="4320"/>
        <w:tab w:val="right" w:pos="8640"/>
      </w:tabs>
    </w:pPr>
  </w:style>
  <w:style w:type="character" w:styleId="PageNumber">
    <w:name w:val="page number"/>
    <w:basedOn w:val="DefaultParagraphFont"/>
    <w:rsid w:val="00D95D14"/>
  </w:style>
  <w:style w:type="character" w:customStyle="1" w:styleId="HeaderChar">
    <w:name w:val="Header Char"/>
    <w:basedOn w:val="DefaultParagraphFont"/>
    <w:link w:val="Header"/>
    <w:uiPriority w:val="99"/>
    <w:rsid w:val="007D292A"/>
  </w:style>
  <w:style w:type="paragraph" w:styleId="BalloonText">
    <w:name w:val="Balloon Text"/>
    <w:basedOn w:val="Normal"/>
    <w:link w:val="BalloonTextChar"/>
    <w:rsid w:val="00682FCA"/>
    <w:rPr>
      <w:rFonts w:ascii="Tahoma" w:hAnsi="Tahoma" w:cs="Tahoma"/>
      <w:sz w:val="16"/>
      <w:szCs w:val="16"/>
    </w:rPr>
  </w:style>
  <w:style w:type="character" w:customStyle="1" w:styleId="BalloonTextChar">
    <w:name w:val="Balloon Text Char"/>
    <w:basedOn w:val="DefaultParagraphFont"/>
    <w:link w:val="BalloonText"/>
    <w:rsid w:val="00682FCA"/>
    <w:rPr>
      <w:rFonts w:ascii="Tahoma" w:hAnsi="Tahoma" w:cs="Tahoma"/>
      <w:sz w:val="16"/>
      <w:szCs w:val="16"/>
    </w:rPr>
  </w:style>
  <w:style w:type="character" w:styleId="CommentReference">
    <w:name w:val="annotation reference"/>
    <w:basedOn w:val="DefaultParagraphFont"/>
    <w:rsid w:val="00811A10"/>
    <w:rPr>
      <w:sz w:val="16"/>
      <w:szCs w:val="16"/>
    </w:rPr>
  </w:style>
  <w:style w:type="paragraph" w:styleId="CommentText">
    <w:name w:val="annotation text"/>
    <w:basedOn w:val="Normal"/>
    <w:link w:val="CommentTextChar"/>
    <w:rsid w:val="00811A10"/>
  </w:style>
  <w:style w:type="character" w:customStyle="1" w:styleId="CommentTextChar">
    <w:name w:val="Comment Text Char"/>
    <w:basedOn w:val="DefaultParagraphFont"/>
    <w:link w:val="CommentText"/>
    <w:rsid w:val="00811A10"/>
  </w:style>
  <w:style w:type="paragraph" w:styleId="CommentSubject">
    <w:name w:val="annotation subject"/>
    <w:basedOn w:val="CommentText"/>
    <w:next w:val="CommentText"/>
    <w:link w:val="CommentSubjectChar"/>
    <w:rsid w:val="00811A10"/>
    <w:rPr>
      <w:b/>
      <w:bCs/>
    </w:rPr>
  </w:style>
  <w:style w:type="character" w:customStyle="1" w:styleId="CommentSubjectChar">
    <w:name w:val="Comment Subject Char"/>
    <w:basedOn w:val="CommentTextChar"/>
    <w:link w:val="CommentSubject"/>
    <w:rsid w:val="00811A10"/>
    <w:rPr>
      <w:b/>
      <w:bCs/>
    </w:rPr>
  </w:style>
  <w:style w:type="paragraph" w:styleId="FootnoteText">
    <w:name w:val="footnote text"/>
    <w:basedOn w:val="Normal"/>
    <w:link w:val="FootnoteTextChar"/>
    <w:rsid w:val="00AC5443"/>
  </w:style>
  <w:style w:type="character" w:customStyle="1" w:styleId="FootnoteTextChar">
    <w:name w:val="Footnote Text Char"/>
    <w:basedOn w:val="DefaultParagraphFont"/>
    <w:link w:val="FootnoteText"/>
    <w:rsid w:val="00AC5443"/>
  </w:style>
  <w:style w:type="character" w:styleId="FootnoteReference">
    <w:name w:val="footnote reference"/>
    <w:basedOn w:val="DefaultParagraphFont"/>
    <w:rsid w:val="00AC5443"/>
    <w:rPr>
      <w:vertAlign w:val="superscript"/>
    </w:rPr>
  </w:style>
  <w:style w:type="paragraph" w:styleId="ListParagraph">
    <w:name w:val="List Paragraph"/>
    <w:basedOn w:val="Normal"/>
    <w:uiPriority w:val="34"/>
    <w:qFormat/>
    <w:rsid w:val="008D1A8C"/>
    <w:pPr>
      <w:ind w:left="720"/>
      <w:contextualSpacing/>
    </w:pPr>
  </w:style>
</w:styles>
</file>

<file path=word/webSettings.xml><?xml version="1.0" encoding="utf-8"?>
<w:webSettings xmlns:r="http://schemas.openxmlformats.org/officeDocument/2006/relationships" xmlns:w="http://schemas.openxmlformats.org/wordprocessingml/2006/main">
  <w:divs>
    <w:div w:id="595094280">
      <w:bodyDiv w:val="1"/>
      <w:marLeft w:val="0"/>
      <w:marRight w:val="0"/>
      <w:marTop w:val="0"/>
      <w:marBottom w:val="0"/>
      <w:divBdr>
        <w:top w:val="none" w:sz="0" w:space="0" w:color="auto"/>
        <w:left w:val="none" w:sz="0" w:space="0" w:color="auto"/>
        <w:bottom w:val="none" w:sz="0" w:space="0" w:color="auto"/>
        <w:right w:val="none" w:sz="0" w:space="0" w:color="auto"/>
      </w:divBdr>
    </w:div>
    <w:div w:id="969744821">
      <w:bodyDiv w:val="1"/>
      <w:marLeft w:val="0"/>
      <w:marRight w:val="0"/>
      <w:marTop w:val="0"/>
      <w:marBottom w:val="0"/>
      <w:divBdr>
        <w:top w:val="none" w:sz="0" w:space="0" w:color="auto"/>
        <w:left w:val="none" w:sz="0" w:space="0" w:color="auto"/>
        <w:bottom w:val="none" w:sz="0" w:space="0" w:color="auto"/>
        <w:right w:val="none" w:sz="0" w:space="0" w:color="auto"/>
      </w:divBdr>
    </w:div>
    <w:div w:id="1081098892">
      <w:bodyDiv w:val="1"/>
      <w:marLeft w:val="0"/>
      <w:marRight w:val="0"/>
      <w:marTop w:val="0"/>
      <w:marBottom w:val="0"/>
      <w:divBdr>
        <w:top w:val="none" w:sz="0" w:space="0" w:color="auto"/>
        <w:left w:val="none" w:sz="0" w:space="0" w:color="auto"/>
        <w:bottom w:val="none" w:sz="0" w:space="0" w:color="auto"/>
        <w:right w:val="none" w:sz="0" w:space="0" w:color="auto"/>
      </w:divBdr>
    </w:div>
    <w:div w:id="1120344240">
      <w:bodyDiv w:val="1"/>
      <w:marLeft w:val="0"/>
      <w:marRight w:val="0"/>
      <w:marTop w:val="0"/>
      <w:marBottom w:val="0"/>
      <w:divBdr>
        <w:top w:val="none" w:sz="0" w:space="0" w:color="auto"/>
        <w:left w:val="none" w:sz="0" w:space="0" w:color="auto"/>
        <w:bottom w:val="none" w:sz="0" w:space="0" w:color="auto"/>
        <w:right w:val="none" w:sz="0" w:space="0" w:color="auto"/>
      </w:divBdr>
    </w:div>
    <w:div w:id="1442842355">
      <w:bodyDiv w:val="1"/>
      <w:marLeft w:val="0"/>
      <w:marRight w:val="0"/>
      <w:marTop w:val="0"/>
      <w:marBottom w:val="0"/>
      <w:divBdr>
        <w:top w:val="none" w:sz="0" w:space="0" w:color="auto"/>
        <w:left w:val="none" w:sz="0" w:space="0" w:color="auto"/>
        <w:bottom w:val="none" w:sz="0" w:space="0" w:color="auto"/>
        <w:right w:val="none" w:sz="0" w:space="0" w:color="auto"/>
      </w:divBdr>
    </w:div>
    <w:div w:id="1875995500">
      <w:bodyDiv w:val="1"/>
      <w:marLeft w:val="0"/>
      <w:marRight w:val="0"/>
      <w:marTop w:val="0"/>
      <w:marBottom w:val="0"/>
      <w:divBdr>
        <w:top w:val="none" w:sz="0" w:space="0" w:color="auto"/>
        <w:left w:val="none" w:sz="0" w:space="0" w:color="auto"/>
        <w:bottom w:val="none" w:sz="0" w:space="0" w:color="auto"/>
        <w:right w:val="none" w:sz="0" w:space="0" w:color="auto"/>
      </w:divBdr>
    </w:div>
    <w:div w:id="1972326473">
      <w:bodyDiv w:val="1"/>
      <w:marLeft w:val="0"/>
      <w:marRight w:val="0"/>
      <w:marTop w:val="0"/>
      <w:marBottom w:val="0"/>
      <w:divBdr>
        <w:top w:val="none" w:sz="0" w:space="0" w:color="auto"/>
        <w:left w:val="none" w:sz="0" w:space="0" w:color="auto"/>
        <w:bottom w:val="none" w:sz="0" w:space="0" w:color="auto"/>
        <w:right w:val="none" w:sz="0" w:space="0" w:color="auto"/>
      </w:divBdr>
    </w:div>
    <w:div w:id="2097628101">
      <w:bodyDiv w:val="1"/>
      <w:marLeft w:val="0"/>
      <w:marRight w:val="0"/>
      <w:marTop w:val="0"/>
      <w:marBottom w:val="0"/>
      <w:divBdr>
        <w:top w:val="none" w:sz="0" w:space="0" w:color="auto"/>
        <w:left w:val="none" w:sz="0" w:space="0" w:color="auto"/>
        <w:bottom w:val="none" w:sz="0" w:space="0" w:color="auto"/>
        <w:right w:val="none" w:sz="0" w:space="0" w:color="auto"/>
      </w:divBdr>
    </w:div>
    <w:div w:id="211952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CB4B152EC6D8E4894B4A1A729170A2F" ma:contentTypeVersion="119" ma:contentTypeDescription="" ma:contentTypeScope="" ma:versionID="5c5ffb39010577d549b8c2d31d96aba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2015-08-27T07:00:00+00:00</OpenedDate>
    <Date1 xmlns="dc463f71-b30c-4ab2-9473-d307f9d35888">2015-08-27T07:00:00+00:00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151758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4B7C547-3096-4F1A-B918-871B7D451C06}"/>
</file>

<file path=customXml/itemProps2.xml><?xml version="1.0" encoding="utf-8"?>
<ds:datastoreItem xmlns:ds="http://schemas.openxmlformats.org/officeDocument/2006/customXml" ds:itemID="{BAF48DBD-419C-4809-BD82-8D8D4A3B0088}"/>
</file>

<file path=customXml/itemProps3.xml><?xml version="1.0" encoding="utf-8"?>
<ds:datastoreItem xmlns:ds="http://schemas.openxmlformats.org/officeDocument/2006/customXml" ds:itemID="{68867700-6C05-4686-9F08-DEAA11097070}"/>
</file>

<file path=customXml/itemProps4.xml><?xml version="1.0" encoding="utf-8"?>
<ds:datastoreItem xmlns:ds="http://schemas.openxmlformats.org/officeDocument/2006/customXml" ds:itemID="{EE85CA61-B402-42F7-8FED-4A0D23E482A2}"/>
</file>

<file path=customXml/itemProps5.xml><?xml version="1.0" encoding="utf-8"?>
<ds:datastoreItem xmlns:ds="http://schemas.openxmlformats.org/officeDocument/2006/customXml" ds:itemID="{8C1C8256-FDE0-4C21-834B-4B84EA7B24DF}"/>
</file>

<file path=docProps/app.xml><?xml version="1.0" encoding="utf-8"?>
<Properties xmlns="http://schemas.openxmlformats.org/officeDocument/2006/extended-properties" xmlns:vt="http://schemas.openxmlformats.org/officeDocument/2006/docPropsVTypes">
  <Template>Normal</Template>
  <TotalTime>569</TotalTime>
  <Pages>3</Pages>
  <Words>1013</Words>
  <Characters>5492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This filing reflects the Company’s proposed annual Purchased Gas Cost Adjustment (PGA) to: 1) pass through changes in the estimated cost of natural gas for the forthcoming year (Schedule 150), and 2) revise the amortization rate(s) to refund or collect t</vt:lpstr>
    </vt:vector>
  </TitlesOfParts>
  <Company>Corp</Company>
  <LinksUpToDate>false</LinksUpToDate>
  <CharactersWithSpaces>6493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filing reflects the Company’s proposed annual Purchased Gas Cost Adjustment (PGA) to: 1) pass through changes in the estimated cost of natural gas for the forthcoming year (Schedule 150), and 2) revise the amortization rate(s) to refund or collect t</dc:title>
  <dc:creator>zz1x44</dc:creator>
  <cp:lastModifiedBy>Rff9457</cp:lastModifiedBy>
  <cp:revision>32</cp:revision>
  <cp:lastPrinted>2015-08-24T15:53:00Z</cp:lastPrinted>
  <dcterms:created xsi:type="dcterms:W3CDTF">2014-09-04T17:39:00Z</dcterms:created>
  <dcterms:modified xsi:type="dcterms:W3CDTF">2015-08-24T15:55:00Z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0x0101006E56B4D1795A2E4DB2F0B01679ED314A005CB4B152EC6D8E4894B4A1A729170A2F</vt:lpwstr>
  </property>
  <property fmtid="{D5CDD505-2E9C-101B-9397-08002B2CF9AE}" pid="3" name="_docset_NoMedatataSyncRequired">
    <vt:lpwstr>False</vt:lpwstr>
  </property>
</Properties>
</file>