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D7" w:rsidRDefault="003D45D7" w:rsidP="003D45D7">
      <w:pPr>
        <w:jc w:val="center"/>
        <w:rPr>
          <w:b/>
          <w:sz w:val="28"/>
          <w:szCs w:val="28"/>
        </w:rPr>
      </w:pPr>
      <w:r w:rsidRPr="000B14A9">
        <w:rPr>
          <w:b/>
          <w:sz w:val="28"/>
          <w:szCs w:val="28"/>
        </w:rPr>
        <w:t>Avista Corporation 20</w:t>
      </w:r>
      <w:r>
        <w:rPr>
          <w:b/>
          <w:sz w:val="28"/>
          <w:szCs w:val="28"/>
        </w:rPr>
        <w:t>16</w:t>
      </w:r>
      <w:r w:rsidRPr="000B14A9">
        <w:rPr>
          <w:b/>
          <w:sz w:val="28"/>
          <w:szCs w:val="28"/>
        </w:rPr>
        <w:t xml:space="preserve"> Natural Gas Integrated Resource Plan </w:t>
      </w:r>
    </w:p>
    <w:p w:rsidR="003D45D7" w:rsidRPr="000B14A9" w:rsidRDefault="003D45D7" w:rsidP="003D45D7">
      <w:pPr>
        <w:jc w:val="center"/>
        <w:rPr>
          <w:b/>
          <w:sz w:val="28"/>
          <w:szCs w:val="28"/>
        </w:rPr>
      </w:pPr>
      <w:r w:rsidRPr="000B14A9">
        <w:rPr>
          <w:b/>
          <w:sz w:val="28"/>
          <w:szCs w:val="28"/>
        </w:rPr>
        <w:t>Work Plan</w:t>
      </w:r>
    </w:p>
    <w:p w:rsidR="003D45D7" w:rsidRDefault="003D45D7" w:rsidP="003D45D7">
      <w:pPr>
        <w:rPr>
          <w:b/>
        </w:rPr>
      </w:pPr>
    </w:p>
    <w:p w:rsidR="003D45D7" w:rsidRPr="003F4945" w:rsidRDefault="003D45D7" w:rsidP="003D45D7">
      <w:pPr>
        <w:rPr>
          <w:b/>
        </w:rPr>
      </w:pPr>
    </w:p>
    <w:p w:rsidR="003D45D7" w:rsidRPr="000B14A9" w:rsidRDefault="003D45D7" w:rsidP="003D45D7">
      <w:pPr>
        <w:rPr>
          <w:b/>
        </w:rPr>
      </w:pPr>
      <w:r w:rsidRPr="000B14A9">
        <w:rPr>
          <w:b/>
        </w:rPr>
        <w:t>IRP Work Plan Requirements</w:t>
      </w:r>
    </w:p>
    <w:p w:rsidR="003D45D7" w:rsidRPr="003F4945" w:rsidRDefault="003D45D7" w:rsidP="003D45D7"/>
    <w:p w:rsidR="003D45D7" w:rsidRPr="003F4945" w:rsidRDefault="003D45D7" w:rsidP="003D45D7">
      <w:r w:rsidRPr="003F4945">
        <w:t xml:space="preserve">Section 480-90-238 (4), </w:t>
      </w:r>
      <w:r>
        <w:t xml:space="preserve">of </w:t>
      </w:r>
      <w:r w:rsidRPr="003F4945">
        <w:t xml:space="preserve">the natural gas Integrated Resource Plan (“IRP”) rules, specify requirements for the IRP Work Plan: </w:t>
      </w:r>
    </w:p>
    <w:p w:rsidR="003D45D7" w:rsidRPr="003F4945" w:rsidRDefault="003D45D7" w:rsidP="003D45D7"/>
    <w:p w:rsidR="003D45D7" w:rsidRPr="003F4945" w:rsidRDefault="003D45D7" w:rsidP="003D45D7">
      <w:pPr>
        <w:ind w:left="360"/>
      </w:pPr>
      <w:r w:rsidRPr="003F4945">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rsidR="003D45D7" w:rsidRPr="003F4945" w:rsidRDefault="003D45D7" w:rsidP="003D45D7">
      <w:pPr>
        <w:ind w:left="360"/>
      </w:pPr>
    </w:p>
    <w:p w:rsidR="003D45D7" w:rsidRPr="003F4945" w:rsidRDefault="003D45D7" w:rsidP="003D45D7">
      <w:r w:rsidRPr="003F4945">
        <w:t>Additionally, Section 480-90-238 (5) of the WAC states:</w:t>
      </w:r>
    </w:p>
    <w:p w:rsidR="003D45D7" w:rsidRPr="003F4945" w:rsidRDefault="003D45D7" w:rsidP="003D45D7"/>
    <w:p w:rsidR="003D45D7" w:rsidRPr="003F4945" w:rsidRDefault="003D45D7" w:rsidP="003D45D7">
      <w:r w:rsidRPr="003F4945">
        <w:t>The work plan must outline the timing and extent of public participation.</w:t>
      </w:r>
    </w:p>
    <w:p w:rsidR="003D45D7" w:rsidRDefault="003D45D7" w:rsidP="003D45D7"/>
    <w:p w:rsidR="003D45D7" w:rsidRDefault="003D45D7" w:rsidP="003D45D7">
      <w:pPr>
        <w:rPr>
          <w:b/>
        </w:rPr>
      </w:pPr>
      <w:r w:rsidRPr="003F4945">
        <w:rPr>
          <w:b/>
        </w:rPr>
        <w:t>Overview</w:t>
      </w:r>
    </w:p>
    <w:p w:rsidR="003D45D7" w:rsidRPr="003F4945" w:rsidRDefault="003D45D7" w:rsidP="003D45D7">
      <w:pPr>
        <w:rPr>
          <w:b/>
        </w:rPr>
      </w:pPr>
    </w:p>
    <w:p w:rsidR="003D45D7" w:rsidRDefault="003D45D7" w:rsidP="003D45D7">
      <w:r>
        <w:t>This Work Plan outlines the process Avista will follow to complete its 2016 Natural Gas IRP by August 31, 2016.  Avista uses a public process to obtain technical expertise and guidance throughout the planning period via Technical Advisory Committee (TAC) meetings.  The TAC will be providing input into assumptions, scenarios, and modeling techniques.</w:t>
      </w:r>
    </w:p>
    <w:p w:rsidR="003D45D7" w:rsidRDefault="003D45D7" w:rsidP="003D45D7"/>
    <w:p w:rsidR="003D45D7" w:rsidRPr="003F4945" w:rsidRDefault="003D45D7" w:rsidP="003D45D7">
      <w:pPr>
        <w:rPr>
          <w:b/>
        </w:rPr>
      </w:pPr>
      <w:r w:rsidRPr="003F4945">
        <w:rPr>
          <w:b/>
        </w:rPr>
        <w:t>Process</w:t>
      </w:r>
    </w:p>
    <w:p w:rsidR="003D45D7" w:rsidRDefault="003D45D7" w:rsidP="003D45D7"/>
    <w:p w:rsidR="003D45D7" w:rsidRDefault="003D45D7" w:rsidP="003D45D7">
      <w:r>
        <w:t xml:space="preserve">The 2016 IRP process will be similar to that used to produce the previously published plan.  Avista will use SENDOUT® (a PC based linear programming model widely used to solve natural gas supply and transportation optimization questions) to develop the risk adjusted least-cost resource mix for the 20 year planning period. </w:t>
      </w:r>
    </w:p>
    <w:p w:rsidR="003D45D7" w:rsidRDefault="003D45D7" w:rsidP="003D45D7"/>
    <w:p w:rsidR="003D45D7" w:rsidRDefault="003D45D7" w:rsidP="003D45D7">
      <w:r>
        <w:t xml:space="preserve">This plan will continue to include demand analysis, demand side management and avoided cost determination, existing and potential supply-side resource analysis, resource integration and alternative sensitivities and scenario analysis.  </w:t>
      </w:r>
    </w:p>
    <w:p w:rsidR="003D45D7" w:rsidRDefault="003D45D7" w:rsidP="003D45D7"/>
    <w:p w:rsidR="003D45D7" w:rsidRDefault="003D45D7" w:rsidP="003D45D7">
      <w:r>
        <w:t>Additionally, Avista intends to incorporate action plan items identified in the 2014 Natural Gas IRP includin</w:t>
      </w:r>
      <w:r w:rsidRPr="007C3784">
        <w:t xml:space="preserve">g </w:t>
      </w:r>
      <w:r>
        <w:t xml:space="preserve">more detailed demand analysis regarding use per customer, demand side management results and possible price elastic responses to evolving economic conditions, an updated assessment of conservation potential in our service territories, consideration of alternate forecasting methodologies, and the changing </w:t>
      </w:r>
      <w:r>
        <w:lastRenderedPageBreak/>
        <w:t>landscape of natural gas supply (i.e. shale gas, Canadian exports, and US LNG exports) and its implications to the planning process.  Further details about Avista’s process for determining the risk adjusted least-cost resource mix is shown in Exhibit 1.</w:t>
      </w:r>
    </w:p>
    <w:p w:rsidR="003D45D7" w:rsidRDefault="003D45D7" w:rsidP="003D45D7"/>
    <w:p w:rsidR="003D45D7" w:rsidRDefault="003D45D7" w:rsidP="003D45D7"/>
    <w:p w:rsidR="003D45D7" w:rsidRPr="000B14A9" w:rsidRDefault="003D45D7" w:rsidP="003D45D7">
      <w:pPr>
        <w:rPr>
          <w:b/>
        </w:rPr>
      </w:pPr>
      <w:r w:rsidRPr="000B14A9">
        <w:rPr>
          <w:b/>
        </w:rPr>
        <w:t>Timeline</w:t>
      </w:r>
    </w:p>
    <w:p w:rsidR="003D45D7" w:rsidRDefault="003D45D7" w:rsidP="003D45D7"/>
    <w:p w:rsidR="003D45D7" w:rsidRDefault="003D45D7" w:rsidP="003D45D7">
      <w:r>
        <w:t>The following is Avista’s TENTATIVE 201</w:t>
      </w:r>
      <w:r w:rsidR="00BF6DB2">
        <w:t>6</w:t>
      </w:r>
      <w:r>
        <w:t xml:space="preserve"> Natural Gas IRP timeline: </w:t>
      </w:r>
    </w:p>
    <w:p w:rsidR="003D45D7" w:rsidRPr="00C567AF" w:rsidRDefault="003D45D7" w:rsidP="003D45D7"/>
    <w:p w:rsidR="003D45D7" w:rsidRDefault="003D45D7" w:rsidP="003D45D7">
      <w:pPr>
        <w:numPr>
          <w:ilvl w:val="0"/>
          <w:numId w:val="5"/>
        </w:numPr>
        <w:spacing w:line="360" w:lineRule="auto"/>
        <w:rPr>
          <w:b/>
        </w:rPr>
      </w:pPr>
      <w:r>
        <w:rPr>
          <w:b/>
        </w:rPr>
        <w:t>August 31, 2015</w:t>
      </w:r>
      <w:r>
        <w:t xml:space="preserve"> – Work Plan filed with WUTC</w:t>
      </w:r>
    </w:p>
    <w:p w:rsidR="003D45D7" w:rsidRPr="006677AA" w:rsidRDefault="003D45D7" w:rsidP="003D45D7">
      <w:pPr>
        <w:numPr>
          <w:ilvl w:val="0"/>
          <w:numId w:val="5"/>
        </w:numPr>
        <w:spacing w:line="360" w:lineRule="auto"/>
        <w:rPr>
          <w:b/>
        </w:rPr>
      </w:pPr>
      <w:r>
        <w:rPr>
          <w:b/>
        </w:rPr>
        <w:t>January through April 2016</w:t>
      </w:r>
      <w:r>
        <w:t xml:space="preserve"> – Technical Advisory Committee meetings (exact meeting dates </w:t>
      </w:r>
      <w:r w:rsidRPr="007A2BD0">
        <w:rPr>
          <w:b/>
          <w:i/>
        </w:rPr>
        <w:t>subject to change</w:t>
      </w:r>
      <w:r>
        <w:t>).  Meeting topics will include:</w:t>
      </w:r>
    </w:p>
    <w:p w:rsidR="003D45D7" w:rsidRPr="006677AA" w:rsidRDefault="003D45D7" w:rsidP="003D45D7">
      <w:pPr>
        <w:numPr>
          <w:ilvl w:val="1"/>
          <w:numId w:val="7"/>
        </w:numPr>
        <w:spacing w:line="360" w:lineRule="auto"/>
        <w:rPr>
          <w:b/>
        </w:rPr>
      </w:pPr>
      <w:r>
        <w:t>Demand Forecast &amp; Dem</w:t>
      </w:r>
      <w:r w:rsidR="00E93FCA">
        <w:t>and-Side Management – January 20</w:t>
      </w:r>
    </w:p>
    <w:p w:rsidR="003D45D7" w:rsidRPr="006677AA" w:rsidRDefault="003D45D7" w:rsidP="003D45D7">
      <w:pPr>
        <w:numPr>
          <w:ilvl w:val="1"/>
          <w:numId w:val="7"/>
        </w:numPr>
        <w:spacing w:line="360" w:lineRule="auto"/>
        <w:rPr>
          <w:b/>
        </w:rPr>
      </w:pPr>
      <w:r>
        <w:t>Distribution Planning &amp; Supply/Infrastructure and Potent</w:t>
      </w:r>
      <w:r w:rsidR="00E93FCA">
        <w:t>ial Case Discussion– February 24</w:t>
      </w:r>
    </w:p>
    <w:p w:rsidR="003D45D7" w:rsidRPr="006677AA" w:rsidRDefault="003D45D7" w:rsidP="003D45D7">
      <w:pPr>
        <w:numPr>
          <w:ilvl w:val="1"/>
          <w:numId w:val="7"/>
        </w:numPr>
        <w:spacing w:line="360" w:lineRule="auto"/>
        <w:rPr>
          <w:b/>
        </w:rPr>
      </w:pPr>
      <w:r>
        <w:t>SENDOUT® Preliminary Output Results and Fu</w:t>
      </w:r>
      <w:r w:rsidR="00E93FCA">
        <w:t>rther Case Discussion – March 23</w:t>
      </w:r>
    </w:p>
    <w:p w:rsidR="003D45D7" w:rsidRDefault="00E93FCA" w:rsidP="003D45D7">
      <w:pPr>
        <w:numPr>
          <w:ilvl w:val="1"/>
          <w:numId w:val="7"/>
        </w:numPr>
        <w:spacing w:line="360" w:lineRule="auto"/>
        <w:rPr>
          <w:b/>
        </w:rPr>
      </w:pPr>
      <w:r>
        <w:t>SENDOUT®  results – April 20</w:t>
      </w:r>
    </w:p>
    <w:p w:rsidR="003D45D7" w:rsidRPr="006677AA" w:rsidRDefault="003D45D7" w:rsidP="003D45D7">
      <w:pPr>
        <w:numPr>
          <w:ilvl w:val="0"/>
          <w:numId w:val="6"/>
        </w:numPr>
        <w:spacing w:line="360" w:lineRule="auto"/>
        <w:rPr>
          <w:b/>
        </w:rPr>
      </w:pPr>
      <w:r>
        <w:rPr>
          <w:b/>
        </w:rPr>
        <w:t xml:space="preserve">May 11, 2016 – </w:t>
      </w:r>
      <w:r>
        <w:t>Draft of IRP document to TAC</w:t>
      </w:r>
    </w:p>
    <w:p w:rsidR="003D45D7" w:rsidRPr="006677AA" w:rsidRDefault="003D45D7" w:rsidP="003D45D7">
      <w:pPr>
        <w:numPr>
          <w:ilvl w:val="0"/>
          <w:numId w:val="6"/>
        </w:numPr>
        <w:spacing w:line="360" w:lineRule="auto"/>
        <w:rPr>
          <w:b/>
        </w:rPr>
      </w:pPr>
      <w:r>
        <w:rPr>
          <w:b/>
        </w:rPr>
        <w:t xml:space="preserve">June 29, 2016 – </w:t>
      </w:r>
      <w:r>
        <w:t>Comments on draft due back to Avista</w:t>
      </w:r>
    </w:p>
    <w:p w:rsidR="003D45D7" w:rsidRPr="006677AA" w:rsidRDefault="00E93FCA" w:rsidP="003D45D7">
      <w:pPr>
        <w:numPr>
          <w:ilvl w:val="0"/>
          <w:numId w:val="6"/>
        </w:numPr>
        <w:spacing w:line="360" w:lineRule="auto"/>
        <w:rPr>
          <w:b/>
        </w:rPr>
      </w:pPr>
      <w:r>
        <w:rPr>
          <w:b/>
        </w:rPr>
        <w:t>July 20</w:t>
      </w:r>
      <w:r w:rsidR="003D45D7">
        <w:rPr>
          <w:b/>
        </w:rPr>
        <w:t xml:space="preserve">, 2016 – </w:t>
      </w:r>
      <w:r w:rsidR="003D45D7">
        <w:t>TAC final review meeting (if necessary)</w:t>
      </w:r>
    </w:p>
    <w:p w:rsidR="003D45D7" w:rsidRPr="006677AA" w:rsidRDefault="003D45D7" w:rsidP="003D45D7">
      <w:pPr>
        <w:numPr>
          <w:ilvl w:val="0"/>
          <w:numId w:val="6"/>
        </w:numPr>
        <w:spacing w:line="360" w:lineRule="auto"/>
        <w:rPr>
          <w:b/>
        </w:rPr>
      </w:pPr>
      <w:r>
        <w:rPr>
          <w:b/>
        </w:rPr>
        <w:t xml:space="preserve">August 31, 2016 – </w:t>
      </w:r>
      <w:r>
        <w:t>File finalized IRP document</w:t>
      </w:r>
    </w:p>
    <w:p w:rsidR="003D45D7" w:rsidRDefault="003D45D7" w:rsidP="003D45D7">
      <w:pPr>
        <w:rPr>
          <w:b/>
        </w:rPr>
      </w:pPr>
    </w:p>
    <w:p w:rsidR="003D45D7" w:rsidRDefault="003D45D7" w:rsidP="003D45D7">
      <w:pPr>
        <w:rPr>
          <w:b/>
        </w:rPr>
      </w:pPr>
    </w:p>
    <w:p w:rsidR="003D45D7" w:rsidRDefault="003D45D7" w:rsidP="003D45D7">
      <w:pPr>
        <w:ind w:left="1440"/>
        <w:rPr>
          <w:b/>
        </w:rPr>
      </w:pPr>
      <w:r>
        <w:rPr>
          <w:b/>
        </w:rPr>
        <w:br w:type="page"/>
      </w:r>
      <w:r>
        <w:rPr>
          <w:b/>
        </w:rPr>
        <w:lastRenderedPageBreak/>
        <w:t>E</w:t>
      </w:r>
      <w:r w:rsidRPr="00810380">
        <w:rPr>
          <w:b/>
        </w:rPr>
        <w:t>xhibit 1: Avista’s 20</w:t>
      </w:r>
      <w:r>
        <w:rPr>
          <w:b/>
        </w:rPr>
        <w:t>16</w:t>
      </w:r>
      <w:r w:rsidRPr="00810380">
        <w:rPr>
          <w:b/>
        </w:rPr>
        <w:t xml:space="preserve"> Natural Gas IRP Modeling Process</w:t>
      </w:r>
    </w:p>
    <w:p w:rsidR="003D45D7" w:rsidRDefault="003D45D7" w:rsidP="003D45D7">
      <w:pPr>
        <w:jc w:val="center"/>
        <w:rPr>
          <w:b/>
        </w:rPr>
      </w:pPr>
    </w:p>
    <w:p w:rsidR="003D45D7" w:rsidRDefault="003D45D7" w:rsidP="003D45D7">
      <w:pPr>
        <w:jc w:val="center"/>
        <w:rPr>
          <w:b/>
        </w:rPr>
      </w:pPr>
    </w:p>
    <w:p w:rsidR="003D0502" w:rsidRPr="003D45D7" w:rsidRDefault="00D864DA" w:rsidP="003D45D7">
      <w:pPr>
        <w:rPr>
          <w:i/>
        </w:rPr>
      </w:pPr>
      <w:r w:rsidRPr="00D864DA">
        <w:rPr>
          <w:b/>
          <w:i/>
          <w:noProof/>
        </w:rPr>
        <w:pict>
          <v:rect id="_x0000_s1050" style="position:absolute;margin-left:334.6pt;margin-top:520.85pt;width:136.8pt;height:51.25pt;z-index:251664384">
            <v:textbox style="mso-next-textbox:#_x0000_s1050" inset="2.33681mm,1.1684mm,2.33681mm,1.1684mm">
              <w:txbxContent>
                <w:p w:rsidR="003D45D7" w:rsidRPr="003D45D7" w:rsidRDefault="003D45D7" w:rsidP="003D45D7">
                  <w:pPr>
                    <w:rPr>
                      <w:sz w:val="17"/>
                      <w:szCs w:val="18"/>
                    </w:rPr>
                  </w:pPr>
                  <w:r w:rsidRPr="003D45D7">
                    <w:rPr>
                      <w:sz w:val="17"/>
                      <w:szCs w:val="18"/>
                    </w:rPr>
                    <w:t>Compile Data and write the IRP document.</w:t>
                  </w:r>
                </w:p>
              </w:txbxContent>
            </v:textbox>
          </v:rect>
        </w:pict>
      </w:r>
      <w:r w:rsidRPr="00D864DA">
        <w:rPr>
          <w:b/>
          <w:i/>
          <w:noProof/>
        </w:rPr>
        <w:pict>
          <v:rect id="_x0000_s1059" style="position:absolute;margin-left:-46pt;margin-top:272.35pt;width:81pt;height:36pt;z-index:251662336">
            <v:textbox style="mso-next-textbox:#_x0000_s1059">
              <w:txbxContent>
                <w:p w:rsidR="003D45D7" w:rsidRPr="00BB7EE3" w:rsidRDefault="003D45D7" w:rsidP="003D45D7">
                  <w:pPr>
                    <w:rPr>
                      <w:sz w:val="18"/>
                    </w:rPr>
                  </w:pPr>
                  <w:r>
                    <w:rPr>
                      <w:sz w:val="18"/>
                    </w:rPr>
                    <w:t>Planning standard review</w:t>
                  </w:r>
                </w:p>
              </w:txbxContent>
            </v:textbox>
          </v:rect>
        </w:pict>
      </w:r>
      <w:r w:rsidRPr="00D864DA">
        <w:rPr>
          <w:b/>
          <w:i/>
          <w:noProof/>
        </w:rPr>
        <w:pict>
          <v:rect id="_x0000_s1057" style="position:absolute;margin-left:-38pt;margin-top:79.8pt;width:81pt;height:36pt;z-index:251660288">
            <v:textbox style="mso-next-textbox:#_x0000_s1057">
              <w:txbxContent>
                <w:p w:rsidR="003D45D7" w:rsidRPr="00BB7EE3" w:rsidRDefault="003D45D7" w:rsidP="003D45D7">
                  <w:pPr>
                    <w:rPr>
                      <w:sz w:val="18"/>
                    </w:rPr>
                  </w:pPr>
                  <w:r>
                    <w:rPr>
                      <w:sz w:val="18"/>
                    </w:rPr>
                    <w:t>Price curve analysis</w:t>
                  </w:r>
                </w:p>
              </w:txbxContent>
            </v:textbox>
          </v:rect>
        </w:pict>
      </w:r>
      <w:r w:rsidRPr="00D864DA">
        <w:rPr>
          <w:b/>
          <w:i/>
          <w:noProof/>
        </w:rPr>
        <w:pict>
          <v:rect id="_x0000_s1058" style="position:absolute;margin-left:-37pt;margin-top:11.1pt;width:81pt;height:36pt;z-index:251661312">
            <v:textbox style="mso-next-textbox:#_x0000_s1058">
              <w:txbxContent>
                <w:p w:rsidR="003D45D7" w:rsidRPr="00BB7EE3" w:rsidRDefault="003D45D7" w:rsidP="003D45D7">
                  <w:pPr>
                    <w:rPr>
                      <w:sz w:val="18"/>
                    </w:rPr>
                  </w:pPr>
                  <w:r>
                    <w:rPr>
                      <w:sz w:val="18"/>
                    </w:rPr>
                    <w:t>Gate station analysis</w:t>
                  </w:r>
                </w:p>
              </w:txbxContent>
            </v:textbox>
          </v:rect>
        </w:pict>
      </w:r>
      <w:r w:rsidRPr="00D864DA">
        <w:rPr>
          <w:b/>
          <w:i/>
          <w:noProof/>
        </w:rPr>
        <w:pict>
          <v:rect id="_x0000_s1048" style="position:absolute;margin-left:.45pt;margin-top:530.15pt;width:84.2pt;height:34.95pt;z-index:251663360">
            <v:textbox style="mso-next-textbox:#_x0000_s1048" inset="2.33681mm,1.1684mm,2.33681mm,1.1684mm">
              <w:txbxContent>
                <w:p w:rsidR="003D45D7" w:rsidRPr="003D45D7" w:rsidRDefault="003D45D7" w:rsidP="003D45D7">
                  <w:pPr>
                    <w:jc w:val="center"/>
                    <w:rPr>
                      <w:sz w:val="17"/>
                    </w:rPr>
                  </w:pPr>
                  <w:r w:rsidRPr="003D45D7">
                    <w:rPr>
                      <w:sz w:val="17"/>
                    </w:rPr>
                    <w:t>Avoided Cost</w:t>
                  </w:r>
                </w:p>
                <w:p w:rsidR="003D45D7" w:rsidRPr="003D45D7" w:rsidRDefault="003D45D7" w:rsidP="003D45D7">
                  <w:pPr>
                    <w:jc w:val="center"/>
                    <w:rPr>
                      <w:sz w:val="17"/>
                    </w:rPr>
                  </w:pPr>
                  <w:r w:rsidRPr="003D45D7">
                    <w:rPr>
                      <w:sz w:val="17"/>
                    </w:rPr>
                    <w:t>Determination</w:t>
                  </w:r>
                </w:p>
              </w:txbxContent>
            </v:textbox>
          </v:rect>
        </w:pict>
      </w:r>
      <w:r w:rsidRPr="00D864DA">
        <w:rPr>
          <w:b/>
          <w:i/>
        </w:rPr>
      </w:r>
      <w:r w:rsidRPr="00D864DA">
        <w:rPr>
          <w:b/>
          <w:i/>
        </w:rPr>
        <w:pict>
          <v:group id="_x0000_s1026" editas="canvas" style="width:471.85pt;height:565pt;mso-position-horizontal-relative:char;mso-position-vertical-relative:line" coordorigin="1440,2628" coordsize="9437,11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2628;width:9437;height:11300" o:preferrelative="f">
              <v:fill o:detectmouseclick="t"/>
              <v:path o:extrusionok="t" o:connecttype="none"/>
              <o:lock v:ext="edit" text="t"/>
            </v:shape>
            <v:roundrect id="_x0000_s1028" style="position:absolute;left:3000;top:2636;width:3080;height:1335" arcsize="15701f">
              <v:textbox style="mso-next-textbox:#_x0000_s1028" inset="2.33681mm,1.1684mm,2.33681mm,1.1684mm">
                <w:txbxContent>
                  <w:p w:rsidR="003D45D7" w:rsidRPr="003D45D7" w:rsidRDefault="003D45D7" w:rsidP="003D45D7">
                    <w:pPr>
                      <w:rPr>
                        <w:b/>
                        <w:sz w:val="17"/>
                        <w:szCs w:val="18"/>
                      </w:rPr>
                    </w:pPr>
                    <w:r w:rsidRPr="003D45D7">
                      <w:rPr>
                        <w:b/>
                        <w:sz w:val="17"/>
                        <w:szCs w:val="18"/>
                      </w:rPr>
                      <w:t>Demand Forecast by area and class</w:t>
                    </w:r>
                  </w:p>
                  <w:p w:rsidR="003D45D7" w:rsidRPr="003D45D7" w:rsidRDefault="003D45D7" w:rsidP="003D45D7">
                    <w:pPr>
                      <w:numPr>
                        <w:ilvl w:val="0"/>
                        <w:numId w:val="1"/>
                      </w:numPr>
                      <w:rPr>
                        <w:b/>
                        <w:sz w:val="17"/>
                        <w:szCs w:val="18"/>
                      </w:rPr>
                    </w:pPr>
                    <w:r w:rsidRPr="003D45D7">
                      <w:rPr>
                        <w:sz w:val="17"/>
                        <w:szCs w:val="18"/>
                      </w:rPr>
                      <w:t>Customer counts</w:t>
                    </w:r>
                  </w:p>
                  <w:p w:rsidR="003D45D7" w:rsidRPr="003D45D7" w:rsidRDefault="003D45D7" w:rsidP="003D45D7">
                    <w:pPr>
                      <w:numPr>
                        <w:ilvl w:val="0"/>
                        <w:numId w:val="1"/>
                      </w:numPr>
                      <w:rPr>
                        <w:b/>
                        <w:sz w:val="17"/>
                        <w:szCs w:val="18"/>
                      </w:rPr>
                    </w:pPr>
                    <w:r w:rsidRPr="003D45D7">
                      <w:rPr>
                        <w:sz w:val="17"/>
                        <w:szCs w:val="18"/>
                      </w:rPr>
                      <w:t xml:space="preserve">Use per customer </w:t>
                    </w:r>
                  </w:p>
                  <w:p w:rsidR="003D45D7" w:rsidRPr="003D45D7" w:rsidRDefault="003D45D7" w:rsidP="003D45D7">
                    <w:pPr>
                      <w:numPr>
                        <w:ilvl w:val="0"/>
                        <w:numId w:val="1"/>
                      </w:numPr>
                      <w:rPr>
                        <w:b/>
                        <w:sz w:val="17"/>
                        <w:szCs w:val="18"/>
                      </w:rPr>
                    </w:pPr>
                    <w:r w:rsidRPr="003D45D7">
                      <w:rPr>
                        <w:sz w:val="17"/>
                        <w:szCs w:val="18"/>
                      </w:rPr>
                      <w:t>Elasticity</w:t>
                    </w:r>
                  </w:p>
                </w:txbxContent>
              </v:textbox>
            </v:roundrect>
            <v:roundrect id="_x0000_s1029" style="position:absolute;left:3000;top:4032;width:3080;height:1221" arcsize="15701f">
              <v:textbox style="mso-next-textbox:#_x0000_s1029" inset="2.33681mm,1.1684mm,2.33681mm,1.1684mm">
                <w:txbxContent>
                  <w:p w:rsidR="003D45D7" w:rsidRPr="003D45D7" w:rsidRDefault="003D45D7" w:rsidP="003D45D7">
                    <w:pPr>
                      <w:rPr>
                        <w:b/>
                        <w:sz w:val="17"/>
                        <w:szCs w:val="18"/>
                      </w:rPr>
                    </w:pPr>
                    <w:r w:rsidRPr="003D45D7">
                      <w:rPr>
                        <w:b/>
                        <w:sz w:val="17"/>
                        <w:szCs w:val="18"/>
                      </w:rPr>
                      <w:t>Gas Prices</w:t>
                    </w:r>
                  </w:p>
                  <w:p w:rsidR="003D45D7" w:rsidRPr="003D45D7" w:rsidRDefault="003D45D7" w:rsidP="003D45D7">
                    <w:pPr>
                      <w:numPr>
                        <w:ilvl w:val="0"/>
                        <w:numId w:val="1"/>
                      </w:numPr>
                      <w:rPr>
                        <w:b/>
                        <w:sz w:val="17"/>
                        <w:szCs w:val="18"/>
                      </w:rPr>
                    </w:pPr>
                    <w:r w:rsidRPr="003D45D7">
                      <w:rPr>
                        <w:sz w:val="17"/>
                        <w:szCs w:val="18"/>
                      </w:rPr>
                      <w:t>Basis differential</w:t>
                    </w:r>
                  </w:p>
                  <w:p w:rsidR="003D45D7" w:rsidRPr="003D45D7" w:rsidRDefault="003D45D7" w:rsidP="003D45D7">
                    <w:pPr>
                      <w:numPr>
                        <w:ilvl w:val="0"/>
                        <w:numId w:val="1"/>
                      </w:numPr>
                      <w:rPr>
                        <w:b/>
                        <w:sz w:val="17"/>
                        <w:szCs w:val="18"/>
                      </w:rPr>
                    </w:pPr>
                    <w:r w:rsidRPr="003D45D7">
                      <w:rPr>
                        <w:sz w:val="17"/>
                        <w:szCs w:val="18"/>
                      </w:rPr>
                      <w:t>Volatility</w:t>
                    </w:r>
                  </w:p>
                  <w:p w:rsidR="003D45D7" w:rsidRPr="003D45D7" w:rsidRDefault="003D45D7" w:rsidP="003D45D7">
                    <w:pPr>
                      <w:numPr>
                        <w:ilvl w:val="0"/>
                        <w:numId w:val="1"/>
                      </w:numPr>
                      <w:rPr>
                        <w:b/>
                        <w:sz w:val="17"/>
                        <w:szCs w:val="18"/>
                      </w:rPr>
                    </w:pPr>
                    <w:r w:rsidRPr="003D45D7">
                      <w:rPr>
                        <w:sz w:val="17"/>
                        <w:szCs w:val="18"/>
                      </w:rPr>
                      <w:t>Seasonal Spreads</w:t>
                    </w:r>
                  </w:p>
                </w:txbxContent>
              </v:textbox>
            </v:roundrect>
            <v:roundrect id="_x0000_s1030" style="position:absolute;left:3000;top:5429;width:3080;height:872" arcsize="15701f">
              <v:textbox style="mso-next-textbox:#_x0000_s1030" inset="2.33681mm,1.1684mm,2.33681mm,1.1684mm">
                <w:txbxContent>
                  <w:p w:rsidR="003D45D7" w:rsidRPr="003D45D7" w:rsidRDefault="003D45D7" w:rsidP="003D45D7">
                    <w:pPr>
                      <w:rPr>
                        <w:b/>
                        <w:sz w:val="17"/>
                        <w:szCs w:val="18"/>
                      </w:rPr>
                    </w:pPr>
                    <w:r w:rsidRPr="003D45D7">
                      <w:rPr>
                        <w:b/>
                        <w:sz w:val="17"/>
                        <w:szCs w:val="18"/>
                      </w:rPr>
                      <w:t>Existing Supply-Side Resources</w:t>
                    </w:r>
                  </w:p>
                  <w:p w:rsidR="003D45D7" w:rsidRPr="003D45D7" w:rsidRDefault="003D45D7" w:rsidP="003D45D7">
                    <w:pPr>
                      <w:numPr>
                        <w:ilvl w:val="0"/>
                        <w:numId w:val="1"/>
                      </w:numPr>
                      <w:rPr>
                        <w:b/>
                        <w:sz w:val="17"/>
                        <w:szCs w:val="18"/>
                      </w:rPr>
                    </w:pPr>
                    <w:r w:rsidRPr="003D45D7">
                      <w:rPr>
                        <w:sz w:val="17"/>
                        <w:szCs w:val="18"/>
                      </w:rPr>
                      <w:t>Costs</w:t>
                    </w:r>
                  </w:p>
                  <w:p w:rsidR="003D45D7" w:rsidRPr="003D45D7" w:rsidRDefault="003D45D7" w:rsidP="003D45D7">
                    <w:pPr>
                      <w:numPr>
                        <w:ilvl w:val="0"/>
                        <w:numId w:val="1"/>
                      </w:numPr>
                      <w:rPr>
                        <w:b/>
                        <w:sz w:val="17"/>
                        <w:szCs w:val="18"/>
                      </w:rPr>
                    </w:pPr>
                    <w:r w:rsidRPr="003D45D7">
                      <w:rPr>
                        <w:sz w:val="17"/>
                        <w:szCs w:val="18"/>
                      </w:rPr>
                      <w:t>Operational Characteristics</w:t>
                    </w:r>
                  </w:p>
                </w:txbxContent>
              </v:textbox>
            </v:roundrect>
            <v:roundrect id="_x0000_s1031" style="position:absolute;left:2831;top:6475;width:3249;height:1396" arcsize="15701f">
              <v:textbox style="mso-next-textbox:#_x0000_s1031" inset="2.33681mm,1.1684mm,2.33681mm,1.1684mm">
                <w:txbxContent>
                  <w:p w:rsidR="003D45D7" w:rsidRPr="003D45D7" w:rsidRDefault="003D45D7" w:rsidP="003D45D7">
                    <w:pPr>
                      <w:rPr>
                        <w:b/>
                        <w:sz w:val="17"/>
                        <w:szCs w:val="18"/>
                      </w:rPr>
                    </w:pPr>
                    <w:r w:rsidRPr="003D45D7">
                      <w:rPr>
                        <w:b/>
                        <w:sz w:val="17"/>
                        <w:szCs w:val="18"/>
                      </w:rPr>
                      <w:t>Demand-Side Resources</w:t>
                    </w:r>
                  </w:p>
                  <w:p w:rsidR="003D45D7" w:rsidRPr="003D45D7" w:rsidRDefault="003D45D7" w:rsidP="003D45D7">
                    <w:pPr>
                      <w:numPr>
                        <w:ilvl w:val="0"/>
                        <w:numId w:val="2"/>
                      </w:numPr>
                      <w:rPr>
                        <w:b/>
                        <w:sz w:val="17"/>
                        <w:szCs w:val="18"/>
                      </w:rPr>
                    </w:pPr>
                    <w:r w:rsidRPr="003D45D7">
                      <w:rPr>
                        <w:sz w:val="17"/>
                        <w:szCs w:val="18"/>
                      </w:rPr>
                      <w:t>Assess DSM resource options</w:t>
                    </w:r>
                  </w:p>
                  <w:p w:rsidR="003D45D7" w:rsidRPr="003D45D7" w:rsidRDefault="003D45D7" w:rsidP="003D45D7">
                    <w:pPr>
                      <w:numPr>
                        <w:ilvl w:val="0"/>
                        <w:numId w:val="2"/>
                      </w:numPr>
                      <w:rPr>
                        <w:b/>
                        <w:sz w:val="17"/>
                        <w:szCs w:val="18"/>
                      </w:rPr>
                    </w:pPr>
                    <w:r w:rsidRPr="003D45D7">
                      <w:rPr>
                        <w:sz w:val="17"/>
                        <w:szCs w:val="18"/>
                      </w:rPr>
                      <w:t>Integrate DSM in resource portfolio</w:t>
                    </w:r>
                  </w:p>
                </w:txbxContent>
              </v:textbox>
            </v:roundrect>
            <v:roundrect id="_x0000_s1032" style="position:absolute;left:2831;top:8045;width:3249;height:873" arcsize="15701f">
              <v:textbox style="mso-next-textbox:#_x0000_s1032" inset="2.33681mm,1.1684mm,2.33681mm,1.1684mm">
                <w:txbxContent>
                  <w:p w:rsidR="003D45D7" w:rsidRPr="003D45D7" w:rsidRDefault="003D45D7" w:rsidP="003D45D7">
                    <w:pPr>
                      <w:rPr>
                        <w:b/>
                        <w:sz w:val="17"/>
                        <w:szCs w:val="18"/>
                      </w:rPr>
                    </w:pPr>
                    <w:r w:rsidRPr="003D45D7">
                      <w:rPr>
                        <w:b/>
                        <w:sz w:val="17"/>
                        <w:szCs w:val="18"/>
                      </w:rPr>
                      <w:t>Weather</w:t>
                    </w:r>
                  </w:p>
                  <w:p w:rsidR="003D45D7" w:rsidRPr="003D45D7" w:rsidRDefault="003D45D7" w:rsidP="003D45D7">
                    <w:pPr>
                      <w:numPr>
                        <w:ilvl w:val="0"/>
                        <w:numId w:val="1"/>
                      </w:numPr>
                      <w:rPr>
                        <w:b/>
                        <w:sz w:val="17"/>
                        <w:szCs w:val="18"/>
                      </w:rPr>
                    </w:pPr>
                    <w:r w:rsidRPr="003D45D7">
                      <w:rPr>
                        <w:sz w:val="17"/>
                        <w:szCs w:val="18"/>
                      </w:rPr>
                      <w:t xml:space="preserve">30 year NOAA average by area plus Peak Day weather </w:t>
                    </w:r>
                  </w:p>
                </w:txbxContent>
              </v:textbox>
            </v:roundrect>
            <v:rect id="_x0000_s1033" style="position:absolute;left:7326;top:4555;width:2946;height:1745">
              <v:textbox style="mso-next-textbox:#_x0000_s1033" inset="2.33681mm,1.1684mm,2.33681mm,1.1684mm">
                <w:txbxContent>
                  <w:p w:rsidR="003D45D7" w:rsidRPr="003D45D7" w:rsidRDefault="003D45D7" w:rsidP="003D45D7">
                    <w:pPr>
                      <w:jc w:val="center"/>
                      <w:rPr>
                        <w:sz w:val="17"/>
                        <w:szCs w:val="18"/>
                      </w:rPr>
                    </w:pPr>
                    <w:r w:rsidRPr="003D45D7">
                      <w:rPr>
                        <w:sz w:val="17"/>
                        <w:szCs w:val="18"/>
                      </w:rPr>
                      <w:t>SENDOUT®</w:t>
                    </w:r>
                  </w:p>
                  <w:p w:rsidR="003D45D7" w:rsidRPr="003D45D7" w:rsidRDefault="003D45D7" w:rsidP="003D45D7">
                    <w:pPr>
                      <w:jc w:val="center"/>
                      <w:rPr>
                        <w:sz w:val="17"/>
                        <w:szCs w:val="18"/>
                      </w:rPr>
                    </w:pPr>
                    <w:r w:rsidRPr="003D45D7">
                      <w:rPr>
                        <w:sz w:val="17"/>
                        <w:szCs w:val="18"/>
                      </w:rPr>
                      <w:t>Optimization</w:t>
                    </w:r>
                  </w:p>
                  <w:p w:rsidR="003D45D7" w:rsidRPr="003D45D7" w:rsidRDefault="003D45D7" w:rsidP="003D45D7">
                    <w:pPr>
                      <w:jc w:val="center"/>
                      <w:rPr>
                        <w:sz w:val="17"/>
                        <w:szCs w:val="18"/>
                      </w:rPr>
                    </w:pPr>
                    <w:r w:rsidRPr="003D45D7">
                      <w:rPr>
                        <w:sz w:val="17"/>
                        <w:szCs w:val="18"/>
                      </w:rPr>
                      <w:t>Run</w:t>
                    </w:r>
                  </w:p>
                  <w:p w:rsidR="003D45D7" w:rsidRPr="003D45D7" w:rsidRDefault="003D45D7" w:rsidP="003D45D7">
                    <w:pPr>
                      <w:jc w:val="center"/>
                      <w:rPr>
                        <w:sz w:val="17"/>
                        <w:szCs w:val="18"/>
                      </w:rPr>
                    </w:pPr>
                  </w:p>
                  <w:p w:rsidR="003D45D7" w:rsidRPr="003D45D7" w:rsidRDefault="003D45D7" w:rsidP="003D45D7">
                    <w:pPr>
                      <w:jc w:val="center"/>
                      <w:rPr>
                        <w:sz w:val="17"/>
                        <w:szCs w:val="18"/>
                      </w:rPr>
                    </w:pPr>
                    <w:r w:rsidRPr="003D45D7">
                      <w:rPr>
                        <w:sz w:val="17"/>
                        <w:szCs w:val="18"/>
                      </w:rPr>
                      <w:t>Identify when and where deficiencies occur in the 20 year planning period.</w:t>
                    </w:r>
                  </w:p>
                </w:txbxContent>
              </v:textbox>
            </v:rect>
            <v:roundrect id="_x0000_s1034" style="position:absolute;left:6921;top:7522;width:3789;height:896" arcsize="15701f">
              <v:textbox style="mso-next-textbox:#_x0000_s1034" inset="2.33681mm,1.1684mm,2.33681mm,1.1684mm">
                <w:txbxContent>
                  <w:p w:rsidR="003D45D7" w:rsidRPr="003D45D7" w:rsidRDefault="003D45D7" w:rsidP="003D45D7">
                    <w:pPr>
                      <w:rPr>
                        <w:b/>
                        <w:sz w:val="17"/>
                        <w:szCs w:val="18"/>
                      </w:rPr>
                    </w:pPr>
                    <w:r w:rsidRPr="003D45D7">
                      <w:rPr>
                        <w:b/>
                        <w:sz w:val="17"/>
                        <w:szCs w:val="18"/>
                      </w:rPr>
                      <w:t>Enter all future resource options:</w:t>
                    </w:r>
                  </w:p>
                  <w:p w:rsidR="003D45D7" w:rsidRPr="003D45D7" w:rsidRDefault="003D45D7" w:rsidP="003D45D7">
                    <w:pPr>
                      <w:numPr>
                        <w:ilvl w:val="0"/>
                        <w:numId w:val="1"/>
                      </w:numPr>
                      <w:rPr>
                        <w:b/>
                        <w:sz w:val="17"/>
                        <w:szCs w:val="18"/>
                      </w:rPr>
                    </w:pPr>
                    <w:r w:rsidRPr="003D45D7">
                      <w:rPr>
                        <w:sz w:val="17"/>
                        <w:szCs w:val="18"/>
                      </w:rPr>
                      <w:t>Demand-Side</w:t>
                    </w:r>
                  </w:p>
                  <w:p w:rsidR="003D45D7" w:rsidRPr="003D45D7" w:rsidRDefault="003D45D7" w:rsidP="003D45D7">
                    <w:pPr>
                      <w:numPr>
                        <w:ilvl w:val="0"/>
                        <w:numId w:val="1"/>
                      </w:numPr>
                      <w:rPr>
                        <w:b/>
                        <w:sz w:val="17"/>
                        <w:szCs w:val="18"/>
                      </w:rPr>
                    </w:pPr>
                    <w:r w:rsidRPr="003D45D7">
                      <w:rPr>
                        <w:sz w:val="17"/>
                        <w:szCs w:val="18"/>
                      </w:rPr>
                      <w:t>Supply-Side</w:t>
                    </w:r>
                  </w:p>
                </w:txbxContent>
              </v:textbox>
            </v:roundrect>
            <v:rect id="_x0000_s1035" style="position:absolute;left:7342;top:9790;width:2947;height:2010">
              <v:textbox style="mso-next-textbox:#_x0000_s1035" inset="2.33681mm,1.1684mm,2.33681mm,1.1684mm">
                <w:txbxContent>
                  <w:p w:rsidR="003D45D7" w:rsidRPr="003D45D7" w:rsidRDefault="003D45D7" w:rsidP="003D45D7">
                    <w:pPr>
                      <w:jc w:val="center"/>
                      <w:rPr>
                        <w:sz w:val="17"/>
                        <w:szCs w:val="18"/>
                      </w:rPr>
                    </w:pPr>
                    <w:r w:rsidRPr="003D45D7">
                      <w:rPr>
                        <w:sz w:val="17"/>
                        <w:szCs w:val="18"/>
                      </w:rPr>
                      <w:t>SENDOUT®</w:t>
                    </w:r>
                  </w:p>
                  <w:p w:rsidR="003D45D7" w:rsidRPr="003D45D7" w:rsidRDefault="003D45D7" w:rsidP="003D45D7">
                    <w:pPr>
                      <w:jc w:val="center"/>
                      <w:rPr>
                        <w:sz w:val="17"/>
                        <w:szCs w:val="18"/>
                      </w:rPr>
                    </w:pPr>
                    <w:r w:rsidRPr="003D45D7">
                      <w:rPr>
                        <w:sz w:val="17"/>
                        <w:szCs w:val="18"/>
                      </w:rPr>
                      <w:t>Optimization</w:t>
                    </w:r>
                  </w:p>
                  <w:p w:rsidR="003D45D7" w:rsidRPr="003D45D7" w:rsidRDefault="003D45D7" w:rsidP="003D45D7">
                    <w:pPr>
                      <w:jc w:val="center"/>
                      <w:rPr>
                        <w:sz w:val="17"/>
                        <w:szCs w:val="18"/>
                      </w:rPr>
                    </w:pPr>
                    <w:r w:rsidRPr="003D45D7">
                      <w:rPr>
                        <w:sz w:val="17"/>
                        <w:szCs w:val="18"/>
                      </w:rPr>
                      <w:t>Run</w:t>
                    </w:r>
                  </w:p>
                  <w:p w:rsidR="003D45D7" w:rsidRPr="003D45D7" w:rsidRDefault="003D45D7" w:rsidP="003D45D7">
                    <w:pPr>
                      <w:jc w:val="center"/>
                      <w:rPr>
                        <w:sz w:val="17"/>
                        <w:szCs w:val="18"/>
                      </w:rPr>
                    </w:pPr>
                  </w:p>
                  <w:p w:rsidR="003D45D7" w:rsidRPr="003D45D7" w:rsidRDefault="003D45D7" w:rsidP="003D45D7">
                    <w:pPr>
                      <w:jc w:val="center"/>
                      <w:rPr>
                        <w:sz w:val="17"/>
                        <w:szCs w:val="18"/>
                      </w:rPr>
                    </w:pPr>
                    <w:r w:rsidRPr="003D45D7">
                      <w:rPr>
                        <w:sz w:val="17"/>
                        <w:szCs w:val="18"/>
                      </w:rPr>
                      <w:t>Solve for deficiencies and incorporate those into the least costs resource mix for the 20 year period.</w:t>
                    </w:r>
                  </w:p>
                </w:txbxContent>
              </v:textbox>
            </v:rect>
            <v:line id="_x0000_s1036" style="position:absolute" from="6080,3334" to="7342,5429">
              <v:stroke endarrow="block"/>
            </v:line>
            <v:line id="_x0000_s1037" style="position:absolute" from="6080,4730" to="7342,5429">
              <v:stroke endarrow="block"/>
            </v:line>
            <v:line id="_x0000_s1038" style="position:absolute;flip:y" from="6080,5429" to="7342,5777">
              <v:stroke endarrow="block"/>
            </v:line>
            <v:line id="_x0000_s1039" style="position:absolute;flip:y" from="6080,5428" to="7342,6824">
              <v:stroke endarrow="block"/>
            </v:line>
            <v:line id="_x0000_s1040" style="position:absolute;flip:y" from="6080,5428" to="7326,8569">
              <v:stroke endarrow="block"/>
            </v:line>
            <v:line id="_x0000_s1041" style="position:absolute" from="8816,6300" to="8817,7522">
              <v:stroke endarrow="block"/>
            </v:line>
            <v:line id="_x0000_s1042" style="position:absolute" from="8816,8394" to="8817,9790">
              <v:stroke endarrow="block"/>
            </v:line>
            <v:line id="_x0000_s1043" style="position:absolute" from="2320,4555" to="2951,4557">
              <v:stroke endarrow="block"/>
            </v:line>
            <v:line id="_x0000_s1044" style="position:absolute;flip:x" from="6290,11186" to="7342,11187">
              <v:stroke endarrow="block"/>
            </v:line>
            <v:line id="_x0000_s1045" style="position:absolute;flip:x" from="3344,11535" to="3975,11536">
              <v:stroke endarrow="block"/>
            </v:line>
            <v:rect id="_x0000_s1046" style="position:absolute;left:1449;top:10837;width:1895;height:1222">
              <v:textbox style="mso-next-textbox:#_x0000_s1046" inset="2.33681mm,1.1684mm,2.33681mm,1.1684mm">
                <w:txbxContent>
                  <w:p w:rsidR="003D45D7" w:rsidRPr="003D45D7" w:rsidRDefault="003D45D7" w:rsidP="003D45D7">
                    <w:pPr>
                      <w:jc w:val="center"/>
                      <w:rPr>
                        <w:sz w:val="17"/>
                      </w:rPr>
                    </w:pPr>
                  </w:p>
                  <w:p w:rsidR="003D45D7" w:rsidRPr="003D45D7" w:rsidRDefault="003D45D7" w:rsidP="003D45D7">
                    <w:pPr>
                      <w:jc w:val="center"/>
                      <w:rPr>
                        <w:sz w:val="17"/>
                      </w:rPr>
                    </w:pPr>
                    <w:r w:rsidRPr="003D45D7">
                      <w:rPr>
                        <w:sz w:val="17"/>
                      </w:rPr>
                      <w:t>Determine Base Case Scenario</w:t>
                    </w:r>
                  </w:p>
                </w:txbxContent>
              </v:textbox>
            </v:rect>
            <v:line id="_x0000_s1047" style="position:absolute" from="2291,12059" to="2292,13231">
              <v:stroke endarrow="block"/>
            </v:line>
            <v:line id="_x0000_s1049" style="position:absolute" from="2291,12059" to="8132,13280">
              <v:stroke endarrow="block"/>
            </v:line>
            <v:line id="_x0000_s1051" style="position:absolute" from="3133,13661" to="8132,13662">
              <v:stroke endarrow="block"/>
            </v:line>
            <v:roundrect id="_x0000_s1052" style="position:absolute;left:2831;top:8990;width:3459;height:1629" arcsize="10923f">
              <v:textbox style="mso-next-textbox:#_x0000_s1052" inset="2.33681mm,1.1684mm,2.33681mm,1.1684mm">
                <w:txbxContent>
                  <w:p w:rsidR="003D45D7" w:rsidRPr="003D45D7" w:rsidRDefault="003D45D7" w:rsidP="003D45D7">
                    <w:pPr>
                      <w:rPr>
                        <w:b/>
                        <w:sz w:val="15"/>
                      </w:rPr>
                    </w:pPr>
                    <w:r w:rsidRPr="003D45D7">
                      <w:rPr>
                        <w:b/>
                        <w:sz w:val="15"/>
                      </w:rPr>
                      <w:t>Key Considerations</w:t>
                    </w:r>
                  </w:p>
                  <w:p w:rsidR="003D45D7" w:rsidRPr="003D45D7" w:rsidRDefault="003D45D7" w:rsidP="003D45D7">
                    <w:pPr>
                      <w:numPr>
                        <w:ilvl w:val="0"/>
                        <w:numId w:val="4"/>
                      </w:numPr>
                      <w:rPr>
                        <w:b/>
                        <w:sz w:val="15"/>
                      </w:rPr>
                    </w:pPr>
                    <w:r w:rsidRPr="003D45D7">
                      <w:rPr>
                        <w:sz w:val="15"/>
                      </w:rPr>
                      <w:t>Resource Cost</w:t>
                    </w:r>
                  </w:p>
                  <w:p w:rsidR="003D45D7" w:rsidRPr="003D45D7" w:rsidRDefault="003D45D7" w:rsidP="003D45D7">
                    <w:pPr>
                      <w:numPr>
                        <w:ilvl w:val="0"/>
                        <w:numId w:val="4"/>
                      </w:numPr>
                      <w:rPr>
                        <w:b/>
                        <w:sz w:val="15"/>
                      </w:rPr>
                    </w:pPr>
                    <w:r w:rsidRPr="003D45D7">
                      <w:rPr>
                        <w:sz w:val="15"/>
                      </w:rPr>
                      <w:t>Peak vs. Base Load</w:t>
                    </w:r>
                  </w:p>
                  <w:p w:rsidR="003D45D7" w:rsidRPr="003D45D7" w:rsidRDefault="003D45D7" w:rsidP="003D45D7">
                    <w:pPr>
                      <w:numPr>
                        <w:ilvl w:val="0"/>
                        <w:numId w:val="4"/>
                      </w:numPr>
                      <w:rPr>
                        <w:b/>
                        <w:sz w:val="15"/>
                      </w:rPr>
                    </w:pPr>
                    <w:r w:rsidRPr="003D45D7">
                      <w:rPr>
                        <w:sz w:val="15"/>
                      </w:rPr>
                      <w:t>Lead Time Requirements</w:t>
                    </w:r>
                  </w:p>
                  <w:p w:rsidR="003D45D7" w:rsidRPr="003D45D7" w:rsidRDefault="003D45D7" w:rsidP="003D45D7">
                    <w:pPr>
                      <w:numPr>
                        <w:ilvl w:val="0"/>
                        <w:numId w:val="4"/>
                      </w:numPr>
                      <w:rPr>
                        <w:b/>
                        <w:sz w:val="15"/>
                      </w:rPr>
                    </w:pPr>
                    <w:r w:rsidRPr="003D45D7">
                      <w:rPr>
                        <w:sz w:val="15"/>
                      </w:rPr>
                      <w:t>Resource Usefulness</w:t>
                    </w:r>
                  </w:p>
                  <w:p w:rsidR="003D45D7" w:rsidRPr="003D45D7" w:rsidRDefault="003D45D7" w:rsidP="003D45D7">
                    <w:pPr>
                      <w:numPr>
                        <w:ilvl w:val="0"/>
                        <w:numId w:val="4"/>
                      </w:numPr>
                      <w:rPr>
                        <w:b/>
                        <w:sz w:val="15"/>
                      </w:rPr>
                    </w:pPr>
                    <w:r w:rsidRPr="003D45D7">
                      <w:rPr>
                        <w:sz w:val="15"/>
                      </w:rPr>
                      <w:t>“Lumpiness” of Resource Options</w:t>
                    </w:r>
                  </w:p>
                </w:txbxContent>
              </v:textbox>
            </v:roundrect>
            <v:line id="_x0000_s1053" style="position:absolute;flip:y" from="6290,8419" to="8560,9790">
              <v:stroke endarrow="block"/>
            </v:line>
            <v:rect id="_x0000_s1054" style="position:absolute;left:3975;top:10837;width:2315;height:2208">
              <v:textbox style="mso-next-textbox:#_x0000_s1054" inset="2.33681mm,1.1684mm,2.33681mm,1.1684mm">
                <w:txbxContent>
                  <w:p w:rsidR="003D45D7" w:rsidRPr="003D45D7" w:rsidRDefault="003D45D7" w:rsidP="003D45D7">
                    <w:pPr>
                      <w:rPr>
                        <w:b/>
                        <w:sz w:val="17"/>
                      </w:rPr>
                    </w:pPr>
                    <w:r w:rsidRPr="003D45D7">
                      <w:rPr>
                        <w:b/>
                        <w:sz w:val="17"/>
                      </w:rPr>
                      <w:t>Sensitivity/Scenario Analysis</w:t>
                    </w:r>
                  </w:p>
                  <w:p w:rsidR="003D45D7" w:rsidRPr="003D45D7" w:rsidRDefault="003D45D7" w:rsidP="003D45D7">
                    <w:pPr>
                      <w:numPr>
                        <w:ilvl w:val="0"/>
                        <w:numId w:val="3"/>
                      </w:numPr>
                      <w:rPr>
                        <w:b/>
                        <w:sz w:val="17"/>
                      </w:rPr>
                    </w:pPr>
                    <w:r w:rsidRPr="003D45D7">
                      <w:rPr>
                        <w:sz w:val="17"/>
                      </w:rPr>
                      <w:t>Customer Counts</w:t>
                    </w:r>
                  </w:p>
                  <w:p w:rsidR="003D45D7" w:rsidRPr="003D45D7" w:rsidRDefault="003D45D7" w:rsidP="003D45D7">
                    <w:pPr>
                      <w:numPr>
                        <w:ilvl w:val="0"/>
                        <w:numId w:val="3"/>
                      </w:numPr>
                      <w:rPr>
                        <w:b/>
                        <w:sz w:val="17"/>
                      </w:rPr>
                    </w:pPr>
                    <w:r w:rsidRPr="003D45D7">
                      <w:rPr>
                        <w:sz w:val="17"/>
                      </w:rPr>
                      <w:t>Use per customer</w:t>
                    </w:r>
                  </w:p>
                  <w:p w:rsidR="003D45D7" w:rsidRPr="003D45D7" w:rsidRDefault="003D45D7" w:rsidP="003D45D7">
                    <w:pPr>
                      <w:numPr>
                        <w:ilvl w:val="0"/>
                        <w:numId w:val="3"/>
                      </w:numPr>
                      <w:rPr>
                        <w:b/>
                        <w:sz w:val="17"/>
                      </w:rPr>
                    </w:pPr>
                    <w:r w:rsidRPr="003D45D7">
                      <w:rPr>
                        <w:sz w:val="17"/>
                      </w:rPr>
                      <w:t>DSM</w:t>
                    </w:r>
                  </w:p>
                  <w:p w:rsidR="003D45D7" w:rsidRPr="003D45D7" w:rsidRDefault="003D45D7" w:rsidP="003D45D7">
                    <w:pPr>
                      <w:numPr>
                        <w:ilvl w:val="0"/>
                        <w:numId w:val="3"/>
                      </w:numPr>
                      <w:rPr>
                        <w:b/>
                        <w:sz w:val="17"/>
                      </w:rPr>
                    </w:pPr>
                    <w:r w:rsidRPr="003D45D7">
                      <w:rPr>
                        <w:sz w:val="17"/>
                      </w:rPr>
                      <w:t>Monte Carlo</w:t>
                    </w:r>
                  </w:p>
                  <w:p w:rsidR="003D45D7" w:rsidRPr="003D45D7" w:rsidRDefault="003D45D7" w:rsidP="003D45D7">
                    <w:pPr>
                      <w:numPr>
                        <w:ilvl w:val="0"/>
                        <w:numId w:val="3"/>
                      </w:numPr>
                      <w:rPr>
                        <w:b/>
                        <w:sz w:val="17"/>
                      </w:rPr>
                    </w:pPr>
                    <w:r w:rsidRPr="003D45D7">
                      <w:rPr>
                        <w:sz w:val="17"/>
                      </w:rPr>
                      <w:t>Etc.</w:t>
                    </w:r>
                  </w:p>
                  <w:p w:rsidR="003D45D7" w:rsidRPr="003D45D7" w:rsidRDefault="003D45D7" w:rsidP="003D45D7">
                    <w:pPr>
                      <w:rPr>
                        <w:b/>
                        <w:sz w:val="15"/>
                      </w:rPr>
                    </w:pPr>
                  </w:p>
                </w:txbxContent>
              </v:textbox>
            </v:rect>
            <v:line id="_x0000_s1055" style="position:absolute" from="2341,3171" to="2972,3173">
              <v:stroke endarrow="block"/>
            </v:line>
            <v:line id="_x0000_s1056" style="position:absolute" from="2161,8418" to="2792,8419">
              <v:stroke endarrow="block"/>
            </v:line>
            <w10:wrap type="none"/>
            <w10:anchorlock/>
          </v:group>
        </w:pict>
      </w:r>
    </w:p>
    <w:sectPr w:rsidR="003D0502" w:rsidRPr="003D45D7" w:rsidSect="003D0502">
      <w:headerReference w:type="default" r:id="rId10"/>
      <w:footerReference w:type="default" r:id="rId11"/>
      <w:headerReference w:type="first" r:id="rId12"/>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81" w:rsidRDefault="000C6781" w:rsidP="00B44715">
      <w:r>
        <w:separator/>
      </w:r>
    </w:p>
  </w:endnote>
  <w:endnote w:type="continuationSeparator" w:id="0">
    <w:p w:rsidR="000C6781" w:rsidRDefault="000C6781" w:rsidP="00B44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02" w:rsidRDefault="003D0502"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81" w:rsidRDefault="000C6781" w:rsidP="00B44715">
      <w:r>
        <w:separator/>
      </w:r>
    </w:p>
  </w:footnote>
  <w:footnote w:type="continuationSeparator" w:id="0">
    <w:p w:rsidR="000C6781" w:rsidRDefault="000C6781" w:rsidP="00B44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02" w:rsidRDefault="003D0502"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02" w:rsidRDefault="003D0502"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589"/>
    <w:multiLevelType w:val="hybridMultilevel"/>
    <w:tmpl w:val="1B921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9A78E9"/>
    <w:multiLevelType w:val="hybridMultilevel"/>
    <w:tmpl w:val="89089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0D2B75"/>
    <w:multiLevelType w:val="hybridMultilevel"/>
    <w:tmpl w:val="D1DA1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494748"/>
    <w:multiLevelType w:val="hybridMultilevel"/>
    <w:tmpl w:val="8A14BAC2"/>
    <w:lvl w:ilvl="0" w:tplc="04090001">
      <w:start w:val="1"/>
      <w:numFmt w:val="bullet"/>
      <w:lvlText w:val=""/>
      <w:lvlJc w:val="left"/>
      <w:pPr>
        <w:tabs>
          <w:tab w:val="num" w:pos="720"/>
        </w:tabs>
        <w:ind w:left="720" w:hanging="360"/>
      </w:pPr>
      <w:rPr>
        <w:rFonts w:ascii="Symbol" w:hAnsi="Symbol" w:hint="default"/>
      </w:rPr>
    </w:lvl>
    <w:lvl w:ilvl="1" w:tplc="A76A031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C85D44"/>
    <w:multiLevelType w:val="hybridMultilevel"/>
    <w:tmpl w:val="96E671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3F3CCD"/>
    <w:multiLevelType w:val="hybridMultilevel"/>
    <w:tmpl w:val="806052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E20A0"/>
    <w:multiLevelType w:val="hybridMultilevel"/>
    <w:tmpl w:val="5B621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C6781"/>
    <w:rsid w:val="000C6781"/>
    <w:rsid w:val="00315F16"/>
    <w:rsid w:val="003D0502"/>
    <w:rsid w:val="003D45D7"/>
    <w:rsid w:val="00B3771B"/>
    <w:rsid w:val="00B44715"/>
    <w:rsid w:val="00BF6DB2"/>
    <w:rsid w:val="00D864DA"/>
    <w:rsid w:val="00E93FC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3D45D7"/>
    <w:rPr>
      <w:rFonts w:ascii="Tahoma" w:hAnsi="Tahoma" w:cs="Tahoma"/>
      <w:sz w:val="16"/>
      <w:szCs w:val="16"/>
    </w:rPr>
  </w:style>
  <w:style w:type="character" w:customStyle="1" w:styleId="BalloonTextChar">
    <w:name w:val="Balloon Text Char"/>
    <w:basedOn w:val="DefaultParagraphFont"/>
    <w:link w:val="BalloonText"/>
    <w:uiPriority w:val="99"/>
    <w:semiHidden/>
    <w:rsid w:val="003D4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p0321\Desktop\2016%20IRP\2016%20Natural%20Gas%20Integrated%20Resource%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CB6235D360549AF2C34E82C7C9EA3" ma:contentTypeVersion="119" ma:contentTypeDescription="" ma:contentTypeScope="" ma:versionID="d4915b6f3516ae507207ccdfb8bf17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2015-08-25T07:00:00+00:00</OpenedDate>
    <Date1 xmlns="dc463f71-b30c-4ab2-9473-d307f9d35888">2015-08-25T07:00:00+00:00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151751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AB621D-0207-418E-A247-1F3EA47FAE11}"/>
</file>

<file path=customXml/itemProps2.xml><?xml version="1.0" encoding="utf-8"?>
<ds:datastoreItem xmlns:ds="http://schemas.openxmlformats.org/officeDocument/2006/customXml" ds:itemID="{5A0C034D-90B0-4C58-9FA7-DC8DA5A42539}"/>
</file>

<file path=customXml/itemProps3.xml><?xml version="1.0" encoding="utf-8"?>
<ds:datastoreItem xmlns:ds="http://schemas.openxmlformats.org/officeDocument/2006/customXml" ds:itemID="{19EB536F-8A22-456B-B743-DF5DF4F520E0}"/>
</file>

<file path=customXml/itemProps4.xml><?xml version="1.0" encoding="utf-8"?>
<ds:datastoreItem xmlns:ds="http://schemas.openxmlformats.org/officeDocument/2006/customXml" ds:itemID="{6EC82309-657B-42C7-864E-9A5062137C33}"/>
</file>

<file path=docProps/app.xml><?xml version="1.0" encoding="utf-8"?>
<Properties xmlns="http://schemas.openxmlformats.org/officeDocument/2006/extended-properties" xmlns:vt="http://schemas.openxmlformats.org/officeDocument/2006/docPropsVTypes">
  <Template>2016 Natural Gas Integrated Resource Plan</Template>
  <TotalTime>6</TotalTime>
  <Pages>3</Pages>
  <Words>456</Words>
  <Characters>2605</Characters>
  <Application>Microsoft Office Word</Application>
  <DocSecurity>0</DocSecurity>
  <Lines>21</Lines>
  <Paragraphs>6</Paragraphs>
  <ScaleCrop>false</ScaleCrop>
  <Company>MAI</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Pardee</dc:creator>
  <cp:lastModifiedBy>Tom Pardee</cp:lastModifiedBy>
  <cp:revision>1</cp:revision>
  <dcterms:created xsi:type="dcterms:W3CDTF">2015-08-19T14:05:00Z</dcterms:created>
  <dcterms:modified xsi:type="dcterms:W3CDTF">2015-08-19T14:11:00Z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0x0101006E56B4D1795A2E4DB2F0B01679ED314A000DDCB6235D360549AF2C34E82C7C9EA3</vt:lpwstr>
  </property>
  <property fmtid="{D5CDD505-2E9C-101B-9397-08002B2CF9AE}" pid="3" name="_docset_NoMedatataSyncRequired">
    <vt:lpwstr>False</vt:lpwstr>
  </property>
</Properties>
</file>