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DC" w:rsidRPr="006B176C" w:rsidRDefault="007F1D02" w:rsidP="00956392">
      <w:pPr>
        <w:tabs>
          <w:tab w:val="left" w:pos="-1440"/>
          <w:tab w:val="left" w:pos="-720"/>
          <w:tab w:val="left" w:pos="4590"/>
        </w:tabs>
        <w:suppressAutoHyphens/>
        <w:rPr>
          <w:rFonts w:ascii="Times New Roman" w:hAnsi="Times New Roman"/>
          <w:szCs w:val="24"/>
        </w:rPr>
      </w:pPr>
      <w:bookmarkStart w:id="0" w:name="_GoBack"/>
      <w:bookmarkEnd w:id="0"/>
      <w:r w:rsidRPr="006B176C">
        <w:rPr>
          <w:rFonts w:ascii="Times New Roman" w:hAnsi="Times New Roman"/>
          <w:noProof/>
          <w:szCs w:val="24"/>
        </w:rPr>
        <w:drawing>
          <wp:anchor distT="0" distB="0" distL="114300" distR="114300" simplePos="0" relativeHeight="251657728" behindDoc="1" locked="0" layoutInCell="1" allowOverlap="1" wp14:anchorId="2D9E6069" wp14:editId="2FE56846">
            <wp:simplePos x="0" y="0"/>
            <wp:positionH relativeFrom="column">
              <wp:posOffset>-392430</wp:posOffset>
            </wp:positionH>
            <wp:positionV relativeFrom="page">
              <wp:posOffset>523875</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FE257F" w:rsidRPr="006B176C" w:rsidRDefault="0039069F" w:rsidP="0066295E">
      <w:pPr>
        <w:pStyle w:val="NoSpacing"/>
        <w:rPr>
          <w:rFonts w:ascii="Times New Roman" w:hAnsi="Times New Roman" w:cs="Times New Roman"/>
          <w:sz w:val="24"/>
          <w:szCs w:val="24"/>
        </w:rPr>
      </w:pPr>
      <w:r w:rsidRPr="006B176C">
        <w:rPr>
          <w:rFonts w:ascii="Times New Roman" w:hAnsi="Times New Roman" w:cs="Times New Roman"/>
          <w:sz w:val="24"/>
          <w:szCs w:val="24"/>
        </w:rPr>
        <w:t xml:space="preserve">August </w:t>
      </w:r>
      <w:r w:rsidR="00727BE0" w:rsidRPr="006B176C">
        <w:rPr>
          <w:rFonts w:ascii="Times New Roman" w:hAnsi="Times New Roman" w:cs="Times New Roman"/>
          <w:sz w:val="24"/>
          <w:szCs w:val="24"/>
        </w:rPr>
        <w:t>13</w:t>
      </w:r>
      <w:r w:rsidR="0047183D" w:rsidRPr="006B176C">
        <w:rPr>
          <w:rFonts w:ascii="Times New Roman" w:hAnsi="Times New Roman" w:cs="Times New Roman"/>
          <w:sz w:val="24"/>
          <w:szCs w:val="24"/>
        </w:rPr>
        <w:t>, 2015</w:t>
      </w:r>
    </w:p>
    <w:p w:rsidR="00FE257F" w:rsidRPr="006B176C" w:rsidRDefault="00FE257F" w:rsidP="0066295E">
      <w:pPr>
        <w:pStyle w:val="NoSpacing"/>
        <w:rPr>
          <w:rFonts w:ascii="Times New Roman" w:hAnsi="Times New Roman" w:cs="Times New Roman"/>
          <w:sz w:val="24"/>
          <w:szCs w:val="24"/>
        </w:rPr>
      </w:pPr>
    </w:p>
    <w:p w:rsidR="005863B2" w:rsidRPr="006B176C" w:rsidRDefault="00FE257F" w:rsidP="0066295E">
      <w:pPr>
        <w:pStyle w:val="NoSpacing"/>
        <w:rPr>
          <w:rFonts w:ascii="Times New Roman" w:hAnsi="Times New Roman" w:cs="Times New Roman"/>
          <w:b/>
          <w:i/>
          <w:sz w:val="24"/>
          <w:szCs w:val="24"/>
        </w:rPr>
      </w:pPr>
      <w:r w:rsidRPr="006B176C">
        <w:rPr>
          <w:rFonts w:ascii="Times New Roman" w:hAnsi="Times New Roman" w:cs="Times New Roman"/>
          <w:b/>
          <w:i/>
          <w:sz w:val="24"/>
          <w:szCs w:val="24"/>
        </w:rPr>
        <w:t xml:space="preserve">VIA </w:t>
      </w:r>
      <w:r w:rsidR="005863B2" w:rsidRPr="006B176C">
        <w:rPr>
          <w:rFonts w:ascii="Times New Roman" w:hAnsi="Times New Roman" w:cs="Times New Roman"/>
          <w:b/>
          <w:i/>
          <w:sz w:val="24"/>
          <w:szCs w:val="24"/>
        </w:rPr>
        <w:t>ELECTRONIC FILING</w:t>
      </w:r>
    </w:p>
    <w:p w:rsidR="00537477" w:rsidRPr="006B176C" w:rsidRDefault="00537477" w:rsidP="0066295E">
      <w:pPr>
        <w:pStyle w:val="NoSpacing"/>
        <w:rPr>
          <w:rFonts w:ascii="Times New Roman" w:hAnsi="Times New Roman" w:cs="Times New Roman"/>
          <w:b/>
          <w:i/>
          <w:sz w:val="24"/>
          <w:szCs w:val="24"/>
        </w:rPr>
      </w:pPr>
      <w:r w:rsidRPr="006B176C">
        <w:rPr>
          <w:rFonts w:ascii="Times New Roman" w:hAnsi="Times New Roman" w:cs="Times New Roman"/>
          <w:b/>
          <w:i/>
          <w:sz w:val="24"/>
          <w:szCs w:val="24"/>
        </w:rPr>
        <w:t>AND OVERNIGHT DELIVERY</w:t>
      </w:r>
    </w:p>
    <w:p w:rsidR="00FE257F" w:rsidRPr="006B176C" w:rsidRDefault="00FE257F" w:rsidP="0066295E">
      <w:pPr>
        <w:pStyle w:val="NoSpacing"/>
        <w:rPr>
          <w:rFonts w:ascii="Times New Roman" w:hAnsi="Times New Roman" w:cs="Times New Roman"/>
          <w:sz w:val="24"/>
          <w:szCs w:val="24"/>
        </w:rPr>
      </w:pPr>
    </w:p>
    <w:p w:rsidR="00C0629D" w:rsidRPr="006B176C" w:rsidRDefault="00C0629D" w:rsidP="00C0629D">
      <w:pPr>
        <w:pStyle w:val="NoSpacing"/>
        <w:rPr>
          <w:rFonts w:ascii="Times New Roman" w:hAnsi="Times New Roman" w:cs="Times New Roman"/>
          <w:sz w:val="24"/>
          <w:szCs w:val="24"/>
        </w:rPr>
      </w:pPr>
      <w:r w:rsidRPr="006B176C">
        <w:rPr>
          <w:rFonts w:ascii="Times New Roman" w:hAnsi="Times New Roman" w:cs="Times New Roman"/>
          <w:sz w:val="24"/>
          <w:szCs w:val="24"/>
        </w:rPr>
        <w:t>Steven V. King</w:t>
      </w:r>
    </w:p>
    <w:p w:rsidR="00C0629D" w:rsidRPr="006B176C" w:rsidRDefault="00C0629D" w:rsidP="00C0629D">
      <w:pPr>
        <w:pStyle w:val="NoSpacing"/>
        <w:rPr>
          <w:rFonts w:ascii="Times New Roman" w:hAnsi="Times New Roman" w:cs="Times New Roman"/>
          <w:sz w:val="24"/>
          <w:szCs w:val="24"/>
        </w:rPr>
      </w:pPr>
      <w:r w:rsidRPr="006B176C">
        <w:rPr>
          <w:rFonts w:ascii="Times New Roman" w:hAnsi="Times New Roman" w:cs="Times New Roman"/>
          <w:sz w:val="24"/>
          <w:szCs w:val="24"/>
        </w:rPr>
        <w:t>Executive Director and Secretary</w:t>
      </w:r>
    </w:p>
    <w:p w:rsidR="00FE257F" w:rsidRPr="006B176C" w:rsidRDefault="00FE257F" w:rsidP="0066295E">
      <w:pPr>
        <w:pStyle w:val="NoSpacing"/>
        <w:rPr>
          <w:rFonts w:ascii="Times New Roman" w:hAnsi="Times New Roman" w:cs="Times New Roman"/>
          <w:sz w:val="24"/>
          <w:szCs w:val="24"/>
        </w:rPr>
      </w:pPr>
      <w:r w:rsidRPr="006B176C">
        <w:rPr>
          <w:rFonts w:ascii="Times New Roman" w:hAnsi="Times New Roman" w:cs="Times New Roman"/>
          <w:sz w:val="24"/>
          <w:szCs w:val="24"/>
        </w:rPr>
        <w:t>Washington Utilities and Transportation Commission</w:t>
      </w:r>
    </w:p>
    <w:p w:rsidR="00FE257F" w:rsidRPr="006B176C" w:rsidRDefault="00FE257F" w:rsidP="0066295E">
      <w:pPr>
        <w:pStyle w:val="NoSpacing"/>
        <w:rPr>
          <w:rFonts w:ascii="Times New Roman" w:hAnsi="Times New Roman" w:cs="Times New Roman"/>
          <w:sz w:val="24"/>
          <w:szCs w:val="24"/>
        </w:rPr>
      </w:pPr>
      <w:r w:rsidRPr="006B176C">
        <w:rPr>
          <w:rFonts w:ascii="Times New Roman" w:hAnsi="Times New Roman" w:cs="Times New Roman"/>
          <w:sz w:val="24"/>
          <w:szCs w:val="24"/>
        </w:rPr>
        <w:t>1300 S. Evergreen Park Drive, S.W.</w:t>
      </w:r>
    </w:p>
    <w:p w:rsidR="00FE257F" w:rsidRPr="006B176C" w:rsidRDefault="00FE257F" w:rsidP="0066295E">
      <w:pPr>
        <w:pStyle w:val="NoSpacing"/>
        <w:rPr>
          <w:rFonts w:ascii="Times New Roman" w:hAnsi="Times New Roman" w:cs="Times New Roman"/>
          <w:sz w:val="24"/>
          <w:szCs w:val="24"/>
        </w:rPr>
      </w:pPr>
      <w:r w:rsidRPr="006B176C">
        <w:rPr>
          <w:rFonts w:ascii="Times New Roman" w:hAnsi="Times New Roman" w:cs="Times New Roman"/>
          <w:sz w:val="24"/>
          <w:szCs w:val="24"/>
        </w:rPr>
        <w:t>P.O. Box 47250</w:t>
      </w:r>
    </w:p>
    <w:p w:rsidR="00FE257F" w:rsidRPr="006B176C" w:rsidRDefault="00FE257F" w:rsidP="0066295E">
      <w:pPr>
        <w:pStyle w:val="NoSpacing"/>
        <w:rPr>
          <w:rFonts w:ascii="Times New Roman" w:hAnsi="Times New Roman" w:cs="Times New Roman"/>
          <w:sz w:val="24"/>
          <w:szCs w:val="24"/>
        </w:rPr>
      </w:pPr>
      <w:r w:rsidRPr="006B176C">
        <w:rPr>
          <w:rFonts w:ascii="Times New Roman" w:hAnsi="Times New Roman" w:cs="Times New Roman"/>
          <w:sz w:val="24"/>
          <w:szCs w:val="24"/>
        </w:rPr>
        <w:t>Olympia, Washington 98504-7250</w:t>
      </w:r>
    </w:p>
    <w:p w:rsidR="003E0FB8" w:rsidRPr="006B176C" w:rsidRDefault="003E0FB8" w:rsidP="0066295E">
      <w:pPr>
        <w:pStyle w:val="NoSpacing"/>
        <w:rPr>
          <w:rFonts w:ascii="Times New Roman" w:hAnsi="Times New Roman" w:cs="Times New Roman"/>
          <w:sz w:val="24"/>
          <w:szCs w:val="24"/>
        </w:rPr>
      </w:pPr>
    </w:p>
    <w:p w:rsidR="00FE257F" w:rsidRPr="006B176C" w:rsidRDefault="00FE257F" w:rsidP="0066295E">
      <w:pPr>
        <w:pStyle w:val="NoSpacing"/>
        <w:rPr>
          <w:rFonts w:ascii="Times New Roman" w:hAnsi="Times New Roman" w:cs="Times New Roman"/>
          <w:b/>
          <w:sz w:val="24"/>
          <w:szCs w:val="24"/>
        </w:rPr>
      </w:pPr>
      <w:r w:rsidRPr="006B176C">
        <w:rPr>
          <w:rFonts w:ascii="Times New Roman" w:hAnsi="Times New Roman" w:cs="Times New Roman"/>
          <w:b/>
          <w:sz w:val="24"/>
          <w:szCs w:val="24"/>
        </w:rPr>
        <w:t>RE:</w:t>
      </w:r>
      <w:r w:rsidRPr="006B176C">
        <w:rPr>
          <w:rFonts w:ascii="Times New Roman" w:hAnsi="Times New Roman" w:cs="Times New Roman"/>
          <w:sz w:val="24"/>
          <w:szCs w:val="24"/>
        </w:rPr>
        <w:tab/>
      </w:r>
      <w:r w:rsidR="00052ABD" w:rsidRPr="006B176C">
        <w:rPr>
          <w:rFonts w:ascii="Times New Roman" w:hAnsi="Times New Roman" w:cs="Times New Roman"/>
          <w:b/>
          <w:sz w:val="24"/>
          <w:szCs w:val="24"/>
        </w:rPr>
        <w:t xml:space="preserve">Draft Request for Proposals </w:t>
      </w:r>
      <w:r w:rsidR="00E70127" w:rsidRPr="006B176C">
        <w:rPr>
          <w:rFonts w:ascii="Times New Roman" w:hAnsi="Times New Roman" w:cs="Times New Roman"/>
          <w:b/>
          <w:sz w:val="24"/>
          <w:szCs w:val="24"/>
        </w:rPr>
        <w:t>for Market Resources</w:t>
      </w:r>
    </w:p>
    <w:p w:rsidR="00FE257F" w:rsidRPr="006B176C" w:rsidRDefault="00FE257F" w:rsidP="0066295E">
      <w:pPr>
        <w:pStyle w:val="NoSpacing"/>
        <w:rPr>
          <w:rFonts w:ascii="Times New Roman" w:hAnsi="Times New Roman" w:cs="Times New Roman"/>
          <w:sz w:val="24"/>
          <w:szCs w:val="24"/>
        </w:rPr>
      </w:pPr>
    </w:p>
    <w:p w:rsidR="00052ABD" w:rsidRPr="006B176C" w:rsidRDefault="00C0629D" w:rsidP="00537665">
      <w:pPr>
        <w:pStyle w:val="NoSpacing"/>
        <w:rPr>
          <w:rFonts w:ascii="Times New Roman" w:hAnsi="Times New Roman" w:cs="Times New Roman"/>
          <w:sz w:val="24"/>
          <w:szCs w:val="24"/>
        </w:rPr>
      </w:pPr>
      <w:r w:rsidRPr="006B176C">
        <w:rPr>
          <w:rFonts w:ascii="Times New Roman" w:hAnsi="Times New Roman" w:cs="Times New Roman"/>
          <w:sz w:val="24"/>
          <w:szCs w:val="24"/>
        </w:rPr>
        <w:t xml:space="preserve">In accordance with </w:t>
      </w:r>
      <w:r w:rsidR="00052ABD" w:rsidRPr="006B176C">
        <w:rPr>
          <w:rFonts w:ascii="Times New Roman" w:hAnsi="Times New Roman" w:cs="Times New Roman"/>
          <w:sz w:val="24"/>
          <w:szCs w:val="24"/>
        </w:rPr>
        <w:t>the W</w:t>
      </w:r>
      <w:r w:rsidRPr="006B176C">
        <w:rPr>
          <w:rFonts w:ascii="Times New Roman" w:hAnsi="Times New Roman" w:cs="Times New Roman"/>
          <w:sz w:val="24"/>
          <w:szCs w:val="24"/>
        </w:rPr>
        <w:t>AC 480-107-015(3</w:t>
      </w:r>
      <w:proofErr w:type="gramStart"/>
      <w:r w:rsidRPr="006B176C">
        <w:rPr>
          <w:rFonts w:ascii="Times New Roman" w:hAnsi="Times New Roman" w:cs="Times New Roman"/>
          <w:sz w:val="24"/>
          <w:szCs w:val="24"/>
        </w:rPr>
        <w:t>)(</w:t>
      </w:r>
      <w:proofErr w:type="gramEnd"/>
      <w:r w:rsidRPr="006B176C">
        <w:rPr>
          <w:rFonts w:ascii="Times New Roman" w:hAnsi="Times New Roman" w:cs="Times New Roman"/>
          <w:sz w:val="24"/>
          <w:szCs w:val="24"/>
        </w:rPr>
        <w:t>b)</w:t>
      </w:r>
      <w:r w:rsidR="00052ABD" w:rsidRPr="006B176C">
        <w:rPr>
          <w:rFonts w:ascii="Times New Roman" w:hAnsi="Times New Roman" w:cs="Times New Roman"/>
          <w:sz w:val="24"/>
          <w:szCs w:val="24"/>
        </w:rPr>
        <w:t xml:space="preserve">, </w:t>
      </w:r>
      <w:r w:rsidR="00A7234D" w:rsidRPr="006B176C">
        <w:rPr>
          <w:rFonts w:ascii="Times New Roman" w:hAnsi="Times New Roman" w:cs="Times New Roman"/>
          <w:sz w:val="24"/>
          <w:szCs w:val="24"/>
        </w:rPr>
        <w:t>Pacific Power &amp; Light Company</w:t>
      </w:r>
      <w:r w:rsidRPr="006B176C">
        <w:rPr>
          <w:rFonts w:ascii="Times New Roman" w:hAnsi="Times New Roman" w:cs="Times New Roman"/>
          <w:sz w:val="24"/>
          <w:szCs w:val="24"/>
        </w:rPr>
        <w:t>, a division of PacifiCorp</w:t>
      </w:r>
      <w:r w:rsidR="00A7234D" w:rsidRPr="006B176C">
        <w:rPr>
          <w:rFonts w:ascii="Times New Roman" w:hAnsi="Times New Roman" w:cs="Times New Roman"/>
          <w:sz w:val="24"/>
          <w:szCs w:val="24"/>
        </w:rPr>
        <w:t xml:space="preserve"> </w:t>
      </w:r>
      <w:r w:rsidR="00454DDE" w:rsidRPr="006B176C">
        <w:rPr>
          <w:rFonts w:ascii="Times New Roman" w:hAnsi="Times New Roman" w:cs="Times New Roman"/>
          <w:sz w:val="24"/>
          <w:szCs w:val="24"/>
        </w:rPr>
        <w:t>(</w:t>
      </w:r>
      <w:r w:rsidR="00A7234D" w:rsidRPr="006B176C">
        <w:rPr>
          <w:rFonts w:ascii="Times New Roman" w:hAnsi="Times New Roman" w:cs="Times New Roman"/>
          <w:sz w:val="24"/>
          <w:szCs w:val="24"/>
        </w:rPr>
        <w:t xml:space="preserve">PacifiCorp </w:t>
      </w:r>
      <w:r w:rsidR="00454DDE" w:rsidRPr="006B176C">
        <w:rPr>
          <w:rFonts w:ascii="Times New Roman" w:hAnsi="Times New Roman" w:cs="Times New Roman"/>
          <w:sz w:val="24"/>
          <w:szCs w:val="24"/>
        </w:rPr>
        <w:t>or Company)</w:t>
      </w:r>
      <w:r w:rsidR="00C3423A" w:rsidRPr="006B176C">
        <w:rPr>
          <w:rFonts w:ascii="Times New Roman" w:hAnsi="Times New Roman" w:cs="Times New Roman"/>
          <w:sz w:val="24"/>
          <w:szCs w:val="24"/>
        </w:rPr>
        <w:t>,</w:t>
      </w:r>
      <w:r w:rsidR="00052ABD" w:rsidRPr="006B176C">
        <w:rPr>
          <w:rFonts w:ascii="Times New Roman" w:hAnsi="Times New Roman" w:cs="Times New Roman"/>
          <w:sz w:val="24"/>
          <w:szCs w:val="24"/>
        </w:rPr>
        <w:t xml:space="preserve"> </w:t>
      </w:r>
      <w:r w:rsidR="00875A5E" w:rsidRPr="006B176C">
        <w:rPr>
          <w:rFonts w:ascii="Times New Roman" w:hAnsi="Times New Roman" w:cs="Times New Roman"/>
          <w:sz w:val="24"/>
          <w:szCs w:val="24"/>
        </w:rPr>
        <w:t>submits</w:t>
      </w:r>
      <w:r w:rsidR="00052ABD" w:rsidRPr="006B176C">
        <w:rPr>
          <w:rFonts w:ascii="Times New Roman" w:hAnsi="Times New Roman" w:cs="Times New Roman"/>
          <w:sz w:val="24"/>
          <w:szCs w:val="24"/>
        </w:rPr>
        <w:t xml:space="preserve"> for approval </w:t>
      </w:r>
      <w:r w:rsidRPr="006B176C">
        <w:rPr>
          <w:rFonts w:ascii="Times New Roman" w:hAnsi="Times New Roman" w:cs="Times New Roman"/>
          <w:sz w:val="24"/>
          <w:szCs w:val="24"/>
        </w:rPr>
        <w:t>its Draft</w:t>
      </w:r>
      <w:r w:rsidR="00052ABD" w:rsidRPr="006B176C">
        <w:rPr>
          <w:rFonts w:ascii="Times New Roman" w:hAnsi="Times New Roman" w:cs="Times New Roman"/>
          <w:sz w:val="24"/>
          <w:szCs w:val="24"/>
        </w:rPr>
        <w:t xml:space="preserve"> </w:t>
      </w:r>
      <w:r w:rsidR="0039069F" w:rsidRPr="006B176C">
        <w:rPr>
          <w:rFonts w:ascii="Times New Roman" w:hAnsi="Times New Roman" w:cs="Times New Roman"/>
          <w:sz w:val="24"/>
          <w:szCs w:val="24"/>
        </w:rPr>
        <w:t xml:space="preserve">2015 </w:t>
      </w:r>
      <w:r w:rsidR="00052ABD" w:rsidRPr="006B176C">
        <w:rPr>
          <w:rFonts w:ascii="Times New Roman" w:hAnsi="Times New Roman" w:cs="Times New Roman"/>
          <w:sz w:val="24"/>
          <w:szCs w:val="24"/>
        </w:rPr>
        <w:t xml:space="preserve">Request for Proposals </w:t>
      </w:r>
      <w:r w:rsidR="00E70127" w:rsidRPr="006B176C">
        <w:rPr>
          <w:rFonts w:ascii="Times New Roman" w:hAnsi="Times New Roman" w:cs="Times New Roman"/>
          <w:sz w:val="24"/>
          <w:szCs w:val="24"/>
        </w:rPr>
        <w:t>for</w:t>
      </w:r>
      <w:r w:rsidR="009F0331" w:rsidRPr="006B176C">
        <w:rPr>
          <w:rFonts w:ascii="Times New Roman" w:hAnsi="Times New Roman" w:cs="Times New Roman"/>
          <w:sz w:val="24"/>
          <w:szCs w:val="24"/>
        </w:rPr>
        <w:t xml:space="preserve"> Market Resources (Market RFP).</w:t>
      </w:r>
      <w:r w:rsidR="00537665">
        <w:rPr>
          <w:rFonts w:ascii="Times New Roman" w:hAnsi="Times New Roman" w:cs="Times New Roman"/>
          <w:sz w:val="24"/>
          <w:szCs w:val="24"/>
        </w:rPr>
        <w:t xml:space="preserve">  Concurrent</w:t>
      </w:r>
      <w:r w:rsidR="0039069F" w:rsidRPr="006B176C">
        <w:rPr>
          <w:rFonts w:ascii="Times New Roman" w:hAnsi="Times New Roman" w:cs="Times New Roman"/>
          <w:sz w:val="24"/>
          <w:szCs w:val="24"/>
        </w:rPr>
        <w:t xml:space="preserve"> with its Market RFP, the Company </w:t>
      </w:r>
      <w:r w:rsidR="00537665">
        <w:rPr>
          <w:rFonts w:ascii="Times New Roman" w:hAnsi="Times New Roman" w:cs="Times New Roman"/>
          <w:sz w:val="24"/>
          <w:szCs w:val="24"/>
        </w:rPr>
        <w:t>is submitting</w:t>
      </w:r>
      <w:r w:rsidR="0039069F" w:rsidRPr="006B176C">
        <w:rPr>
          <w:rFonts w:ascii="Times New Roman" w:hAnsi="Times New Roman" w:cs="Times New Roman"/>
          <w:sz w:val="24"/>
          <w:szCs w:val="24"/>
        </w:rPr>
        <w:t xml:space="preserve"> a Petition for </w:t>
      </w:r>
      <w:r w:rsidR="00537665">
        <w:rPr>
          <w:rFonts w:ascii="Times New Roman" w:hAnsi="Times New Roman" w:cs="Times New Roman"/>
          <w:sz w:val="24"/>
          <w:szCs w:val="24"/>
        </w:rPr>
        <w:t xml:space="preserve">Waiver of </w:t>
      </w:r>
      <w:r w:rsidR="0039069F" w:rsidRPr="006B176C">
        <w:rPr>
          <w:rFonts w:ascii="Times New Roman" w:hAnsi="Times New Roman" w:cs="Times New Roman"/>
          <w:sz w:val="24"/>
          <w:szCs w:val="24"/>
        </w:rPr>
        <w:t>Certain Requirements Related to Requests</w:t>
      </w:r>
      <w:r w:rsidR="00537665">
        <w:rPr>
          <w:rFonts w:ascii="Times New Roman" w:hAnsi="Times New Roman" w:cs="Times New Roman"/>
          <w:sz w:val="24"/>
          <w:szCs w:val="24"/>
        </w:rPr>
        <w:t xml:space="preserve"> for Proposals Contained in </w:t>
      </w:r>
      <w:r w:rsidR="006B176C">
        <w:rPr>
          <w:rFonts w:ascii="Times New Roman" w:hAnsi="Times New Roman" w:cs="Times New Roman"/>
          <w:sz w:val="24"/>
          <w:szCs w:val="24"/>
        </w:rPr>
        <w:t>WAC 480</w:t>
      </w:r>
      <w:r w:rsidR="006B176C">
        <w:rPr>
          <w:rFonts w:ascii="Times New Roman" w:hAnsi="Times New Roman" w:cs="Times New Roman"/>
          <w:sz w:val="24"/>
          <w:szCs w:val="24"/>
        </w:rPr>
        <w:noBreakHyphen/>
      </w:r>
      <w:r w:rsidR="0039069F" w:rsidRPr="006B176C">
        <w:rPr>
          <w:rFonts w:ascii="Times New Roman" w:hAnsi="Times New Roman" w:cs="Times New Roman"/>
          <w:sz w:val="24"/>
          <w:szCs w:val="24"/>
        </w:rPr>
        <w:t xml:space="preserve">107. </w:t>
      </w:r>
    </w:p>
    <w:p w:rsidR="00052ABD" w:rsidRPr="006B176C" w:rsidRDefault="00052ABD" w:rsidP="0066295E">
      <w:pPr>
        <w:pStyle w:val="NoSpacing"/>
        <w:jc w:val="both"/>
        <w:rPr>
          <w:rFonts w:ascii="Times New Roman" w:hAnsi="Times New Roman" w:cs="Times New Roman"/>
          <w:sz w:val="24"/>
          <w:szCs w:val="24"/>
        </w:rPr>
      </w:pPr>
    </w:p>
    <w:p w:rsidR="00E70127" w:rsidRPr="006B176C" w:rsidRDefault="00E70127" w:rsidP="00E70127">
      <w:pPr>
        <w:pStyle w:val="NoSpacing"/>
        <w:numPr>
          <w:ilvl w:val="0"/>
          <w:numId w:val="12"/>
        </w:numPr>
        <w:ind w:left="720" w:hanging="720"/>
        <w:jc w:val="both"/>
        <w:rPr>
          <w:rFonts w:ascii="Times New Roman" w:hAnsi="Times New Roman" w:cs="Times New Roman"/>
          <w:b/>
          <w:sz w:val="24"/>
          <w:szCs w:val="24"/>
        </w:rPr>
      </w:pPr>
      <w:r w:rsidRPr="006B176C">
        <w:rPr>
          <w:rFonts w:ascii="Times New Roman" w:hAnsi="Times New Roman" w:cs="Times New Roman"/>
          <w:b/>
          <w:sz w:val="24"/>
          <w:szCs w:val="24"/>
        </w:rPr>
        <w:t>Introduction and Background</w:t>
      </w:r>
    </w:p>
    <w:p w:rsidR="00E70127" w:rsidRPr="006B176C" w:rsidRDefault="00E70127" w:rsidP="0066295E">
      <w:pPr>
        <w:pStyle w:val="NoSpacing"/>
        <w:jc w:val="both"/>
        <w:rPr>
          <w:rFonts w:ascii="Times New Roman" w:hAnsi="Times New Roman" w:cs="Times New Roman"/>
          <w:sz w:val="24"/>
          <w:szCs w:val="24"/>
        </w:rPr>
      </w:pPr>
    </w:p>
    <w:p w:rsidR="00E70127" w:rsidRPr="006B176C" w:rsidRDefault="00E70127" w:rsidP="00956392">
      <w:pPr>
        <w:pStyle w:val="NoSpacing"/>
        <w:rPr>
          <w:rFonts w:ascii="Times New Roman" w:hAnsi="Times New Roman" w:cs="Times New Roman"/>
          <w:sz w:val="24"/>
          <w:szCs w:val="24"/>
        </w:rPr>
      </w:pPr>
      <w:r w:rsidRPr="006B176C">
        <w:rPr>
          <w:rFonts w:ascii="Times New Roman" w:hAnsi="Times New Roman" w:cs="Times New Roman"/>
          <w:sz w:val="24"/>
          <w:szCs w:val="24"/>
        </w:rPr>
        <w:t>The rules established under WAC 480-107 require utilities to solicit bids, rank project proposals, and identify any bidders that meet minimum selection criteria.</w:t>
      </w:r>
      <w:r w:rsidRPr="006B176C">
        <w:rPr>
          <w:rStyle w:val="FootnoteReference"/>
          <w:rFonts w:ascii="Times New Roman" w:hAnsi="Times New Roman" w:cs="Times New Roman"/>
          <w:sz w:val="24"/>
          <w:szCs w:val="24"/>
        </w:rPr>
        <w:footnoteReference w:id="1"/>
      </w:r>
      <w:r w:rsidRPr="006B176C">
        <w:rPr>
          <w:rFonts w:ascii="Times New Roman" w:hAnsi="Times New Roman" w:cs="Times New Roman"/>
          <w:sz w:val="24"/>
          <w:szCs w:val="24"/>
        </w:rPr>
        <w:t xml:space="preserve">  </w:t>
      </w:r>
      <w:r w:rsidR="00C0629D" w:rsidRPr="006B176C">
        <w:rPr>
          <w:rFonts w:ascii="Times New Roman" w:hAnsi="Times New Roman" w:cs="Times New Roman"/>
          <w:sz w:val="24"/>
          <w:szCs w:val="24"/>
        </w:rPr>
        <w:t>Under</w:t>
      </w:r>
      <w:r w:rsidRPr="006B176C">
        <w:rPr>
          <w:rFonts w:ascii="Times New Roman" w:hAnsi="Times New Roman" w:cs="Times New Roman"/>
          <w:sz w:val="24"/>
          <w:szCs w:val="24"/>
        </w:rPr>
        <w:t xml:space="preserve"> WAC 480-107-015(3)(b), a utility must submit a proposed RFP and accompanying documentation no later than </w:t>
      </w:r>
      <w:r w:rsidR="0039069F" w:rsidRPr="006B176C">
        <w:rPr>
          <w:rFonts w:ascii="Times New Roman" w:hAnsi="Times New Roman" w:cs="Times New Roman"/>
          <w:sz w:val="24"/>
          <w:szCs w:val="24"/>
        </w:rPr>
        <w:t>135</w:t>
      </w:r>
      <w:r w:rsidRPr="006B176C">
        <w:rPr>
          <w:rFonts w:ascii="Times New Roman" w:hAnsi="Times New Roman" w:cs="Times New Roman"/>
          <w:sz w:val="24"/>
          <w:szCs w:val="24"/>
        </w:rPr>
        <w:t xml:space="preserve"> days after the </w:t>
      </w:r>
      <w:r w:rsidR="00C0629D" w:rsidRPr="006B176C">
        <w:rPr>
          <w:rFonts w:ascii="Times New Roman" w:hAnsi="Times New Roman" w:cs="Times New Roman"/>
          <w:sz w:val="24"/>
          <w:szCs w:val="24"/>
        </w:rPr>
        <w:t xml:space="preserve">utility’s </w:t>
      </w:r>
      <w:r w:rsidRPr="006B176C">
        <w:rPr>
          <w:rFonts w:ascii="Times New Roman" w:hAnsi="Times New Roman" w:cs="Times New Roman"/>
          <w:sz w:val="24"/>
          <w:szCs w:val="24"/>
        </w:rPr>
        <w:t xml:space="preserve">integrated resource plan (IRP) is due to be filed with the </w:t>
      </w:r>
      <w:r w:rsidR="00537665">
        <w:rPr>
          <w:rFonts w:ascii="Times New Roman" w:hAnsi="Times New Roman" w:cs="Times New Roman"/>
          <w:sz w:val="24"/>
          <w:szCs w:val="24"/>
        </w:rPr>
        <w:t xml:space="preserve">Washington Utilities and Transportation </w:t>
      </w:r>
      <w:r w:rsidRPr="006B176C">
        <w:rPr>
          <w:rFonts w:ascii="Times New Roman" w:hAnsi="Times New Roman" w:cs="Times New Roman"/>
          <w:sz w:val="24"/>
          <w:szCs w:val="24"/>
        </w:rPr>
        <w:t>Commission</w:t>
      </w:r>
      <w:r w:rsidR="00537665">
        <w:rPr>
          <w:rFonts w:ascii="Times New Roman" w:hAnsi="Times New Roman" w:cs="Times New Roman"/>
          <w:sz w:val="24"/>
          <w:szCs w:val="24"/>
        </w:rPr>
        <w:t xml:space="preserve"> (Commission)</w:t>
      </w:r>
      <w:r w:rsidRPr="006B176C">
        <w:rPr>
          <w:rFonts w:ascii="Times New Roman" w:hAnsi="Times New Roman" w:cs="Times New Roman"/>
          <w:sz w:val="24"/>
          <w:szCs w:val="24"/>
        </w:rPr>
        <w:t xml:space="preserve">.  </w:t>
      </w:r>
    </w:p>
    <w:p w:rsidR="001E4C23" w:rsidRPr="006B176C" w:rsidRDefault="001E4C23" w:rsidP="00956392">
      <w:pPr>
        <w:pStyle w:val="NoSpacing"/>
        <w:rPr>
          <w:rFonts w:ascii="Times New Roman" w:hAnsi="Times New Roman" w:cs="Times New Roman"/>
          <w:sz w:val="24"/>
          <w:szCs w:val="24"/>
        </w:rPr>
      </w:pPr>
    </w:p>
    <w:p w:rsidR="00581A41" w:rsidRPr="006B176C" w:rsidRDefault="001E4C23" w:rsidP="00956392">
      <w:pPr>
        <w:pStyle w:val="NoSpacing"/>
        <w:rPr>
          <w:rFonts w:ascii="Times New Roman" w:hAnsi="Times New Roman" w:cs="Times New Roman"/>
          <w:sz w:val="24"/>
          <w:szCs w:val="24"/>
        </w:rPr>
      </w:pPr>
      <w:r w:rsidRPr="006B176C">
        <w:rPr>
          <w:rFonts w:ascii="Times New Roman" w:hAnsi="Times New Roman" w:cs="Times New Roman"/>
          <w:sz w:val="24"/>
          <w:szCs w:val="24"/>
        </w:rPr>
        <w:t xml:space="preserve">On </w:t>
      </w:r>
      <w:r w:rsidR="00C0629D" w:rsidRPr="006B176C">
        <w:rPr>
          <w:rFonts w:ascii="Times New Roman" w:hAnsi="Times New Roman" w:cs="Times New Roman"/>
          <w:sz w:val="24"/>
          <w:szCs w:val="24"/>
        </w:rPr>
        <w:t>March 31, 2015</w:t>
      </w:r>
      <w:r w:rsidRPr="006B176C">
        <w:rPr>
          <w:rFonts w:ascii="Times New Roman" w:hAnsi="Times New Roman" w:cs="Times New Roman"/>
          <w:sz w:val="24"/>
          <w:szCs w:val="24"/>
        </w:rPr>
        <w:t xml:space="preserve">, the Company filed its </w:t>
      </w:r>
      <w:r w:rsidR="00C0629D" w:rsidRPr="006B176C">
        <w:rPr>
          <w:rFonts w:ascii="Times New Roman" w:hAnsi="Times New Roman" w:cs="Times New Roman"/>
          <w:sz w:val="24"/>
          <w:szCs w:val="24"/>
        </w:rPr>
        <w:t xml:space="preserve">2015 </w:t>
      </w:r>
      <w:r w:rsidRPr="006B176C">
        <w:rPr>
          <w:rFonts w:ascii="Times New Roman" w:hAnsi="Times New Roman" w:cs="Times New Roman"/>
          <w:sz w:val="24"/>
          <w:szCs w:val="24"/>
        </w:rPr>
        <w:t xml:space="preserve">IRP </w:t>
      </w:r>
      <w:r w:rsidR="00C0629D" w:rsidRPr="006B176C">
        <w:rPr>
          <w:rFonts w:ascii="Times New Roman" w:hAnsi="Times New Roman" w:cs="Times New Roman"/>
          <w:sz w:val="24"/>
          <w:szCs w:val="24"/>
        </w:rPr>
        <w:t>in accordance with</w:t>
      </w:r>
      <w:r w:rsidRPr="006B176C">
        <w:rPr>
          <w:rFonts w:ascii="Times New Roman" w:hAnsi="Times New Roman" w:cs="Times New Roman"/>
          <w:sz w:val="24"/>
          <w:szCs w:val="24"/>
        </w:rPr>
        <w:t xml:space="preserve"> WAC 480-100-238</w:t>
      </w:r>
      <w:r w:rsidR="00C0629D" w:rsidRPr="006B176C">
        <w:rPr>
          <w:rFonts w:ascii="Times New Roman" w:hAnsi="Times New Roman" w:cs="Times New Roman"/>
          <w:sz w:val="24"/>
          <w:szCs w:val="24"/>
        </w:rPr>
        <w:t>(4)</w:t>
      </w:r>
      <w:r w:rsidR="0039069F" w:rsidRPr="006B176C">
        <w:rPr>
          <w:rFonts w:ascii="Times New Roman" w:hAnsi="Times New Roman" w:cs="Times New Roman"/>
          <w:sz w:val="24"/>
          <w:szCs w:val="24"/>
        </w:rPr>
        <w:t xml:space="preserve"> in Docket</w:t>
      </w:r>
      <w:r w:rsidR="00741567" w:rsidRPr="006B176C">
        <w:rPr>
          <w:rFonts w:ascii="Times New Roman" w:hAnsi="Times New Roman" w:cs="Times New Roman"/>
          <w:sz w:val="24"/>
          <w:szCs w:val="24"/>
        </w:rPr>
        <w:t xml:space="preserve"> UE-140546</w:t>
      </w:r>
      <w:r w:rsidRPr="006B176C">
        <w:rPr>
          <w:rFonts w:ascii="Times New Roman" w:hAnsi="Times New Roman" w:cs="Times New Roman"/>
          <w:sz w:val="24"/>
          <w:szCs w:val="24"/>
        </w:rPr>
        <w:t>.  The 201</w:t>
      </w:r>
      <w:r w:rsidR="00C0629D" w:rsidRPr="006B176C">
        <w:rPr>
          <w:rFonts w:ascii="Times New Roman" w:hAnsi="Times New Roman" w:cs="Times New Roman"/>
          <w:sz w:val="24"/>
          <w:szCs w:val="24"/>
        </w:rPr>
        <w:t>5</w:t>
      </w:r>
      <w:r w:rsidRPr="006B176C">
        <w:rPr>
          <w:rFonts w:ascii="Times New Roman" w:hAnsi="Times New Roman" w:cs="Times New Roman"/>
          <w:sz w:val="24"/>
          <w:szCs w:val="24"/>
        </w:rPr>
        <w:t xml:space="preserve"> IRP preferred portfolio identifies resources needed to serve the west</w:t>
      </w:r>
      <w:r w:rsidR="001F1FD1" w:rsidRPr="006B176C">
        <w:rPr>
          <w:rFonts w:ascii="Times New Roman" w:hAnsi="Times New Roman" w:cs="Times New Roman"/>
          <w:sz w:val="24"/>
          <w:szCs w:val="24"/>
        </w:rPr>
        <w:t>ern</w:t>
      </w:r>
      <w:r w:rsidR="00A57E81" w:rsidRPr="006B176C">
        <w:rPr>
          <w:rFonts w:ascii="Times New Roman" w:hAnsi="Times New Roman" w:cs="Times New Roman"/>
          <w:sz w:val="24"/>
          <w:szCs w:val="24"/>
        </w:rPr>
        <w:t xml:space="preserve"> balancing authority area </w:t>
      </w:r>
      <w:r w:rsidRPr="006B176C">
        <w:rPr>
          <w:rFonts w:ascii="Times New Roman" w:hAnsi="Times New Roman" w:cs="Times New Roman"/>
          <w:sz w:val="24"/>
          <w:szCs w:val="24"/>
        </w:rPr>
        <w:t xml:space="preserve">over the next three years.  This consists of a mix of resources which includes front office transactions, demand-side management (DSM), and renewable resources.  </w:t>
      </w:r>
    </w:p>
    <w:p w:rsidR="00581A41" w:rsidRPr="006B176C" w:rsidRDefault="00581A41" w:rsidP="00956392">
      <w:pPr>
        <w:pStyle w:val="NoSpacing"/>
        <w:rPr>
          <w:rFonts w:ascii="Times New Roman" w:hAnsi="Times New Roman" w:cs="Times New Roman"/>
          <w:sz w:val="24"/>
          <w:szCs w:val="24"/>
        </w:rPr>
      </w:pPr>
    </w:p>
    <w:p w:rsidR="00581A41" w:rsidRPr="006B176C" w:rsidRDefault="007A5587" w:rsidP="00956392">
      <w:pPr>
        <w:pStyle w:val="NoSpacing"/>
        <w:rPr>
          <w:rFonts w:ascii="Times New Roman" w:hAnsi="Times New Roman" w:cs="Times New Roman"/>
          <w:bCs/>
          <w:sz w:val="24"/>
          <w:szCs w:val="24"/>
        </w:rPr>
      </w:pPr>
      <w:r w:rsidRPr="006B176C">
        <w:rPr>
          <w:rFonts w:ascii="Times New Roman" w:hAnsi="Times New Roman" w:cs="Times New Roman"/>
          <w:bCs/>
          <w:sz w:val="24"/>
          <w:szCs w:val="24"/>
        </w:rPr>
        <w:t xml:space="preserve">Concurrent with </w:t>
      </w:r>
      <w:r w:rsidR="00537665">
        <w:rPr>
          <w:rFonts w:ascii="Times New Roman" w:hAnsi="Times New Roman" w:cs="Times New Roman"/>
          <w:bCs/>
          <w:sz w:val="24"/>
          <w:szCs w:val="24"/>
        </w:rPr>
        <w:t>the</w:t>
      </w:r>
      <w:r w:rsidRPr="006B176C">
        <w:rPr>
          <w:rFonts w:ascii="Times New Roman" w:hAnsi="Times New Roman" w:cs="Times New Roman"/>
          <w:bCs/>
          <w:sz w:val="24"/>
          <w:szCs w:val="24"/>
        </w:rPr>
        <w:t xml:space="preserve"> filing</w:t>
      </w:r>
      <w:r w:rsidR="00537665">
        <w:rPr>
          <w:rFonts w:ascii="Times New Roman" w:hAnsi="Times New Roman" w:cs="Times New Roman"/>
          <w:bCs/>
          <w:sz w:val="24"/>
          <w:szCs w:val="24"/>
        </w:rPr>
        <w:t xml:space="preserve"> of its Market RFP</w:t>
      </w:r>
      <w:r w:rsidR="00B579B5" w:rsidRPr="006B176C">
        <w:rPr>
          <w:rFonts w:ascii="Times New Roman" w:hAnsi="Times New Roman" w:cs="Times New Roman"/>
          <w:bCs/>
          <w:sz w:val="24"/>
          <w:szCs w:val="24"/>
        </w:rPr>
        <w:t xml:space="preserve">, the Company </w:t>
      </w:r>
      <w:r w:rsidR="00537665">
        <w:rPr>
          <w:rFonts w:ascii="Times New Roman" w:hAnsi="Times New Roman" w:cs="Times New Roman"/>
          <w:bCs/>
          <w:sz w:val="24"/>
          <w:szCs w:val="24"/>
        </w:rPr>
        <w:t>is submitting</w:t>
      </w:r>
      <w:r w:rsidRPr="006B176C">
        <w:rPr>
          <w:rFonts w:ascii="Times New Roman" w:hAnsi="Times New Roman" w:cs="Times New Roman"/>
          <w:bCs/>
          <w:sz w:val="24"/>
          <w:szCs w:val="24"/>
        </w:rPr>
        <w:t xml:space="preserve"> </w:t>
      </w:r>
      <w:r w:rsidR="00B579B5" w:rsidRPr="006B176C">
        <w:rPr>
          <w:rFonts w:ascii="Times New Roman" w:hAnsi="Times New Roman" w:cs="Times New Roman"/>
          <w:bCs/>
          <w:sz w:val="24"/>
          <w:szCs w:val="24"/>
        </w:rPr>
        <w:t xml:space="preserve">a petition for waiver of certain requirements related to RFPs contained in WAC 480-107.  </w:t>
      </w:r>
      <w:r w:rsidR="00046527" w:rsidRPr="006B176C">
        <w:rPr>
          <w:rFonts w:ascii="Times New Roman" w:hAnsi="Times New Roman" w:cs="Times New Roman"/>
          <w:bCs/>
          <w:sz w:val="24"/>
          <w:szCs w:val="24"/>
        </w:rPr>
        <w:t>T</w:t>
      </w:r>
      <w:r w:rsidR="00537665">
        <w:rPr>
          <w:rFonts w:ascii="Times New Roman" w:hAnsi="Times New Roman" w:cs="Times New Roman"/>
          <w:bCs/>
          <w:sz w:val="24"/>
          <w:szCs w:val="24"/>
        </w:rPr>
        <w:t>he petition requests</w:t>
      </w:r>
      <w:r w:rsidR="00B579B5" w:rsidRPr="006B176C">
        <w:rPr>
          <w:rFonts w:ascii="Times New Roman" w:hAnsi="Times New Roman" w:cs="Times New Roman"/>
          <w:bCs/>
          <w:sz w:val="24"/>
          <w:szCs w:val="24"/>
        </w:rPr>
        <w:t xml:space="preserve"> waiver of certain sections of WAC 480-107 with respect to 201</w:t>
      </w:r>
      <w:r w:rsidR="00C0629D" w:rsidRPr="006B176C">
        <w:rPr>
          <w:rFonts w:ascii="Times New Roman" w:hAnsi="Times New Roman" w:cs="Times New Roman"/>
          <w:bCs/>
          <w:sz w:val="24"/>
          <w:szCs w:val="24"/>
        </w:rPr>
        <w:t>5</w:t>
      </w:r>
      <w:r w:rsidR="00B579B5" w:rsidRPr="006B176C">
        <w:rPr>
          <w:rFonts w:ascii="Times New Roman" w:hAnsi="Times New Roman" w:cs="Times New Roman"/>
          <w:bCs/>
          <w:sz w:val="24"/>
          <w:szCs w:val="24"/>
        </w:rPr>
        <w:t xml:space="preserve"> IRP preferred portfolio resources, specifically: </w:t>
      </w:r>
    </w:p>
    <w:p w:rsidR="00B579B5" w:rsidRPr="006B176C" w:rsidRDefault="00B579B5" w:rsidP="001E4C23">
      <w:pPr>
        <w:pStyle w:val="NoSpacing"/>
        <w:jc w:val="both"/>
        <w:rPr>
          <w:rFonts w:ascii="Times New Roman" w:hAnsi="Times New Roman" w:cs="Times New Roman"/>
          <w:bCs/>
          <w:sz w:val="24"/>
          <w:szCs w:val="24"/>
        </w:rPr>
      </w:pPr>
    </w:p>
    <w:p w:rsidR="001F4E3C" w:rsidRPr="006B176C" w:rsidRDefault="001F4E3C" w:rsidP="00B579B5">
      <w:pPr>
        <w:pStyle w:val="ListParagraph"/>
        <w:numPr>
          <w:ilvl w:val="0"/>
          <w:numId w:val="13"/>
        </w:numPr>
        <w:tabs>
          <w:tab w:val="left" w:pos="0"/>
        </w:tabs>
        <w:spacing w:line="480" w:lineRule="auto"/>
        <w:jc w:val="both"/>
      </w:pPr>
      <w:r w:rsidRPr="006B176C">
        <w:t xml:space="preserve">Waiver of WAC 480-107-015(3)(d) with respect to front office transactions; </w:t>
      </w:r>
    </w:p>
    <w:p w:rsidR="001F4E3C" w:rsidRPr="006B176C" w:rsidRDefault="001F4E3C" w:rsidP="00B579B5">
      <w:pPr>
        <w:pStyle w:val="ListParagraph"/>
        <w:numPr>
          <w:ilvl w:val="0"/>
          <w:numId w:val="13"/>
        </w:numPr>
        <w:tabs>
          <w:tab w:val="left" w:pos="0"/>
        </w:tabs>
        <w:spacing w:line="480" w:lineRule="auto"/>
        <w:jc w:val="both"/>
      </w:pPr>
      <w:r w:rsidRPr="006B176C">
        <w:t>Waiver of WAC 480-107-015(3)(b) with respect to DSM Class 2; and</w:t>
      </w:r>
    </w:p>
    <w:p w:rsidR="00B579B5" w:rsidRPr="006B176C" w:rsidRDefault="00B579B5" w:rsidP="00B579B5">
      <w:pPr>
        <w:pStyle w:val="ListParagraph"/>
        <w:numPr>
          <w:ilvl w:val="0"/>
          <w:numId w:val="13"/>
        </w:numPr>
        <w:tabs>
          <w:tab w:val="left" w:pos="0"/>
        </w:tabs>
        <w:spacing w:line="480" w:lineRule="auto"/>
        <w:jc w:val="both"/>
      </w:pPr>
      <w:r w:rsidRPr="006B176C">
        <w:t>Waiver of entire WAC Chapter 480-107 with respect to Solar.</w:t>
      </w:r>
    </w:p>
    <w:p w:rsidR="00FD1478" w:rsidRPr="006B176C" w:rsidRDefault="00FD1478" w:rsidP="008C2203">
      <w:pPr>
        <w:pStyle w:val="ListParagraph"/>
        <w:numPr>
          <w:ilvl w:val="0"/>
          <w:numId w:val="12"/>
        </w:numPr>
        <w:tabs>
          <w:tab w:val="left" w:pos="720"/>
        </w:tabs>
        <w:ind w:left="720" w:hanging="720"/>
        <w:rPr>
          <w:b/>
        </w:rPr>
      </w:pPr>
      <w:r w:rsidRPr="006B176C">
        <w:rPr>
          <w:b/>
        </w:rPr>
        <w:lastRenderedPageBreak/>
        <w:t>Request for Proposals for Market Resources</w:t>
      </w:r>
    </w:p>
    <w:p w:rsidR="00B579B5" w:rsidRPr="006B176C" w:rsidRDefault="00B579B5" w:rsidP="001E4C23">
      <w:pPr>
        <w:pStyle w:val="NoSpacing"/>
        <w:jc w:val="both"/>
        <w:rPr>
          <w:rFonts w:ascii="Times New Roman" w:hAnsi="Times New Roman" w:cs="Times New Roman"/>
          <w:sz w:val="24"/>
          <w:szCs w:val="24"/>
        </w:rPr>
      </w:pPr>
    </w:p>
    <w:p w:rsidR="00402B3C" w:rsidRPr="006B176C" w:rsidRDefault="008353F1" w:rsidP="00956392">
      <w:pPr>
        <w:pStyle w:val="NoSpacing"/>
        <w:rPr>
          <w:rFonts w:ascii="Times New Roman" w:hAnsi="Times New Roman" w:cs="Times New Roman"/>
          <w:sz w:val="24"/>
          <w:szCs w:val="24"/>
        </w:rPr>
      </w:pPr>
      <w:r w:rsidRPr="006B176C">
        <w:rPr>
          <w:rFonts w:ascii="Times New Roman" w:hAnsi="Times New Roman" w:cs="Times New Roman"/>
          <w:sz w:val="24"/>
          <w:szCs w:val="24"/>
        </w:rPr>
        <w:t xml:space="preserve">Consistent with the waivers </w:t>
      </w:r>
      <w:r w:rsidR="00741567" w:rsidRPr="006B176C">
        <w:rPr>
          <w:rFonts w:ascii="Times New Roman" w:hAnsi="Times New Roman" w:cs="Times New Roman"/>
          <w:sz w:val="24"/>
          <w:szCs w:val="24"/>
        </w:rPr>
        <w:t>sought concurrently with this filing</w:t>
      </w:r>
      <w:r w:rsidRPr="006B176C">
        <w:rPr>
          <w:rFonts w:ascii="Times New Roman" w:hAnsi="Times New Roman" w:cs="Times New Roman"/>
          <w:sz w:val="24"/>
          <w:szCs w:val="24"/>
        </w:rPr>
        <w:t xml:space="preserve">, the </w:t>
      </w:r>
      <w:r w:rsidR="00402B3C" w:rsidRPr="006B176C">
        <w:rPr>
          <w:rFonts w:ascii="Times New Roman" w:hAnsi="Times New Roman" w:cs="Times New Roman"/>
          <w:sz w:val="24"/>
          <w:szCs w:val="24"/>
        </w:rPr>
        <w:t>capacity needed within the next three years</w:t>
      </w:r>
      <w:r w:rsidRPr="006B176C">
        <w:rPr>
          <w:rFonts w:ascii="Times New Roman" w:hAnsi="Times New Roman" w:cs="Times New Roman"/>
          <w:sz w:val="24"/>
          <w:szCs w:val="24"/>
        </w:rPr>
        <w:t xml:space="preserve"> f</w:t>
      </w:r>
      <w:r w:rsidR="0074661E" w:rsidRPr="006B176C">
        <w:rPr>
          <w:rFonts w:ascii="Times New Roman" w:hAnsi="Times New Roman" w:cs="Times New Roman"/>
          <w:sz w:val="24"/>
          <w:szCs w:val="24"/>
        </w:rPr>
        <w:t>or which PacifiCorp must file a</w:t>
      </w:r>
      <w:r w:rsidRPr="006B176C">
        <w:rPr>
          <w:rFonts w:ascii="Times New Roman" w:hAnsi="Times New Roman" w:cs="Times New Roman"/>
          <w:sz w:val="24"/>
          <w:szCs w:val="24"/>
        </w:rPr>
        <w:t xml:space="preserve"> RFP for approval by the Commission </w:t>
      </w:r>
      <w:r w:rsidR="00C57307" w:rsidRPr="006B176C">
        <w:rPr>
          <w:rFonts w:ascii="Times New Roman" w:hAnsi="Times New Roman" w:cs="Times New Roman"/>
          <w:sz w:val="24"/>
          <w:szCs w:val="24"/>
        </w:rPr>
        <w:t>under</w:t>
      </w:r>
      <w:r w:rsidRPr="006B176C">
        <w:rPr>
          <w:rFonts w:ascii="Times New Roman" w:hAnsi="Times New Roman" w:cs="Times New Roman"/>
          <w:sz w:val="24"/>
          <w:szCs w:val="24"/>
        </w:rPr>
        <w:t xml:space="preserve"> WAC 480-107-015(3)(b) are </w:t>
      </w:r>
      <w:r w:rsidR="001F1FD1" w:rsidRPr="006B176C">
        <w:rPr>
          <w:rFonts w:ascii="Times New Roman" w:hAnsi="Times New Roman" w:cs="Times New Roman"/>
          <w:sz w:val="24"/>
          <w:szCs w:val="24"/>
        </w:rPr>
        <w:t>f</w:t>
      </w:r>
      <w:r w:rsidRPr="006B176C">
        <w:rPr>
          <w:rFonts w:ascii="Times New Roman" w:hAnsi="Times New Roman" w:cs="Times New Roman"/>
          <w:sz w:val="24"/>
          <w:szCs w:val="24"/>
        </w:rPr>
        <w:t xml:space="preserve">ront </w:t>
      </w:r>
      <w:r w:rsidR="001F1FD1" w:rsidRPr="006B176C">
        <w:rPr>
          <w:rFonts w:ascii="Times New Roman" w:hAnsi="Times New Roman" w:cs="Times New Roman"/>
          <w:sz w:val="24"/>
          <w:szCs w:val="24"/>
        </w:rPr>
        <w:t>office t</w:t>
      </w:r>
      <w:r w:rsidRPr="006B176C">
        <w:rPr>
          <w:rFonts w:ascii="Times New Roman" w:hAnsi="Times New Roman" w:cs="Times New Roman"/>
          <w:sz w:val="24"/>
          <w:szCs w:val="24"/>
        </w:rPr>
        <w:t xml:space="preserve">ransactions.  </w:t>
      </w:r>
      <w:r w:rsidR="00C57307" w:rsidRPr="006B176C">
        <w:rPr>
          <w:rFonts w:ascii="Times New Roman" w:hAnsi="Times New Roman" w:cs="Times New Roman"/>
          <w:sz w:val="24"/>
          <w:szCs w:val="24"/>
        </w:rPr>
        <w:t xml:space="preserve">A complete copy of the Market RFP is attached as Exhibit A.  </w:t>
      </w:r>
      <w:r w:rsidR="00402B3C" w:rsidRPr="006B176C">
        <w:rPr>
          <w:rFonts w:ascii="Times New Roman" w:hAnsi="Times New Roman" w:cs="Times New Roman"/>
          <w:sz w:val="24"/>
          <w:szCs w:val="24"/>
        </w:rPr>
        <w:t>According to WAC 480-107-025, the RFP contents must include the following:</w:t>
      </w:r>
    </w:p>
    <w:p w:rsidR="00402B3C" w:rsidRPr="006B176C" w:rsidRDefault="00402B3C" w:rsidP="00402B3C">
      <w:pPr>
        <w:pStyle w:val="NoSpacing"/>
        <w:jc w:val="both"/>
        <w:rPr>
          <w:rFonts w:ascii="Times New Roman" w:hAnsi="Times New Roman" w:cs="Times New Roman"/>
          <w:sz w:val="24"/>
          <w:szCs w:val="24"/>
        </w:rPr>
      </w:pP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The amount and duration of power being solicited within the range estimated in the IRP for new resources</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An initial estimate of avoided cost schedule</w:t>
      </w:r>
      <w:r w:rsidR="00AC744C" w:rsidRPr="006B176C">
        <w:rPr>
          <w:rFonts w:ascii="Times New Roman" w:hAnsi="Times New Roman"/>
          <w:szCs w:val="24"/>
        </w:rPr>
        <w:t xml:space="preserve"> </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Additional information necessary for potential bidders to make a complete bid</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A general explanation of the evaluation and ranking procedure to be used that is consistent with the Project ranking procedure at WAC 480-107-035</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Minimum criteria for bidders to be considered eligible for ranking</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Timing of the solicitation, ranking and selection processes</w:t>
      </w:r>
    </w:p>
    <w:p w:rsidR="00402B3C" w:rsidRPr="006B176C" w:rsidRDefault="00402B3C" w:rsidP="00402B3C">
      <w:pPr>
        <w:numPr>
          <w:ilvl w:val="0"/>
          <w:numId w:val="15"/>
        </w:numPr>
        <w:rPr>
          <w:rFonts w:ascii="Times New Roman" w:hAnsi="Times New Roman"/>
          <w:szCs w:val="24"/>
        </w:rPr>
      </w:pPr>
      <w:r w:rsidRPr="006B176C">
        <w:rPr>
          <w:rFonts w:ascii="Times New Roman" w:hAnsi="Times New Roman"/>
          <w:szCs w:val="24"/>
        </w:rPr>
        <w:t>Identification of all security requirements and rationale for same</w:t>
      </w:r>
    </w:p>
    <w:p w:rsidR="00402B3C" w:rsidRPr="006B176C" w:rsidRDefault="00402B3C" w:rsidP="00402B3C">
      <w:pPr>
        <w:pStyle w:val="NoSpacing"/>
        <w:jc w:val="both"/>
        <w:rPr>
          <w:rFonts w:ascii="Times New Roman" w:hAnsi="Times New Roman" w:cs="Times New Roman"/>
          <w:sz w:val="24"/>
          <w:szCs w:val="24"/>
        </w:rPr>
      </w:pPr>
    </w:p>
    <w:p w:rsidR="00402B3C" w:rsidRPr="006B176C" w:rsidRDefault="00402B3C" w:rsidP="00402B3C">
      <w:pPr>
        <w:rPr>
          <w:rFonts w:ascii="Times New Roman" w:hAnsi="Times New Roman"/>
          <w:szCs w:val="24"/>
        </w:rPr>
      </w:pPr>
      <w:r w:rsidRPr="006B176C">
        <w:rPr>
          <w:rFonts w:ascii="Times New Roman" w:hAnsi="Times New Roman"/>
          <w:szCs w:val="24"/>
        </w:rPr>
        <w:t>The Market RFP solicits power purchase agreements of varying contract lengths between 201</w:t>
      </w:r>
      <w:r w:rsidR="0047183D" w:rsidRPr="006B176C">
        <w:rPr>
          <w:rFonts w:ascii="Times New Roman" w:hAnsi="Times New Roman"/>
          <w:szCs w:val="24"/>
        </w:rPr>
        <w:t>6</w:t>
      </w:r>
      <w:r w:rsidRPr="006B176C">
        <w:rPr>
          <w:rFonts w:ascii="Times New Roman" w:hAnsi="Times New Roman"/>
          <w:szCs w:val="24"/>
        </w:rPr>
        <w:t xml:space="preserve"> and 201</w:t>
      </w:r>
      <w:r w:rsidR="0047183D" w:rsidRPr="006B176C">
        <w:rPr>
          <w:rFonts w:ascii="Times New Roman" w:hAnsi="Times New Roman"/>
          <w:szCs w:val="24"/>
        </w:rPr>
        <w:t>8</w:t>
      </w:r>
      <w:r w:rsidRPr="006B176C">
        <w:rPr>
          <w:rFonts w:ascii="Times New Roman" w:hAnsi="Times New Roman"/>
          <w:szCs w:val="24"/>
        </w:rPr>
        <w:t xml:space="preserve">.  It seeks resources with the ability to deliver firm power to PacifiCorp’s western balancing authority area for this period.  The </w:t>
      </w:r>
      <w:r w:rsidR="001F1FD1" w:rsidRPr="006B176C">
        <w:rPr>
          <w:rFonts w:ascii="Times New Roman" w:hAnsi="Times New Roman"/>
          <w:szCs w:val="24"/>
        </w:rPr>
        <w:t xml:space="preserve">Market </w:t>
      </w:r>
      <w:r w:rsidRPr="006B176C">
        <w:rPr>
          <w:rFonts w:ascii="Times New Roman" w:hAnsi="Times New Roman"/>
          <w:szCs w:val="24"/>
        </w:rPr>
        <w:t>RFP identifies the capacity needs for each year</w:t>
      </w:r>
      <w:r w:rsidR="001F1FD1" w:rsidRPr="006B176C">
        <w:rPr>
          <w:rFonts w:ascii="Times New Roman" w:hAnsi="Times New Roman"/>
          <w:szCs w:val="24"/>
        </w:rPr>
        <w:t xml:space="preserve"> as shown in the table below</w:t>
      </w:r>
      <w:r w:rsidRPr="006B176C">
        <w:rPr>
          <w:rFonts w:ascii="Times New Roman" w:hAnsi="Times New Roman"/>
          <w:szCs w:val="24"/>
        </w:rPr>
        <w:t>:</w:t>
      </w:r>
    </w:p>
    <w:p w:rsidR="008353F1" w:rsidRPr="006B176C" w:rsidRDefault="008353F1" w:rsidP="00402B3C">
      <w:pPr>
        <w:pStyle w:val="NoSpacing"/>
        <w:jc w:val="both"/>
        <w:rPr>
          <w:rFonts w:ascii="Times New Roman" w:hAnsi="Times New Roman" w:cs="Times New Roman"/>
          <w:sz w:val="24"/>
          <w:szCs w:val="24"/>
        </w:rPr>
      </w:pPr>
    </w:p>
    <w:p w:rsidR="00402B3C" w:rsidRPr="006B176C" w:rsidRDefault="00402B3C" w:rsidP="00537665">
      <w:pPr>
        <w:pStyle w:val="TableHeading"/>
        <w:jc w:val="center"/>
        <w:rPr>
          <w:rFonts w:cs="Times New Roman"/>
          <w:szCs w:val="24"/>
        </w:rPr>
      </w:pPr>
      <w:bookmarkStart w:id="1" w:name="_Toc304795304"/>
      <w:r w:rsidRPr="006B176C">
        <w:rPr>
          <w:rFonts w:cs="Times New Roman"/>
          <w:szCs w:val="24"/>
        </w:rPr>
        <w:t>PacifiCorp</w:t>
      </w:r>
      <w:r w:rsidR="008C2203" w:rsidRPr="006B176C">
        <w:rPr>
          <w:rFonts w:cs="Times New Roman"/>
          <w:szCs w:val="24"/>
        </w:rPr>
        <w:t xml:space="preserve"> 2015</w:t>
      </w:r>
      <w:r w:rsidRPr="006B176C">
        <w:rPr>
          <w:rFonts w:cs="Times New Roman"/>
          <w:szCs w:val="24"/>
        </w:rPr>
        <w:t xml:space="preserve"> </w:t>
      </w:r>
      <w:r w:rsidR="0047183D" w:rsidRPr="006B176C">
        <w:rPr>
          <w:rFonts w:cs="Times New Roman"/>
          <w:szCs w:val="24"/>
        </w:rPr>
        <w:t xml:space="preserve">IRP </w:t>
      </w:r>
      <w:r w:rsidRPr="006B176C">
        <w:rPr>
          <w:rFonts w:cs="Times New Roman"/>
          <w:szCs w:val="24"/>
        </w:rPr>
        <w:t>West Capacity Position Forecast (Megawatts)</w:t>
      </w:r>
      <w:bookmarkEnd w:id="1"/>
    </w:p>
    <w:tbl>
      <w:tblPr>
        <w:tblStyle w:val="TableGrid"/>
        <w:tblW w:w="0" w:type="auto"/>
        <w:jc w:val="center"/>
        <w:tblLook w:val="04A0" w:firstRow="1" w:lastRow="0" w:firstColumn="1" w:lastColumn="0" w:noHBand="0" w:noVBand="1"/>
      </w:tblPr>
      <w:tblGrid>
        <w:gridCol w:w="3078"/>
        <w:gridCol w:w="2166"/>
        <w:gridCol w:w="2166"/>
        <w:gridCol w:w="2166"/>
      </w:tblGrid>
      <w:tr w:rsidR="00AA236B" w:rsidRPr="006B176C" w:rsidTr="00537665">
        <w:trPr>
          <w:jc w:val="center"/>
        </w:trPr>
        <w:tc>
          <w:tcPr>
            <w:tcW w:w="3078" w:type="dxa"/>
          </w:tcPr>
          <w:p w:rsidR="00AA236B" w:rsidRPr="006B176C" w:rsidRDefault="00AA236B" w:rsidP="00850CB1">
            <w:pPr>
              <w:rPr>
                <w:rFonts w:ascii="Times New Roman" w:hAnsi="Times New Roman"/>
                <w:szCs w:val="24"/>
              </w:rPr>
            </w:pPr>
          </w:p>
        </w:tc>
        <w:tc>
          <w:tcPr>
            <w:tcW w:w="2166" w:type="dxa"/>
          </w:tcPr>
          <w:p w:rsidR="00AA236B" w:rsidRPr="006B176C" w:rsidRDefault="00AA236B" w:rsidP="00850CB1">
            <w:pPr>
              <w:jc w:val="center"/>
              <w:rPr>
                <w:rFonts w:ascii="Times New Roman" w:hAnsi="Times New Roman"/>
                <w:b/>
                <w:szCs w:val="24"/>
              </w:rPr>
            </w:pPr>
            <w:r w:rsidRPr="006B176C">
              <w:rPr>
                <w:rFonts w:ascii="Times New Roman" w:hAnsi="Times New Roman"/>
                <w:b/>
                <w:szCs w:val="24"/>
              </w:rPr>
              <w:t>2016</w:t>
            </w:r>
          </w:p>
        </w:tc>
        <w:tc>
          <w:tcPr>
            <w:tcW w:w="2166" w:type="dxa"/>
          </w:tcPr>
          <w:p w:rsidR="00AA236B" w:rsidRPr="006B176C" w:rsidRDefault="00AA236B" w:rsidP="00850CB1">
            <w:pPr>
              <w:jc w:val="center"/>
              <w:rPr>
                <w:rFonts w:ascii="Times New Roman" w:hAnsi="Times New Roman"/>
                <w:b/>
                <w:szCs w:val="24"/>
              </w:rPr>
            </w:pPr>
            <w:r w:rsidRPr="006B176C">
              <w:rPr>
                <w:rFonts w:ascii="Times New Roman" w:hAnsi="Times New Roman"/>
                <w:b/>
                <w:szCs w:val="24"/>
              </w:rPr>
              <w:t>2017</w:t>
            </w:r>
          </w:p>
        </w:tc>
        <w:tc>
          <w:tcPr>
            <w:tcW w:w="2166" w:type="dxa"/>
          </w:tcPr>
          <w:p w:rsidR="00AA236B" w:rsidRPr="006B176C" w:rsidRDefault="00AA236B" w:rsidP="00850CB1">
            <w:pPr>
              <w:jc w:val="center"/>
              <w:rPr>
                <w:rFonts w:ascii="Times New Roman" w:hAnsi="Times New Roman"/>
                <w:b/>
                <w:szCs w:val="24"/>
              </w:rPr>
            </w:pPr>
            <w:r w:rsidRPr="006B176C">
              <w:rPr>
                <w:rFonts w:ascii="Times New Roman" w:hAnsi="Times New Roman"/>
                <w:b/>
                <w:szCs w:val="24"/>
              </w:rPr>
              <w:t>2018</w:t>
            </w:r>
          </w:p>
        </w:tc>
      </w:tr>
      <w:tr w:rsidR="00AA236B" w:rsidRPr="006B176C" w:rsidTr="00537665">
        <w:trPr>
          <w:jc w:val="center"/>
        </w:trPr>
        <w:tc>
          <w:tcPr>
            <w:tcW w:w="3078" w:type="dxa"/>
          </w:tcPr>
          <w:p w:rsidR="00AA236B" w:rsidRPr="006B176C" w:rsidRDefault="00AA236B" w:rsidP="00850CB1">
            <w:pPr>
              <w:rPr>
                <w:rFonts w:ascii="Times New Roman" w:hAnsi="Times New Roman"/>
                <w:szCs w:val="24"/>
              </w:rPr>
            </w:pPr>
            <w:r w:rsidRPr="006B176C">
              <w:rPr>
                <w:rFonts w:ascii="Times New Roman" w:hAnsi="Times New Roman"/>
                <w:szCs w:val="24"/>
              </w:rPr>
              <w:t>Existing Resources</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2,554</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2,596</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2,637</w:t>
            </w:r>
          </w:p>
        </w:tc>
      </w:tr>
      <w:tr w:rsidR="00AA236B" w:rsidRPr="006B176C" w:rsidTr="00537665">
        <w:trPr>
          <w:jc w:val="center"/>
        </w:trPr>
        <w:tc>
          <w:tcPr>
            <w:tcW w:w="3078" w:type="dxa"/>
            <w:tcBorders>
              <w:bottom w:val="double" w:sz="4" w:space="0" w:color="auto"/>
            </w:tcBorders>
          </w:tcPr>
          <w:p w:rsidR="00AA236B" w:rsidRPr="006B176C" w:rsidRDefault="00AA236B" w:rsidP="00850CB1">
            <w:pPr>
              <w:rPr>
                <w:rFonts w:ascii="Times New Roman" w:hAnsi="Times New Roman"/>
                <w:szCs w:val="24"/>
              </w:rPr>
            </w:pPr>
            <w:r w:rsidRPr="006B176C">
              <w:rPr>
                <w:rFonts w:ascii="Times New Roman" w:hAnsi="Times New Roman"/>
                <w:szCs w:val="24"/>
              </w:rPr>
              <w:t>Planned Resources</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993</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959</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922</w:t>
            </w:r>
          </w:p>
        </w:tc>
      </w:tr>
      <w:tr w:rsidR="00AA236B" w:rsidRPr="006B176C" w:rsidTr="00537665">
        <w:trPr>
          <w:jc w:val="center"/>
        </w:trPr>
        <w:tc>
          <w:tcPr>
            <w:tcW w:w="3078" w:type="dxa"/>
            <w:tcBorders>
              <w:top w:val="double" w:sz="4" w:space="0" w:color="auto"/>
            </w:tcBorders>
          </w:tcPr>
          <w:p w:rsidR="00AA236B" w:rsidRPr="006B176C" w:rsidRDefault="00AA236B" w:rsidP="00850CB1">
            <w:pPr>
              <w:rPr>
                <w:rFonts w:ascii="Times New Roman" w:hAnsi="Times New Roman"/>
                <w:szCs w:val="24"/>
              </w:rPr>
            </w:pPr>
            <w:r w:rsidRPr="006B176C">
              <w:rPr>
                <w:rFonts w:ascii="Times New Roman" w:hAnsi="Times New Roman"/>
                <w:szCs w:val="24"/>
              </w:rPr>
              <w:t xml:space="preserve">  Total Resources</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3,548</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3,555</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3,559</w:t>
            </w:r>
          </w:p>
        </w:tc>
      </w:tr>
      <w:tr w:rsidR="00AA236B" w:rsidRPr="006B176C" w:rsidTr="00537665">
        <w:trPr>
          <w:jc w:val="center"/>
        </w:trPr>
        <w:tc>
          <w:tcPr>
            <w:tcW w:w="9576" w:type="dxa"/>
            <w:gridSpan w:val="4"/>
          </w:tcPr>
          <w:p w:rsidR="00AA236B" w:rsidRPr="006B176C" w:rsidRDefault="00AA236B" w:rsidP="00850CB1">
            <w:pPr>
              <w:jc w:val="center"/>
              <w:rPr>
                <w:rFonts w:ascii="Times New Roman" w:hAnsi="Times New Roman"/>
                <w:szCs w:val="24"/>
              </w:rPr>
            </w:pPr>
          </w:p>
        </w:tc>
      </w:tr>
      <w:tr w:rsidR="00AA236B" w:rsidRPr="006B176C" w:rsidTr="00537665">
        <w:trPr>
          <w:jc w:val="center"/>
        </w:trPr>
        <w:tc>
          <w:tcPr>
            <w:tcW w:w="3078" w:type="dxa"/>
          </w:tcPr>
          <w:p w:rsidR="00AA236B" w:rsidRPr="006B176C" w:rsidRDefault="00AA236B" w:rsidP="00850CB1">
            <w:pPr>
              <w:rPr>
                <w:rFonts w:ascii="Times New Roman" w:hAnsi="Times New Roman"/>
                <w:szCs w:val="24"/>
              </w:rPr>
            </w:pPr>
            <w:r w:rsidRPr="006B176C">
              <w:rPr>
                <w:rFonts w:ascii="Times New Roman" w:hAnsi="Times New Roman"/>
                <w:szCs w:val="24"/>
              </w:rPr>
              <w:t>Obligation</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3,140</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3,146</w:t>
            </w:r>
          </w:p>
        </w:tc>
        <w:tc>
          <w:tcPr>
            <w:tcW w:w="2166" w:type="dxa"/>
          </w:tcPr>
          <w:p w:rsidR="00AA236B" w:rsidRPr="006B176C" w:rsidRDefault="00AA236B" w:rsidP="00850CB1">
            <w:pPr>
              <w:jc w:val="center"/>
              <w:rPr>
                <w:rFonts w:ascii="Times New Roman" w:hAnsi="Times New Roman"/>
                <w:szCs w:val="24"/>
              </w:rPr>
            </w:pPr>
            <w:r w:rsidRPr="006B176C">
              <w:rPr>
                <w:rFonts w:ascii="Times New Roman" w:hAnsi="Times New Roman"/>
                <w:szCs w:val="24"/>
              </w:rPr>
              <w:t>3,150</w:t>
            </w:r>
          </w:p>
        </w:tc>
      </w:tr>
      <w:tr w:rsidR="00AA236B" w:rsidRPr="006B176C" w:rsidTr="00537665">
        <w:trPr>
          <w:jc w:val="center"/>
        </w:trPr>
        <w:tc>
          <w:tcPr>
            <w:tcW w:w="3078" w:type="dxa"/>
            <w:tcBorders>
              <w:bottom w:val="double" w:sz="4" w:space="0" w:color="auto"/>
            </w:tcBorders>
          </w:tcPr>
          <w:p w:rsidR="00AA236B" w:rsidRPr="006B176C" w:rsidRDefault="00AA236B" w:rsidP="00850CB1">
            <w:pPr>
              <w:rPr>
                <w:rFonts w:ascii="Times New Roman" w:hAnsi="Times New Roman"/>
                <w:szCs w:val="24"/>
              </w:rPr>
            </w:pPr>
            <w:r w:rsidRPr="006B176C">
              <w:rPr>
                <w:rFonts w:ascii="Times New Roman" w:hAnsi="Times New Roman"/>
                <w:szCs w:val="24"/>
              </w:rPr>
              <w:t>Planning Reserves (13%)</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408</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409</w:t>
            </w:r>
          </w:p>
        </w:tc>
        <w:tc>
          <w:tcPr>
            <w:tcW w:w="2166" w:type="dxa"/>
            <w:tcBorders>
              <w:bottom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409</w:t>
            </w:r>
          </w:p>
        </w:tc>
      </w:tr>
      <w:tr w:rsidR="00AA236B" w:rsidRPr="006B176C" w:rsidTr="00537665">
        <w:trPr>
          <w:jc w:val="center"/>
        </w:trPr>
        <w:tc>
          <w:tcPr>
            <w:tcW w:w="3078" w:type="dxa"/>
            <w:tcBorders>
              <w:top w:val="double" w:sz="4" w:space="0" w:color="auto"/>
            </w:tcBorders>
          </w:tcPr>
          <w:p w:rsidR="00AA236B" w:rsidRPr="006B176C" w:rsidRDefault="00AA236B" w:rsidP="00850CB1">
            <w:pPr>
              <w:rPr>
                <w:rFonts w:ascii="Times New Roman" w:hAnsi="Times New Roman"/>
                <w:szCs w:val="24"/>
              </w:rPr>
            </w:pPr>
            <w:r w:rsidRPr="006B176C">
              <w:rPr>
                <w:rFonts w:ascii="Times New Roman" w:hAnsi="Times New Roman"/>
                <w:szCs w:val="24"/>
              </w:rPr>
              <w:t xml:space="preserve">  Total Obligation + Reserves</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3,548</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3,555</w:t>
            </w:r>
          </w:p>
        </w:tc>
        <w:tc>
          <w:tcPr>
            <w:tcW w:w="2166" w:type="dxa"/>
            <w:tcBorders>
              <w:top w:val="double" w:sz="4" w:space="0" w:color="auto"/>
            </w:tcBorders>
          </w:tcPr>
          <w:p w:rsidR="00AA236B" w:rsidRPr="006B176C" w:rsidRDefault="00AA236B" w:rsidP="00850CB1">
            <w:pPr>
              <w:jc w:val="center"/>
              <w:rPr>
                <w:rFonts w:ascii="Times New Roman" w:hAnsi="Times New Roman"/>
                <w:szCs w:val="24"/>
              </w:rPr>
            </w:pPr>
            <w:r w:rsidRPr="006B176C">
              <w:rPr>
                <w:rFonts w:ascii="Times New Roman" w:hAnsi="Times New Roman"/>
                <w:szCs w:val="24"/>
              </w:rPr>
              <w:t>3,559</w:t>
            </w:r>
          </w:p>
        </w:tc>
      </w:tr>
    </w:tbl>
    <w:p w:rsidR="00AA236B" w:rsidRPr="006B176C" w:rsidRDefault="00AA236B" w:rsidP="00402B3C">
      <w:pPr>
        <w:pStyle w:val="TableHeading"/>
        <w:rPr>
          <w:rFonts w:cs="Times New Roman"/>
          <w:szCs w:val="24"/>
        </w:rPr>
      </w:pPr>
    </w:p>
    <w:p w:rsidR="00105800" w:rsidRPr="006B176C" w:rsidRDefault="00105800" w:rsidP="00402B3C">
      <w:pPr>
        <w:rPr>
          <w:rFonts w:ascii="Times New Roman" w:hAnsi="Times New Roman"/>
          <w:szCs w:val="24"/>
        </w:rPr>
      </w:pPr>
      <w:r w:rsidRPr="006B176C">
        <w:rPr>
          <w:rFonts w:ascii="Times New Roman" w:hAnsi="Times New Roman"/>
          <w:szCs w:val="24"/>
        </w:rPr>
        <w:t>In addition, the Market RFP includes a schedule of estimated avoided cost</w:t>
      </w:r>
      <w:r w:rsidR="00C5689E" w:rsidRPr="006B176C">
        <w:rPr>
          <w:rFonts w:ascii="Times New Roman" w:hAnsi="Times New Roman"/>
          <w:szCs w:val="24"/>
        </w:rPr>
        <w:t xml:space="preserve"> for the state of Washington</w:t>
      </w:r>
      <w:r w:rsidR="00F150D4" w:rsidRPr="006B176C">
        <w:rPr>
          <w:rFonts w:ascii="Times New Roman" w:hAnsi="Times New Roman"/>
          <w:szCs w:val="24"/>
        </w:rPr>
        <w:t xml:space="preserve"> provided as Exhibit B</w:t>
      </w:r>
      <w:r w:rsidRPr="006B176C">
        <w:rPr>
          <w:rFonts w:ascii="Times New Roman" w:hAnsi="Times New Roman"/>
          <w:szCs w:val="24"/>
        </w:rPr>
        <w:t>.  The avoided cost</w:t>
      </w:r>
      <w:r w:rsidR="00741567" w:rsidRPr="006B176C">
        <w:rPr>
          <w:rFonts w:ascii="Times New Roman" w:hAnsi="Times New Roman"/>
          <w:szCs w:val="24"/>
        </w:rPr>
        <w:t xml:space="preserve"> estimate</w:t>
      </w:r>
      <w:r w:rsidRPr="006B176C">
        <w:rPr>
          <w:rFonts w:ascii="Times New Roman" w:hAnsi="Times New Roman"/>
          <w:szCs w:val="24"/>
        </w:rPr>
        <w:t xml:space="preserve"> is provided in the Market RFP in accordance with the requirements of WAC 480-107-025</w:t>
      </w:r>
      <w:r w:rsidR="00C57307" w:rsidRPr="006B176C">
        <w:rPr>
          <w:rFonts w:ascii="Times New Roman" w:hAnsi="Times New Roman"/>
          <w:szCs w:val="24"/>
        </w:rPr>
        <w:t>,</w:t>
      </w:r>
      <w:r w:rsidRPr="006B176C">
        <w:rPr>
          <w:rFonts w:ascii="Times New Roman" w:hAnsi="Times New Roman"/>
          <w:szCs w:val="24"/>
        </w:rPr>
        <w:t xml:space="preserve"> and provide</w:t>
      </w:r>
      <w:r w:rsidR="00741567" w:rsidRPr="006B176C">
        <w:rPr>
          <w:rFonts w:ascii="Times New Roman" w:hAnsi="Times New Roman"/>
          <w:szCs w:val="24"/>
        </w:rPr>
        <w:t>s</w:t>
      </w:r>
      <w:r w:rsidRPr="006B176C">
        <w:rPr>
          <w:rFonts w:ascii="Times New Roman" w:hAnsi="Times New Roman"/>
          <w:szCs w:val="24"/>
        </w:rPr>
        <w:t xml:space="preserve"> potential respondents to the Market RFP with information regarding the cost of new power supplies.  However, the Company reserves the right to revise its schedule of estimated avoided cost as necessary consistent with WAC 480-107-055(3), which allows utilities to revise estimated avoided cost schedules at any time, if filed with the Commission with supporting documentation.  </w:t>
      </w:r>
    </w:p>
    <w:p w:rsidR="00105800" w:rsidRPr="006B176C" w:rsidRDefault="00105800" w:rsidP="00402B3C">
      <w:pPr>
        <w:rPr>
          <w:rFonts w:ascii="Times New Roman" w:hAnsi="Times New Roman"/>
          <w:szCs w:val="24"/>
        </w:rPr>
      </w:pPr>
    </w:p>
    <w:p w:rsidR="00402B3C" w:rsidRPr="006B176C" w:rsidRDefault="00402B3C" w:rsidP="00402B3C">
      <w:pPr>
        <w:rPr>
          <w:rFonts w:ascii="Times New Roman" w:hAnsi="Times New Roman"/>
          <w:szCs w:val="24"/>
        </w:rPr>
      </w:pPr>
      <w:r w:rsidRPr="006B176C">
        <w:rPr>
          <w:rFonts w:ascii="Times New Roman" w:hAnsi="Times New Roman"/>
          <w:szCs w:val="24"/>
        </w:rPr>
        <w:t xml:space="preserve">The remainder of the requirements listed above are included and clearly identified in the proposed Market RFP.  The Company provides as Exhibit </w:t>
      </w:r>
      <w:r w:rsidR="00AC744C" w:rsidRPr="006B176C">
        <w:rPr>
          <w:rFonts w:ascii="Times New Roman" w:hAnsi="Times New Roman"/>
          <w:szCs w:val="24"/>
        </w:rPr>
        <w:t>C</w:t>
      </w:r>
      <w:r w:rsidR="00C5689E" w:rsidRPr="006B176C">
        <w:rPr>
          <w:rFonts w:ascii="Times New Roman" w:hAnsi="Times New Roman"/>
          <w:szCs w:val="24"/>
        </w:rPr>
        <w:t>,</w:t>
      </w:r>
      <w:r w:rsidRPr="006B176C">
        <w:rPr>
          <w:rFonts w:ascii="Times New Roman" w:hAnsi="Times New Roman"/>
          <w:szCs w:val="24"/>
        </w:rPr>
        <w:t xml:space="preserve"> a table </w:t>
      </w:r>
      <w:r w:rsidR="00105800" w:rsidRPr="006B176C">
        <w:rPr>
          <w:rFonts w:ascii="Times New Roman" w:hAnsi="Times New Roman"/>
          <w:szCs w:val="24"/>
        </w:rPr>
        <w:t xml:space="preserve">demonstrating that the Company’s proposed </w:t>
      </w:r>
      <w:r w:rsidR="001F1FD1" w:rsidRPr="006B176C">
        <w:rPr>
          <w:rFonts w:ascii="Times New Roman" w:hAnsi="Times New Roman"/>
          <w:szCs w:val="24"/>
        </w:rPr>
        <w:t xml:space="preserve">Market </w:t>
      </w:r>
      <w:r w:rsidR="00105800" w:rsidRPr="006B176C">
        <w:rPr>
          <w:rFonts w:ascii="Times New Roman" w:hAnsi="Times New Roman"/>
          <w:szCs w:val="24"/>
        </w:rPr>
        <w:t xml:space="preserve">RFP satisfies the requirements set forth in the relevant sections of WAC Chapter 480-107.  </w:t>
      </w:r>
    </w:p>
    <w:p w:rsidR="00105800" w:rsidRPr="006B176C" w:rsidRDefault="00105800" w:rsidP="00105800">
      <w:pPr>
        <w:pStyle w:val="NoSpacing"/>
        <w:numPr>
          <w:ilvl w:val="0"/>
          <w:numId w:val="12"/>
        </w:numPr>
        <w:ind w:left="720" w:hanging="720"/>
        <w:jc w:val="both"/>
        <w:rPr>
          <w:rFonts w:ascii="Times New Roman" w:hAnsi="Times New Roman" w:cs="Times New Roman"/>
          <w:b/>
          <w:sz w:val="24"/>
          <w:szCs w:val="24"/>
        </w:rPr>
      </w:pPr>
      <w:r w:rsidRPr="006B176C">
        <w:rPr>
          <w:rFonts w:ascii="Times New Roman" w:hAnsi="Times New Roman" w:cs="Times New Roman"/>
          <w:b/>
          <w:sz w:val="24"/>
          <w:szCs w:val="24"/>
        </w:rPr>
        <w:lastRenderedPageBreak/>
        <w:t>Request for Public Comment</w:t>
      </w:r>
    </w:p>
    <w:p w:rsidR="00956392" w:rsidRPr="006B176C" w:rsidRDefault="00956392" w:rsidP="00956392">
      <w:pPr>
        <w:pStyle w:val="NoSpacing"/>
        <w:jc w:val="both"/>
        <w:rPr>
          <w:rFonts w:ascii="Times New Roman" w:hAnsi="Times New Roman" w:cs="Times New Roman"/>
          <w:b/>
          <w:sz w:val="24"/>
          <w:szCs w:val="24"/>
        </w:rPr>
      </w:pPr>
    </w:p>
    <w:p w:rsidR="00537477" w:rsidRPr="006B176C" w:rsidRDefault="00A57E81" w:rsidP="00537477">
      <w:pPr>
        <w:rPr>
          <w:rFonts w:ascii="Times New Roman" w:hAnsi="Times New Roman"/>
          <w:szCs w:val="24"/>
        </w:rPr>
      </w:pPr>
      <w:r w:rsidRPr="006B176C">
        <w:rPr>
          <w:rFonts w:ascii="Times New Roman" w:hAnsi="Times New Roman"/>
          <w:szCs w:val="24"/>
        </w:rPr>
        <w:t xml:space="preserve">The Company invites public comment on its proposed Market RFP.  </w:t>
      </w:r>
      <w:r w:rsidR="0047183D" w:rsidRPr="006B176C">
        <w:rPr>
          <w:rFonts w:ascii="Times New Roman" w:hAnsi="Times New Roman"/>
          <w:szCs w:val="24"/>
        </w:rPr>
        <w:t>Q</w:t>
      </w:r>
      <w:r w:rsidR="00537477" w:rsidRPr="006B176C">
        <w:rPr>
          <w:rFonts w:ascii="Times New Roman" w:hAnsi="Times New Roman"/>
          <w:szCs w:val="24"/>
        </w:rPr>
        <w:t xml:space="preserve">uestions </w:t>
      </w:r>
      <w:r w:rsidRPr="006B176C">
        <w:rPr>
          <w:rFonts w:ascii="Times New Roman" w:hAnsi="Times New Roman"/>
          <w:szCs w:val="24"/>
        </w:rPr>
        <w:t xml:space="preserve">regarding this filing </w:t>
      </w:r>
      <w:r w:rsidR="00C57307" w:rsidRPr="006B176C">
        <w:rPr>
          <w:rFonts w:ascii="Times New Roman" w:hAnsi="Times New Roman"/>
          <w:szCs w:val="24"/>
        </w:rPr>
        <w:t xml:space="preserve">may </w:t>
      </w:r>
      <w:r w:rsidR="00537477" w:rsidRPr="006B176C">
        <w:rPr>
          <w:rFonts w:ascii="Times New Roman" w:hAnsi="Times New Roman"/>
          <w:szCs w:val="24"/>
        </w:rPr>
        <w:t xml:space="preserve">be directed to </w:t>
      </w:r>
      <w:r w:rsidR="00C57307" w:rsidRPr="006B176C">
        <w:rPr>
          <w:rFonts w:ascii="Times New Roman" w:hAnsi="Times New Roman"/>
          <w:szCs w:val="24"/>
        </w:rPr>
        <w:t>Ariel Son</w:t>
      </w:r>
      <w:r w:rsidR="00FF06AC" w:rsidRPr="006B176C">
        <w:rPr>
          <w:rFonts w:ascii="Times New Roman" w:hAnsi="Times New Roman"/>
          <w:szCs w:val="24"/>
        </w:rPr>
        <w:t xml:space="preserve"> </w:t>
      </w:r>
      <w:r w:rsidR="00537477" w:rsidRPr="006B176C">
        <w:rPr>
          <w:rFonts w:ascii="Times New Roman" w:hAnsi="Times New Roman"/>
          <w:szCs w:val="24"/>
        </w:rPr>
        <w:t>at (503) 813-</w:t>
      </w:r>
      <w:r w:rsidR="00C57307" w:rsidRPr="006B176C">
        <w:rPr>
          <w:rFonts w:ascii="Times New Roman" w:hAnsi="Times New Roman"/>
          <w:szCs w:val="24"/>
        </w:rPr>
        <w:t>5410</w:t>
      </w:r>
      <w:r w:rsidR="00537477" w:rsidRPr="006B176C">
        <w:rPr>
          <w:rFonts w:ascii="Times New Roman" w:hAnsi="Times New Roman"/>
          <w:szCs w:val="24"/>
        </w:rPr>
        <w:t>.</w:t>
      </w:r>
      <w:r w:rsidRPr="006B176C">
        <w:rPr>
          <w:rFonts w:ascii="Times New Roman" w:hAnsi="Times New Roman"/>
          <w:szCs w:val="24"/>
        </w:rPr>
        <w:t xml:space="preserve">  </w:t>
      </w:r>
    </w:p>
    <w:p w:rsidR="00FE257F" w:rsidRPr="006B176C" w:rsidRDefault="00FE257F" w:rsidP="00664B79">
      <w:pPr>
        <w:pStyle w:val="NoSpacing"/>
        <w:jc w:val="both"/>
        <w:rPr>
          <w:rFonts w:ascii="Times New Roman" w:hAnsi="Times New Roman" w:cs="Times New Roman"/>
          <w:sz w:val="24"/>
          <w:szCs w:val="24"/>
        </w:rPr>
      </w:pPr>
    </w:p>
    <w:p w:rsidR="00FE257F" w:rsidRPr="006B176C" w:rsidRDefault="00FE257F" w:rsidP="00664B79">
      <w:pPr>
        <w:pStyle w:val="NoSpacing"/>
        <w:jc w:val="both"/>
        <w:rPr>
          <w:rFonts w:ascii="Times New Roman" w:hAnsi="Times New Roman" w:cs="Times New Roman"/>
          <w:sz w:val="24"/>
          <w:szCs w:val="24"/>
        </w:rPr>
      </w:pPr>
      <w:r w:rsidRPr="006B176C">
        <w:rPr>
          <w:rFonts w:ascii="Times New Roman" w:hAnsi="Times New Roman" w:cs="Times New Roman"/>
          <w:sz w:val="24"/>
          <w:szCs w:val="24"/>
        </w:rPr>
        <w:t>Sincerely,</w:t>
      </w:r>
    </w:p>
    <w:p w:rsidR="00FE257F" w:rsidRPr="006B176C" w:rsidRDefault="00FE257F" w:rsidP="00664B79">
      <w:pPr>
        <w:pStyle w:val="NoSpacing"/>
        <w:jc w:val="both"/>
        <w:rPr>
          <w:rFonts w:ascii="Times New Roman" w:hAnsi="Times New Roman" w:cs="Times New Roman"/>
          <w:sz w:val="24"/>
          <w:szCs w:val="24"/>
        </w:rPr>
      </w:pPr>
    </w:p>
    <w:p w:rsidR="00FE257F" w:rsidRPr="006B176C" w:rsidRDefault="00FE257F" w:rsidP="00664B79">
      <w:pPr>
        <w:pStyle w:val="NoSpacing"/>
        <w:jc w:val="both"/>
        <w:rPr>
          <w:rFonts w:ascii="Times New Roman" w:hAnsi="Times New Roman" w:cs="Times New Roman"/>
          <w:sz w:val="24"/>
          <w:szCs w:val="24"/>
        </w:rPr>
      </w:pPr>
    </w:p>
    <w:p w:rsidR="00FE257F" w:rsidRPr="006B176C" w:rsidRDefault="00FE257F" w:rsidP="00664B79">
      <w:pPr>
        <w:pStyle w:val="NoSpacing"/>
        <w:jc w:val="both"/>
        <w:rPr>
          <w:rFonts w:ascii="Times New Roman" w:hAnsi="Times New Roman" w:cs="Times New Roman"/>
          <w:sz w:val="24"/>
          <w:szCs w:val="24"/>
        </w:rPr>
      </w:pPr>
    </w:p>
    <w:p w:rsidR="0047183D" w:rsidRPr="006B176C" w:rsidRDefault="0047183D" w:rsidP="0047183D">
      <w:pPr>
        <w:pStyle w:val="NoSpacing"/>
        <w:jc w:val="both"/>
        <w:rPr>
          <w:rFonts w:ascii="Times New Roman" w:hAnsi="Times New Roman" w:cs="Times New Roman"/>
          <w:sz w:val="24"/>
          <w:szCs w:val="24"/>
        </w:rPr>
      </w:pPr>
      <w:r w:rsidRPr="006B176C">
        <w:rPr>
          <w:rFonts w:ascii="Times New Roman" w:hAnsi="Times New Roman" w:cs="Times New Roman"/>
          <w:sz w:val="24"/>
          <w:szCs w:val="24"/>
        </w:rPr>
        <w:t>R. Bryce Dalley</w:t>
      </w:r>
    </w:p>
    <w:p w:rsidR="0047183D" w:rsidRPr="006B176C" w:rsidRDefault="0047183D" w:rsidP="0047183D">
      <w:pPr>
        <w:pStyle w:val="NoSpacing"/>
        <w:jc w:val="both"/>
        <w:rPr>
          <w:rFonts w:ascii="Times New Roman" w:hAnsi="Times New Roman" w:cs="Times New Roman"/>
          <w:sz w:val="24"/>
          <w:szCs w:val="24"/>
        </w:rPr>
      </w:pPr>
      <w:r w:rsidRPr="006B176C">
        <w:rPr>
          <w:rFonts w:ascii="Times New Roman" w:hAnsi="Times New Roman" w:cs="Times New Roman"/>
          <w:sz w:val="24"/>
          <w:szCs w:val="24"/>
        </w:rPr>
        <w:t>Vice President, Regulation</w:t>
      </w:r>
    </w:p>
    <w:p w:rsidR="00FE257F" w:rsidRPr="006B176C" w:rsidRDefault="00FE257F" w:rsidP="00664B79">
      <w:pPr>
        <w:pStyle w:val="NoSpacing"/>
        <w:jc w:val="both"/>
        <w:rPr>
          <w:rFonts w:ascii="Times New Roman" w:hAnsi="Times New Roman" w:cs="Times New Roman"/>
          <w:sz w:val="24"/>
          <w:szCs w:val="24"/>
        </w:rPr>
      </w:pPr>
    </w:p>
    <w:p w:rsidR="00FE257F" w:rsidRPr="006B176C" w:rsidRDefault="004A0ADC" w:rsidP="00E8523C">
      <w:pPr>
        <w:pStyle w:val="NoSpacing"/>
        <w:jc w:val="both"/>
        <w:rPr>
          <w:rFonts w:ascii="Times New Roman" w:hAnsi="Times New Roman" w:cs="Times New Roman"/>
          <w:sz w:val="24"/>
          <w:szCs w:val="24"/>
        </w:rPr>
      </w:pPr>
      <w:r w:rsidRPr="006B176C">
        <w:rPr>
          <w:rFonts w:ascii="Times New Roman" w:hAnsi="Times New Roman" w:cs="Times New Roman"/>
          <w:sz w:val="24"/>
          <w:szCs w:val="24"/>
        </w:rPr>
        <w:t>Enclosures</w:t>
      </w:r>
    </w:p>
    <w:sectPr w:rsidR="00FE257F" w:rsidRPr="006B176C" w:rsidSect="001F4E3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D0" w:rsidRDefault="007839D0" w:rsidP="00BE6B80">
      <w:r>
        <w:separator/>
      </w:r>
    </w:p>
  </w:endnote>
  <w:endnote w:type="continuationSeparator" w:id="0">
    <w:p w:rsidR="007839D0" w:rsidRDefault="007839D0" w:rsidP="00BE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E" w:rsidRDefault="00F77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E" w:rsidRDefault="00F77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E" w:rsidRDefault="00F77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D0" w:rsidRDefault="007839D0" w:rsidP="00BE6B80">
      <w:r>
        <w:separator/>
      </w:r>
    </w:p>
  </w:footnote>
  <w:footnote w:type="continuationSeparator" w:id="0">
    <w:p w:rsidR="007839D0" w:rsidRDefault="007839D0" w:rsidP="00BE6B80">
      <w:r>
        <w:continuationSeparator/>
      </w:r>
    </w:p>
  </w:footnote>
  <w:footnote w:id="1">
    <w:p w:rsidR="00AC744C" w:rsidRDefault="00AC744C">
      <w:pPr>
        <w:pStyle w:val="FootnoteText"/>
      </w:pPr>
      <w:r>
        <w:rPr>
          <w:rStyle w:val="FootnoteReference"/>
        </w:rPr>
        <w:footnoteRef/>
      </w:r>
      <w:r>
        <w:t xml:space="preserve"> </w:t>
      </w:r>
      <w:proofErr w:type="gramStart"/>
      <w:r>
        <w:t>WAC 480-107-001(1).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E" w:rsidRDefault="00F77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4C" w:rsidRDefault="00AC744C" w:rsidP="00D4448B">
    <w:pPr>
      <w:pStyle w:val="Header"/>
    </w:pPr>
    <w:r>
      <w:t xml:space="preserve">Washington Utilities </w:t>
    </w:r>
    <w:r w:rsidR="00956392">
      <w:t>and</w:t>
    </w:r>
    <w:r>
      <w:t xml:space="preserve"> Transportation Commission</w:t>
    </w:r>
  </w:p>
  <w:p w:rsidR="00AC744C" w:rsidRPr="00E055A8" w:rsidRDefault="001F4E3C" w:rsidP="00D4448B">
    <w:pPr>
      <w:pStyle w:val="Header"/>
    </w:pPr>
    <w:r w:rsidRPr="00E055A8">
      <w:t>August</w:t>
    </w:r>
    <w:r w:rsidR="0047183D" w:rsidRPr="00E055A8">
      <w:t xml:space="preserve"> </w:t>
    </w:r>
    <w:r w:rsidR="00E055A8" w:rsidRPr="00E055A8">
      <w:t>13</w:t>
    </w:r>
    <w:r w:rsidR="0047183D" w:rsidRPr="00E055A8">
      <w:t>, 2015</w:t>
    </w:r>
  </w:p>
  <w:p w:rsidR="00AC744C" w:rsidRDefault="00AC744C" w:rsidP="00D4448B">
    <w:pPr>
      <w:pStyle w:val="Header"/>
    </w:pPr>
    <w:r>
      <w:t xml:space="preserve">Page </w:t>
    </w:r>
    <w:r>
      <w:fldChar w:fldCharType="begin"/>
    </w:r>
    <w:r>
      <w:instrText xml:space="preserve"> PAGE   \* MERGEFORMAT </w:instrText>
    </w:r>
    <w:r>
      <w:fldChar w:fldCharType="separate"/>
    </w:r>
    <w:r w:rsidR="00F7708E">
      <w:rPr>
        <w:noProof/>
      </w:rPr>
      <w:t>2</w:t>
    </w:r>
    <w:r>
      <w:rPr>
        <w:noProof/>
      </w:rPr>
      <w:fldChar w:fldCharType="end"/>
    </w:r>
  </w:p>
  <w:p w:rsidR="00AC744C" w:rsidRDefault="00AC7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E" w:rsidRDefault="00F77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C6B"/>
    <w:multiLevelType w:val="hybridMultilevel"/>
    <w:tmpl w:val="D834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A7FAC"/>
    <w:multiLevelType w:val="hybridMultilevel"/>
    <w:tmpl w:val="9C9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A1672C"/>
    <w:multiLevelType w:val="hybridMultilevel"/>
    <w:tmpl w:val="AF5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044DD"/>
    <w:multiLevelType w:val="hybridMultilevel"/>
    <w:tmpl w:val="471C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92461"/>
    <w:multiLevelType w:val="hybridMultilevel"/>
    <w:tmpl w:val="DC648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21858"/>
    <w:multiLevelType w:val="hybridMultilevel"/>
    <w:tmpl w:val="E7C4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480"/>
    <w:multiLevelType w:val="hybridMultilevel"/>
    <w:tmpl w:val="14901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E3989"/>
    <w:multiLevelType w:val="hybridMultilevel"/>
    <w:tmpl w:val="E9A84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FC7A7D"/>
    <w:multiLevelType w:val="hybridMultilevel"/>
    <w:tmpl w:val="CC14A6C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F152F7"/>
    <w:multiLevelType w:val="hybridMultilevel"/>
    <w:tmpl w:val="4484CA80"/>
    <w:lvl w:ilvl="0" w:tplc="F008FD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8136B"/>
    <w:multiLevelType w:val="hybridMultilevel"/>
    <w:tmpl w:val="37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5286E"/>
    <w:multiLevelType w:val="hybridMultilevel"/>
    <w:tmpl w:val="1BF25C3A"/>
    <w:lvl w:ilvl="0" w:tplc="8CDE8DC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14"/>
  </w:num>
  <w:num w:numId="6">
    <w:abstractNumId w:val="5"/>
  </w:num>
  <w:num w:numId="7">
    <w:abstractNumId w:val="12"/>
  </w:num>
  <w:num w:numId="8">
    <w:abstractNumId w:val="4"/>
  </w:num>
  <w:num w:numId="9">
    <w:abstractNumId w:val="0"/>
  </w:num>
  <w:num w:numId="10">
    <w:abstractNumId w:val="6"/>
  </w:num>
  <w:num w:numId="11">
    <w:abstractNumId w:val="7"/>
  </w:num>
  <w:num w:numId="12">
    <w:abstractNumId w:val="10"/>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15282"/>
    <w:rsid w:val="00015415"/>
    <w:rsid w:val="0001567F"/>
    <w:rsid w:val="00041B90"/>
    <w:rsid w:val="00046527"/>
    <w:rsid w:val="0004714D"/>
    <w:rsid w:val="00050C43"/>
    <w:rsid w:val="00052ABD"/>
    <w:rsid w:val="00053C1F"/>
    <w:rsid w:val="00057675"/>
    <w:rsid w:val="00085AC5"/>
    <w:rsid w:val="000A162B"/>
    <w:rsid w:val="000A4B2D"/>
    <w:rsid w:val="000B4832"/>
    <w:rsid w:val="000C1B66"/>
    <w:rsid w:val="000D12C2"/>
    <w:rsid w:val="000D1541"/>
    <w:rsid w:val="000E13AB"/>
    <w:rsid w:val="000E29B9"/>
    <w:rsid w:val="000E671E"/>
    <w:rsid w:val="00105800"/>
    <w:rsid w:val="00111DB4"/>
    <w:rsid w:val="00112F5C"/>
    <w:rsid w:val="00117A63"/>
    <w:rsid w:val="0012696E"/>
    <w:rsid w:val="001407C9"/>
    <w:rsid w:val="00153C53"/>
    <w:rsid w:val="00157CD5"/>
    <w:rsid w:val="0016659E"/>
    <w:rsid w:val="00166A93"/>
    <w:rsid w:val="001771DC"/>
    <w:rsid w:val="00195DD8"/>
    <w:rsid w:val="001A0CF7"/>
    <w:rsid w:val="001B1420"/>
    <w:rsid w:val="001B5D69"/>
    <w:rsid w:val="001C61C4"/>
    <w:rsid w:val="001D1BD6"/>
    <w:rsid w:val="001E2EA4"/>
    <w:rsid w:val="001E353B"/>
    <w:rsid w:val="001E4C23"/>
    <w:rsid w:val="001F0EB1"/>
    <w:rsid w:val="001F1FD1"/>
    <w:rsid w:val="001F4E3C"/>
    <w:rsid w:val="001F5D96"/>
    <w:rsid w:val="001F6408"/>
    <w:rsid w:val="002129B0"/>
    <w:rsid w:val="002221F2"/>
    <w:rsid w:val="0023186F"/>
    <w:rsid w:val="002321D0"/>
    <w:rsid w:val="0024070F"/>
    <w:rsid w:val="0024702D"/>
    <w:rsid w:val="00250A4F"/>
    <w:rsid w:val="00270DCA"/>
    <w:rsid w:val="00271ADC"/>
    <w:rsid w:val="0028317D"/>
    <w:rsid w:val="00284934"/>
    <w:rsid w:val="00284CBA"/>
    <w:rsid w:val="00287FFD"/>
    <w:rsid w:val="002941D7"/>
    <w:rsid w:val="0029683E"/>
    <w:rsid w:val="002A12A9"/>
    <w:rsid w:val="002A32BA"/>
    <w:rsid w:val="002B2B57"/>
    <w:rsid w:val="002B717A"/>
    <w:rsid w:val="002B72A2"/>
    <w:rsid w:val="002D1A1D"/>
    <w:rsid w:val="002D27F5"/>
    <w:rsid w:val="002D42B6"/>
    <w:rsid w:val="002E3321"/>
    <w:rsid w:val="00310661"/>
    <w:rsid w:val="00320458"/>
    <w:rsid w:val="0033336F"/>
    <w:rsid w:val="00337552"/>
    <w:rsid w:val="00340152"/>
    <w:rsid w:val="00341B89"/>
    <w:rsid w:val="0034493C"/>
    <w:rsid w:val="003453CD"/>
    <w:rsid w:val="0035023B"/>
    <w:rsid w:val="003607CC"/>
    <w:rsid w:val="00377E5C"/>
    <w:rsid w:val="0039069F"/>
    <w:rsid w:val="00391CBD"/>
    <w:rsid w:val="00395A13"/>
    <w:rsid w:val="003B6E12"/>
    <w:rsid w:val="003D2411"/>
    <w:rsid w:val="003E0827"/>
    <w:rsid w:val="003E0FB8"/>
    <w:rsid w:val="003E33EE"/>
    <w:rsid w:val="003E69E6"/>
    <w:rsid w:val="00400242"/>
    <w:rsid w:val="00402B3C"/>
    <w:rsid w:val="0041765A"/>
    <w:rsid w:val="00423A41"/>
    <w:rsid w:val="00424FE0"/>
    <w:rsid w:val="0045071F"/>
    <w:rsid w:val="00453B10"/>
    <w:rsid w:val="00454DDE"/>
    <w:rsid w:val="00461480"/>
    <w:rsid w:val="0047183D"/>
    <w:rsid w:val="004745A1"/>
    <w:rsid w:val="00495262"/>
    <w:rsid w:val="004A0ADC"/>
    <w:rsid w:val="004A305D"/>
    <w:rsid w:val="004B22C0"/>
    <w:rsid w:val="004B5BE5"/>
    <w:rsid w:val="004C0401"/>
    <w:rsid w:val="004C3BE6"/>
    <w:rsid w:val="004D7F0C"/>
    <w:rsid w:val="004F4400"/>
    <w:rsid w:val="004F5D7E"/>
    <w:rsid w:val="004F7050"/>
    <w:rsid w:val="00514669"/>
    <w:rsid w:val="00527DCC"/>
    <w:rsid w:val="005313A6"/>
    <w:rsid w:val="00533714"/>
    <w:rsid w:val="005346E0"/>
    <w:rsid w:val="00535D01"/>
    <w:rsid w:val="00537477"/>
    <w:rsid w:val="00537665"/>
    <w:rsid w:val="0054652C"/>
    <w:rsid w:val="00547EA5"/>
    <w:rsid w:val="00560EB2"/>
    <w:rsid w:val="005621B3"/>
    <w:rsid w:val="005663C1"/>
    <w:rsid w:val="00570C14"/>
    <w:rsid w:val="00573E51"/>
    <w:rsid w:val="00581A41"/>
    <w:rsid w:val="00584DB6"/>
    <w:rsid w:val="005863B2"/>
    <w:rsid w:val="0059066B"/>
    <w:rsid w:val="00596205"/>
    <w:rsid w:val="005D1418"/>
    <w:rsid w:val="005D1972"/>
    <w:rsid w:val="005D1F31"/>
    <w:rsid w:val="005D543E"/>
    <w:rsid w:val="005D5552"/>
    <w:rsid w:val="005E13D6"/>
    <w:rsid w:val="005F0376"/>
    <w:rsid w:val="006038CB"/>
    <w:rsid w:val="00613420"/>
    <w:rsid w:val="00633134"/>
    <w:rsid w:val="00633B67"/>
    <w:rsid w:val="00653F92"/>
    <w:rsid w:val="0066295E"/>
    <w:rsid w:val="00662A85"/>
    <w:rsid w:val="00664B79"/>
    <w:rsid w:val="00675E53"/>
    <w:rsid w:val="00676628"/>
    <w:rsid w:val="006924CC"/>
    <w:rsid w:val="006A561C"/>
    <w:rsid w:val="006A5740"/>
    <w:rsid w:val="006B0472"/>
    <w:rsid w:val="006B176C"/>
    <w:rsid w:val="006B4D61"/>
    <w:rsid w:val="006D725D"/>
    <w:rsid w:val="006E2E3A"/>
    <w:rsid w:val="006E7FC6"/>
    <w:rsid w:val="006F0606"/>
    <w:rsid w:val="00701DBF"/>
    <w:rsid w:val="00711586"/>
    <w:rsid w:val="00713D32"/>
    <w:rsid w:val="00717230"/>
    <w:rsid w:val="0072036A"/>
    <w:rsid w:val="0072319B"/>
    <w:rsid w:val="00727BE0"/>
    <w:rsid w:val="0073524E"/>
    <w:rsid w:val="00741567"/>
    <w:rsid w:val="0074661E"/>
    <w:rsid w:val="007647D8"/>
    <w:rsid w:val="00767010"/>
    <w:rsid w:val="00767B98"/>
    <w:rsid w:val="00770B8D"/>
    <w:rsid w:val="0077357D"/>
    <w:rsid w:val="00782A67"/>
    <w:rsid w:val="007839D0"/>
    <w:rsid w:val="0078571D"/>
    <w:rsid w:val="00795009"/>
    <w:rsid w:val="007A5587"/>
    <w:rsid w:val="007B24CC"/>
    <w:rsid w:val="007B6EDA"/>
    <w:rsid w:val="007C10CE"/>
    <w:rsid w:val="007E3952"/>
    <w:rsid w:val="007F1D02"/>
    <w:rsid w:val="00801F7F"/>
    <w:rsid w:val="00803F91"/>
    <w:rsid w:val="0081167A"/>
    <w:rsid w:val="008130E7"/>
    <w:rsid w:val="00813C4A"/>
    <w:rsid w:val="00815C0D"/>
    <w:rsid w:val="00815E2B"/>
    <w:rsid w:val="00816584"/>
    <w:rsid w:val="008339DF"/>
    <w:rsid w:val="00833D3E"/>
    <w:rsid w:val="00834BD2"/>
    <w:rsid w:val="008353F1"/>
    <w:rsid w:val="008440C0"/>
    <w:rsid w:val="008515E6"/>
    <w:rsid w:val="00852BEB"/>
    <w:rsid w:val="00864C5F"/>
    <w:rsid w:val="00873AA4"/>
    <w:rsid w:val="00875A5E"/>
    <w:rsid w:val="00894FF0"/>
    <w:rsid w:val="008A238C"/>
    <w:rsid w:val="008A2A9E"/>
    <w:rsid w:val="008A66ED"/>
    <w:rsid w:val="008B2318"/>
    <w:rsid w:val="008B3564"/>
    <w:rsid w:val="008B5AD6"/>
    <w:rsid w:val="008C2203"/>
    <w:rsid w:val="008C3527"/>
    <w:rsid w:val="008C4FD0"/>
    <w:rsid w:val="008C6938"/>
    <w:rsid w:val="008D3AD1"/>
    <w:rsid w:val="008D522D"/>
    <w:rsid w:val="008E1894"/>
    <w:rsid w:val="008F005E"/>
    <w:rsid w:val="00901F2A"/>
    <w:rsid w:val="00912F2C"/>
    <w:rsid w:val="00920E75"/>
    <w:rsid w:val="0094661C"/>
    <w:rsid w:val="009558BA"/>
    <w:rsid w:val="00956392"/>
    <w:rsid w:val="009741A7"/>
    <w:rsid w:val="009745A8"/>
    <w:rsid w:val="00976E1E"/>
    <w:rsid w:val="00983485"/>
    <w:rsid w:val="009A2C40"/>
    <w:rsid w:val="009A2DEF"/>
    <w:rsid w:val="009A711E"/>
    <w:rsid w:val="009B16B8"/>
    <w:rsid w:val="009B282C"/>
    <w:rsid w:val="009C45C3"/>
    <w:rsid w:val="009D46E5"/>
    <w:rsid w:val="009D502F"/>
    <w:rsid w:val="009E5DC7"/>
    <w:rsid w:val="009F0331"/>
    <w:rsid w:val="00A175DD"/>
    <w:rsid w:val="00A245DC"/>
    <w:rsid w:val="00A37D43"/>
    <w:rsid w:val="00A458B3"/>
    <w:rsid w:val="00A46FE5"/>
    <w:rsid w:val="00A511F8"/>
    <w:rsid w:val="00A57E81"/>
    <w:rsid w:val="00A6029E"/>
    <w:rsid w:val="00A66A02"/>
    <w:rsid w:val="00A7234D"/>
    <w:rsid w:val="00A74B58"/>
    <w:rsid w:val="00A80EBB"/>
    <w:rsid w:val="00A856EB"/>
    <w:rsid w:val="00A90B12"/>
    <w:rsid w:val="00A94674"/>
    <w:rsid w:val="00A96221"/>
    <w:rsid w:val="00A9716C"/>
    <w:rsid w:val="00AA236B"/>
    <w:rsid w:val="00AA3B6D"/>
    <w:rsid w:val="00AB0713"/>
    <w:rsid w:val="00AC744C"/>
    <w:rsid w:val="00AD033E"/>
    <w:rsid w:val="00AD6C0A"/>
    <w:rsid w:val="00AF45C9"/>
    <w:rsid w:val="00AF46F7"/>
    <w:rsid w:val="00B0301B"/>
    <w:rsid w:val="00B11924"/>
    <w:rsid w:val="00B2397E"/>
    <w:rsid w:val="00B3190D"/>
    <w:rsid w:val="00B47C7C"/>
    <w:rsid w:val="00B579B5"/>
    <w:rsid w:val="00B607ED"/>
    <w:rsid w:val="00B634FE"/>
    <w:rsid w:val="00B66729"/>
    <w:rsid w:val="00B863AB"/>
    <w:rsid w:val="00B87AA3"/>
    <w:rsid w:val="00B91C5C"/>
    <w:rsid w:val="00B9470E"/>
    <w:rsid w:val="00BB636E"/>
    <w:rsid w:val="00BC48FC"/>
    <w:rsid w:val="00BD1E7A"/>
    <w:rsid w:val="00BD47D8"/>
    <w:rsid w:val="00BD5DCC"/>
    <w:rsid w:val="00BE6B80"/>
    <w:rsid w:val="00C0629D"/>
    <w:rsid w:val="00C118B5"/>
    <w:rsid w:val="00C1725B"/>
    <w:rsid w:val="00C2092F"/>
    <w:rsid w:val="00C3423A"/>
    <w:rsid w:val="00C46701"/>
    <w:rsid w:val="00C564B2"/>
    <w:rsid w:val="00C5689E"/>
    <w:rsid w:val="00C57307"/>
    <w:rsid w:val="00C60CA4"/>
    <w:rsid w:val="00C80B5D"/>
    <w:rsid w:val="00C839BD"/>
    <w:rsid w:val="00C93BDA"/>
    <w:rsid w:val="00C957E4"/>
    <w:rsid w:val="00CA6E20"/>
    <w:rsid w:val="00CB155B"/>
    <w:rsid w:val="00CC02C7"/>
    <w:rsid w:val="00CC1023"/>
    <w:rsid w:val="00CC7597"/>
    <w:rsid w:val="00CD457D"/>
    <w:rsid w:val="00CE0DCB"/>
    <w:rsid w:val="00CE15DE"/>
    <w:rsid w:val="00CE77CC"/>
    <w:rsid w:val="00CF32B8"/>
    <w:rsid w:val="00CF6556"/>
    <w:rsid w:val="00CF6EE9"/>
    <w:rsid w:val="00D0041C"/>
    <w:rsid w:val="00D12DDB"/>
    <w:rsid w:val="00D2557A"/>
    <w:rsid w:val="00D35EE2"/>
    <w:rsid w:val="00D4448B"/>
    <w:rsid w:val="00D73675"/>
    <w:rsid w:val="00D819E9"/>
    <w:rsid w:val="00D8664E"/>
    <w:rsid w:val="00D92EA6"/>
    <w:rsid w:val="00DA1FEC"/>
    <w:rsid w:val="00DB1233"/>
    <w:rsid w:val="00DB4492"/>
    <w:rsid w:val="00DB5443"/>
    <w:rsid w:val="00DB58FA"/>
    <w:rsid w:val="00DB5DFC"/>
    <w:rsid w:val="00DC3667"/>
    <w:rsid w:val="00DD20CE"/>
    <w:rsid w:val="00DF35F3"/>
    <w:rsid w:val="00DF67AA"/>
    <w:rsid w:val="00E03EEC"/>
    <w:rsid w:val="00E055A8"/>
    <w:rsid w:val="00E24FF9"/>
    <w:rsid w:val="00E26253"/>
    <w:rsid w:val="00E3294C"/>
    <w:rsid w:val="00E6262D"/>
    <w:rsid w:val="00E643E8"/>
    <w:rsid w:val="00E70127"/>
    <w:rsid w:val="00E71B29"/>
    <w:rsid w:val="00E76858"/>
    <w:rsid w:val="00E773E4"/>
    <w:rsid w:val="00E809D0"/>
    <w:rsid w:val="00E8523C"/>
    <w:rsid w:val="00E858BA"/>
    <w:rsid w:val="00E96671"/>
    <w:rsid w:val="00EB47DF"/>
    <w:rsid w:val="00EB6039"/>
    <w:rsid w:val="00EC5F07"/>
    <w:rsid w:val="00EE242B"/>
    <w:rsid w:val="00EF3CAF"/>
    <w:rsid w:val="00EF7A3D"/>
    <w:rsid w:val="00F067B2"/>
    <w:rsid w:val="00F1226F"/>
    <w:rsid w:val="00F14AC5"/>
    <w:rsid w:val="00F150D4"/>
    <w:rsid w:val="00F34C85"/>
    <w:rsid w:val="00F36FDD"/>
    <w:rsid w:val="00F40293"/>
    <w:rsid w:val="00F57120"/>
    <w:rsid w:val="00F62D07"/>
    <w:rsid w:val="00F736C1"/>
    <w:rsid w:val="00F7708E"/>
    <w:rsid w:val="00F82ADF"/>
    <w:rsid w:val="00F87B3A"/>
    <w:rsid w:val="00F9489E"/>
    <w:rsid w:val="00FB6A67"/>
    <w:rsid w:val="00FB7CCF"/>
    <w:rsid w:val="00FD1478"/>
    <w:rsid w:val="00FD3CE3"/>
    <w:rsid w:val="00FD5B42"/>
    <w:rsid w:val="00FD761D"/>
    <w:rsid w:val="00FE257F"/>
    <w:rsid w:val="00FF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uiPriority w:val="59"/>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uiPriority w:val="59"/>
    <w:rsid w:val="007C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uiPriority w:val="99"/>
    <w:rsid w:val="00E3294C"/>
    <w:pPr>
      <w:spacing w:before="100" w:after="100"/>
    </w:pPr>
    <w:rPr>
      <w:rFonts w:ascii="Times New Roman" w:eastAsia="Calibri" w:hAnsi="Times New Roman"/>
      <w:szCs w:val="24"/>
    </w:rPr>
  </w:style>
  <w:style w:type="paragraph" w:styleId="BodyText2">
    <w:name w:val="Body Text 2"/>
    <w:basedOn w:val="Normal"/>
    <w:link w:val="BodyText2Char"/>
    <w:uiPriority w:val="99"/>
    <w:semiHidden/>
    <w:unhideWhenUsed/>
    <w:rsid w:val="0054652C"/>
    <w:pPr>
      <w:spacing w:after="120" w:line="480" w:lineRule="auto"/>
    </w:pPr>
  </w:style>
  <w:style w:type="character" w:customStyle="1" w:styleId="BodyText2Char">
    <w:name w:val="Body Text 2 Char"/>
    <w:basedOn w:val="DefaultParagraphFont"/>
    <w:link w:val="BodyText2"/>
    <w:uiPriority w:val="99"/>
    <w:semiHidden/>
    <w:rsid w:val="0054652C"/>
    <w:rPr>
      <w:sz w:val="24"/>
      <w:lang w:eastAsia="en-US"/>
    </w:rPr>
  </w:style>
  <w:style w:type="paragraph" w:styleId="PlainText">
    <w:name w:val="Plain Text"/>
    <w:basedOn w:val="Normal"/>
    <w:link w:val="PlainTextChar"/>
    <w:uiPriority w:val="99"/>
    <w:unhideWhenUsed/>
    <w:rsid w:val="00CE0DCB"/>
    <w:rPr>
      <w:rFonts w:ascii="Times New Roman" w:eastAsiaTheme="minorHAnsi" w:hAnsi="Times New Roman"/>
      <w:szCs w:val="24"/>
    </w:rPr>
  </w:style>
  <w:style w:type="character" w:customStyle="1" w:styleId="PlainTextChar">
    <w:name w:val="Plain Text Char"/>
    <w:basedOn w:val="DefaultParagraphFont"/>
    <w:link w:val="PlainText"/>
    <w:uiPriority w:val="99"/>
    <w:rsid w:val="00CE0DCB"/>
    <w:rPr>
      <w:rFonts w:ascii="Times New Roman" w:eastAsiaTheme="minorHAnsi" w:hAnsi="Times New Roman"/>
      <w:sz w:val="24"/>
      <w:szCs w:val="24"/>
      <w:lang w:eastAsia="en-US"/>
    </w:rPr>
  </w:style>
  <w:style w:type="paragraph" w:styleId="FootnoteText">
    <w:name w:val="footnote text"/>
    <w:basedOn w:val="Normal"/>
    <w:link w:val="FootnoteTextChar"/>
    <w:uiPriority w:val="99"/>
    <w:semiHidden/>
    <w:unhideWhenUsed/>
    <w:rsid w:val="00E858BA"/>
    <w:rPr>
      <w:sz w:val="20"/>
    </w:rPr>
  </w:style>
  <w:style w:type="character" w:customStyle="1" w:styleId="FootnoteTextChar">
    <w:name w:val="Footnote Text Char"/>
    <w:basedOn w:val="DefaultParagraphFont"/>
    <w:link w:val="FootnoteText"/>
    <w:uiPriority w:val="99"/>
    <w:semiHidden/>
    <w:rsid w:val="00E858BA"/>
    <w:rPr>
      <w:lang w:eastAsia="en-US"/>
    </w:rPr>
  </w:style>
  <w:style w:type="character" w:styleId="FootnoteReference">
    <w:name w:val="footnote reference"/>
    <w:basedOn w:val="DefaultParagraphFont"/>
    <w:uiPriority w:val="99"/>
    <w:semiHidden/>
    <w:unhideWhenUsed/>
    <w:rsid w:val="00E858BA"/>
    <w:rPr>
      <w:vertAlign w:val="superscript"/>
    </w:rPr>
  </w:style>
  <w:style w:type="character" w:styleId="FollowedHyperlink">
    <w:name w:val="FollowedHyperlink"/>
    <w:basedOn w:val="DefaultParagraphFont"/>
    <w:uiPriority w:val="99"/>
    <w:semiHidden/>
    <w:unhideWhenUsed/>
    <w:rsid w:val="008C4FD0"/>
    <w:rPr>
      <w:color w:val="800080" w:themeColor="followedHyperlink"/>
      <w:u w:val="single"/>
    </w:rPr>
  </w:style>
  <w:style w:type="character" w:styleId="Emphasis">
    <w:name w:val="Emphasis"/>
    <w:basedOn w:val="DefaultParagraphFont"/>
    <w:uiPriority w:val="20"/>
    <w:qFormat/>
    <w:rsid w:val="008F005E"/>
    <w:rPr>
      <w:i/>
      <w:iCs/>
    </w:rPr>
  </w:style>
  <w:style w:type="paragraph" w:customStyle="1" w:styleId="TableHeading">
    <w:name w:val="Table Heading"/>
    <w:basedOn w:val="Normal"/>
    <w:qFormat/>
    <w:rsid w:val="00402B3C"/>
    <w:pPr>
      <w:keepNext/>
      <w:spacing w:after="60"/>
      <w:jc w:val="both"/>
    </w:pPr>
    <w:rPr>
      <w:rFonts w:ascii="Times New Roman" w:eastAsiaTheme="minorHAnsi" w:hAnsi="Times New Roman"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31446074">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 w:id="933396201">
      <w:bodyDiv w:val="1"/>
      <w:marLeft w:val="0"/>
      <w:marRight w:val="0"/>
      <w:marTop w:val="0"/>
      <w:marBottom w:val="0"/>
      <w:divBdr>
        <w:top w:val="none" w:sz="0" w:space="0" w:color="auto"/>
        <w:left w:val="none" w:sz="0" w:space="0" w:color="auto"/>
        <w:bottom w:val="none" w:sz="0" w:space="0" w:color="auto"/>
        <w:right w:val="none" w:sz="0" w:space="0" w:color="auto"/>
      </w:divBdr>
    </w:div>
    <w:div w:id="1171407718">
      <w:bodyDiv w:val="1"/>
      <w:marLeft w:val="0"/>
      <w:marRight w:val="0"/>
      <w:marTop w:val="0"/>
      <w:marBottom w:val="0"/>
      <w:divBdr>
        <w:top w:val="none" w:sz="0" w:space="0" w:color="auto"/>
        <w:left w:val="none" w:sz="0" w:space="0" w:color="auto"/>
        <w:bottom w:val="none" w:sz="0" w:space="0" w:color="auto"/>
        <w:right w:val="none" w:sz="0" w:space="0" w:color="auto"/>
      </w:divBdr>
    </w:div>
    <w:div w:id="1615018400">
      <w:bodyDiv w:val="1"/>
      <w:marLeft w:val="0"/>
      <w:marRight w:val="0"/>
      <w:marTop w:val="0"/>
      <w:marBottom w:val="0"/>
      <w:divBdr>
        <w:top w:val="none" w:sz="0" w:space="0" w:color="auto"/>
        <w:left w:val="none" w:sz="0" w:space="0" w:color="auto"/>
        <w:bottom w:val="none" w:sz="0" w:space="0" w:color="auto"/>
        <w:right w:val="none" w:sz="0" w:space="0" w:color="auto"/>
      </w:divBdr>
    </w:div>
    <w:div w:id="1665205110">
      <w:bodyDiv w:val="1"/>
      <w:marLeft w:val="0"/>
      <w:marRight w:val="0"/>
      <w:marTop w:val="0"/>
      <w:marBottom w:val="0"/>
      <w:divBdr>
        <w:top w:val="none" w:sz="0" w:space="0" w:color="auto"/>
        <w:left w:val="none" w:sz="0" w:space="0" w:color="auto"/>
        <w:bottom w:val="none" w:sz="0" w:space="0" w:color="auto"/>
        <w:right w:val="none" w:sz="0" w:space="0" w:color="auto"/>
      </w:divBdr>
    </w:div>
    <w:div w:id="1751004688">
      <w:bodyDiv w:val="1"/>
      <w:marLeft w:val="0"/>
      <w:marRight w:val="0"/>
      <w:marTop w:val="0"/>
      <w:marBottom w:val="0"/>
      <w:divBdr>
        <w:top w:val="none" w:sz="0" w:space="0" w:color="auto"/>
        <w:left w:val="none" w:sz="0" w:space="0" w:color="auto"/>
        <w:bottom w:val="none" w:sz="0" w:space="0" w:color="auto"/>
        <w:right w:val="none" w:sz="0" w:space="0" w:color="auto"/>
      </w:divBdr>
    </w:div>
    <w:div w:id="1931111184">
      <w:bodyDiv w:val="1"/>
      <w:marLeft w:val="0"/>
      <w:marRight w:val="0"/>
      <w:marTop w:val="0"/>
      <w:marBottom w:val="0"/>
      <w:divBdr>
        <w:top w:val="none" w:sz="0" w:space="0" w:color="auto"/>
        <w:left w:val="none" w:sz="0" w:space="0" w:color="auto"/>
        <w:bottom w:val="none" w:sz="0" w:space="0" w:color="auto"/>
        <w:right w:val="none" w:sz="0" w:space="0" w:color="auto"/>
      </w:divBdr>
    </w:div>
    <w:div w:id="2026129277">
      <w:bodyDiv w:val="1"/>
      <w:marLeft w:val="0"/>
      <w:marRight w:val="0"/>
      <w:marTop w:val="0"/>
      <w:marBottom w:val="0"/>
      <w:divBdr>
        <w:top w:val="none" w:sz="0" w:space="0" w:color="auto"/>
        <w:left w:val="none" w:sz="0" w:space="0" w:color="auto"/>
        <w:bottom w:val="none" w:sz="0" w:space="0" w:color="auto"/>
        <w:right w:val="none" w:sz="0" w:space="0" w:color="auto"/>
      </w:divBdr>
      <w:divsChild>
        <w:div w:id="1755125167">
          <w:marLeft w:val="0"/>
          <w:marRight w:val="0"/>
          <w:marTop w:val="0"/>
          <w:marBottom w:val="0"/>
          <w:divBdr>
            <w:top w:val="none" w:sz="0" w:space="0" w:color="auto"/>
            <w:left w:val="none" w:sz="0" w:space="0" w:color="auto"/>
            <w:bottom w:val="none" w:sz="0" w:space="0" w:color="auto"/>
            <w:right w:val="none" w:sz="0" w:space="0" w:color="auto"/>
          </w:divBdr>
          <w:divsChild>
            <w:div w:id="248346021">
              <w:marLeft w:val="0"/>
              <w:marRight w:val="0"/>
              <w:marTop w:val="0"/>
              <w:marBottom w:val="0"/>
              <w:divBdr>
                <w:top w:val="none" w:sz="0" w:space="0" w:color="auto"/>
                <w:left w:val="none" w:sz="0" w:space="0" w:color="auto"/>
                <w:bottom w:val="none" w:sz="0" w:space="0" w:color="auto"/>
                <w:right w:val="none" w:sz="0" w:space="0" w:color="auto"/>
              </w:divBdr>
              <w:divsChild>
                <w:div w:id="1288124373">
                  <w:marLeft w:val="0"/>
                  <w:marRight w:val="0"/>
                  <w:marTop w:val="0"/>
                  <w:marBottom w:val="0"/>
                  <w:divBdr>
                    <w:top w:val="none" w:sz="0" w:space="0" w:color="auto"/>
                    <w:left w:val="none" w:sz="0" w:space="0" w:color="auto"/>
                    <w:bottom w:val="none" w:sz="0" w:space="0" w:color="auto"/>
                    <w:right w:val="none" w:sz="0" w:space="0" w:color="auto"/>
                  </w:divBdr>
                  <w:divsChild>
                    <w:div w:id="9651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2015-08-14T07:00:00+00:00</OpenedDate>
    <Date1 xmlns="dc463f71-b30c-4ab2-9473-d307f9d35888">2015-08-14T07:00:00+00:00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151694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A473924D765E41B8CF71BDB5D8510B" ma:contentTypeVersion="119" ma:contentTypeDescription="" ma:contentTypeScope="" ma:versionID="f0fbfbe80f63190b7de0fdd30791f6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A851C-0512-4EDB-8690-20B000BA3A31}"/>
</file>

<file path=customXml/itemProps2.xml><?xml version="1.0" encoding="utf-8"?>
<ds:datastoreItem xmlns:ds="http://schemas.openxmlformats.org/officeDocument/2006/customXml" ds:itemID="{35949012-840D-4CCA-8DF6-9C3CDBDFDA46}"/>
</file>

<file path=customXml/itemProps3.xml><?xml version="1.0" encoding="utf-8"?>
<ds:datastoreItem xmlns:ds="http://schemas.openxmlformats.org/officeDocument/2006/customXml" ds:itemID="{5B0FFD29-E01A-4219-B591-7D7025B73E3B}"/>
</file>

<file path=customXml/itemProps4.xml><?xml version="1.0" encoding="utf-8"?>
<ds:datastoreItem xmlns:ds="http://schemas.openxmlformats.org/officeDocument/2006/customXml" ds:itemID="{2B4E16CF-24D2-4A88-8C4F-CC66B4E1E316}"/>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4095</Characters>
  <Application>Microsoft Office Word</Application>
  <DocSecurity>0</DocSecurity>
  <Lines>34</Lines>
  <Paragraphs>9</Paragraphs>
  <ScaleCrop>false</ScaleCrop>
  <Company/>
  <LinksUpToDate>false</LinksUpToDate>
  <CharactersWithSpaces>4803</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2015-08-13T20:32:00Z</dcterms:created>
  <dcterms:modified xsi:type="dcterms:W3CDTF">2015-08-13T20:32:00Z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0x0101006E56B4D1795A2E4DB2F0B01679ED314A009EA473924D765E41B8CF71BDB5D8510B</vt:lpwstr>
  </property>
  <property fmtid="{D5CDD505-2E9C-101B-9397-08002B2CF9AE}" pid="4" name="_docset_NoMedatataSyncRequired">
    <vt:lpwstr>False</vt:lpwstr>
  </property>
</Properties>
</file>