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47904529"/>
        <w:docPartObj>
          <w:docPartGallery w:val="Cover Pages"/>
          <w:docPartUnique/>
        </w:docPartObj>
      </w:sdtPr>
      <w:sdtEndPr>
        <w:rPr>
          <w:rFonts w:ascii="Times New Roman" w:hAnsi="Times New Roman" w:cs="Times New Roman"/>
          <w:sz w:val="24"/>
          <w:szCs w:val="24"/>
        </w:rPr>
      </w:sdtEndPr>
      <w:sdtContent>
        <w:p w14:paraId="1550D550" w14:textId="77777777" w:rsidR="004F19FE" w:rsidRDefault="004F19FE"/>
        <w:tbl>
          <w:tblPr>
            <w:tblpPr w:leftFromText="187" w:rightFromText="187" w:horzAnchor="margin" w:tblpXSpec="center" w:tblpY="2881"/>
            <w:tblW w:w="3742" w:type="pct"/>
            <w:tblBorders>
              <w:left w:val="single" w:sz="12" w:space="0" w:color="4F81BD" w:themeColor="accent1"/>
            </w:tblBorders>
            <w:tblCellMar>
              <w:left w:w="144" w:type="dxa"/>
              <w:right w:w="115" w:type="dxa"/>
            </w:tblCellMar>
            <w:tblLook w:val="04A0" w:firstRow="1" w:lastRow="0" w:firstColumn="1" w:lastColumn="0" w:noHBand="0" w:noVBand="1"/>
          </w:tblPr>
          <w:tblGrid>
            <w:gridCol w:w="6994"/>
          </w:tblGrid>
          <w:tr w:rsidR="004F19FE" w14:paraId="1550D552" w14:textId="77777777" w:rsidTr="000A7B2A">
            <w:trPr>
              <w:trHeight w:val="300"/>
            </w:trPr>
            <w:sdt>
              <w:sdtPr>
                <w:rPr>
                  <w:color w:val="365F91" w:themeColor="accent1" w:themeShade="BF"/>
                  <w:sz w:val="24"/>
                  <w:szCs w:val="24"/>
                </w:rPr>
                <w:alias w:val="Company"/>
                <w:id w:val="13406915"/>
                <w:placeholder>
                  <w:docPart w:val="B5515708CAFC4EC7B00A4356CFA44A8F"/>
                </w:placeholder>
                <w:dataBinding w:prefixMappings="xmlns:ns0='http://schemas.openxmlformats.org/officeDocument/2006/extended-properties'" w:xpath="/ns0:Properties[1]/ns0:Company[1]" w:storeItemID="{6668398D-A668-4E3E-A5EB-62B293D839F1}"/>
                <w:text/>
              </w:sdtPr>
              <w:sdtEndPr/>
              <w:sdtContent>
                <w:tc>
                  <w:tcPr>
                    <w:tcW w:w="7177" w:type="dxa"/>
                    <w:tcMar>
                      <w:top w:w="216" w:type="dxa"/>
                      <w:left w:w="115" w:type="dxa"/>
                      <w:bottom w:w="216" w:type="dxa"/>
                      <w:right w:w="115" w:type="dxa"/>
                    </w:tcMar>
                  </w:tcPr>
                  <w:p w14:paraId="1550D551" w14:textId="77777777" w:rsidR="004F19FE" w:rsidRDefault="004F19FE">
                    <w:pPr>
                      <w:pStyle w:val="NoSpacing"/>
                      <w:rPr>
                        <w:color w:val="365F91" w:themeColor="accent1" w:themeShade="BF"/>
                        <w:sz w:val="24"/>
                      </w:rPr>
                    </w:pPr>
                    <w:r>
                      <w:rPr>
                        <w:color w:val="365F91" w:themeColor="accent1" w:themeShade="BF"/>
                        <w:sz w:val="24"/>
                        <w:szCs w:val="24"/>
                      </w:rPr>
                      <w:t>Washington Utilities and Transportation Commission Staff</w:t>
                    </w:r>
                  </w:p>
                </w:tc>
              </w:sdtContent>
            </w:sdt>
          </w:tr>
          <w:tr w:rsidR="004F19FE" w14:paraId="1550D554" w14:textId="77777777" w:rsidTr="000A7B2A">
            <w:trPr>
              <w:trHeight w:val="930"/>
            </w:trPr>
            <w:tc>
              <w:tcPr>
                <w:tcW w:w="7177" w:type="dxa"/>
              </w:tcPr>
              <w:sdt>
                <w:sdtPr>
                  <w:rPr>
                    <w:rFonts w:asciiTheme="majorHAnsi" w:eastAsiaTheme="majorEastAsia" w:hAnsiTheme="majorHAnsi" w:cstheme="majorBidi"/>
                    <w:color w:val="4F81BD" w:themeColor="accent1"/>
                    <w:sz w:val="88"/>
                    <w:szCs w:val="88"/>
                  </w:rPr>
                  <w:alias w:val="Title"/>
                  <w:id w:val="13406919"/>
                  <w:placeholder>
                    <w:docPart w:val="F30BC50CEBEB41CFA9BF3FDA72F6D41A"/>
                  </w:placeholder>
                  <w:dataBinding w:prefixMappings="xmlns:ns0='http://schemas.openxmlformats.org/package/2006/metadata/core-properties' xmlns:ns1='http://purl.org/dc/elements/1.1/'" w:xpath="/ns0:coreProperties[1]/ns1:title[1]" w:storeItemID="{6C3C8BC8-F283-45AE-878A-BAB7291924A1}"/>
                  <w:text/>
                </w:sdtPr>
                <w:sdtEndPr/>
                <w:sdtContent>
                  <w:p w14:paraId="1550D553" w14:textId="4E173302" w:rsidR="004F19FE" w:rsidRDefault="00F031C2" w:rsidP="00F031C2">
                    <w:pPr>
                      <w:pStyle w:val="NoSpacing"/>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Modeling Energy Storage</w:t>
                    </w:r>
                  </w:p>
                </w:sdtContent>
              </w:sdt>
            </w:tc>
          </w:tr>
          <w:tr w:rsidR="004F19FE" w14:paraId="1550D556" w14:textId="77777777" w:rsidTr="000A7B2A">
            <w:trPr>
              <w:trHeight w:val="1290"/>
            </w:trPr>
            <w:sdt>
              <w:sdtPr>
                <w:rPr>
                  <w:color w:val="365F91" w:themeColor="accent1" w:themeShade="BF"/>
                  <w:sz w:val="52"/>
                  <w:szCs w:val="52"/>
                </w:rPr>
                <w:alias w:val="Subtitle"/>
                <w:id w:val="13406923"/>
                <w:placeholder>
                  <w:docPart w:val="4351FDEFF9A34D188EF5D5EFA289E275"/>
                </w:placeholder>
                <w:dataBinding w:prefixMappings="xmlns:ns0='http://schemas.openxmlformats.org/package/2006/metadata/core-properties' xmlns:ns1='http://purl.org/dc/elements/1.1/'" w:xpath="/ns0:coreProperties[1]/ns1:subject[1]" w:storeItemID="{6C3C8BC8-F283-45AE-878A-BAB7291924A1}"/>
                <w:text/>
              </w:sdtPr>
              <w:sdtEndPr/>
              <w:sdtContent>
                <w:tc>
                  <w:tcPr>
                    <w:tcW w:w="7177" w:type="dxa"/>
                    <w:tcMar>
                      <w:top w:w="216" w:type="dxa"/>
                      <w:left w:w="115" w:type="dxa"/>
                      <w:bottom w:w="216" w:type="dxa"/>
                      <w:right w:w="115" w:type="dxa"/>
                    </w:tcMar>
                  </w:tcPr>
                  <w:p w14:paraId="1550D555" w14:textId="77777777" w:rsidR="004F19FE" w:rsidRPr="004F19FE" w:rsidRDefault="004F19FE" w:rsidP="004F19FE">
                    <w:pPr>
                      <w:pStyle w:val="NoSpacing"/>
                      <w:rPr>
                        <w:color w:val="365F91" w:themeColor="accent1" w:themeShade="BF"/>
                        <w:sz w:val="52"/>
                        <w:szCs w:val="52"/>
                      </w:rPr>
                    </w:pPr>
                    <w:r w:rsidRPr="004F19FE">
                      <w:rPr>
                        <w:color w:val="365F91" w:themeColor="accent1" w:themeShade="BF"/>
                        <w:sz w:val="52"/>
                        <w:szCs w:val="52"/>
                      </w:rPr>
                      <w:t>Challenges and Opportunities for Washington Utilities</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4F19FE" w14:paraId="1550D558" w14:textId="77777777" w:rsidTr="004F19FE">
            <w:tc>
              <w:tcPr>
                <w:tcW w:w="7398" w:type="dxa"/>
                <w:tcMar>
                  <w:top w:w="216" w:type="dxa"/>
                  <w:left w:w="115" w:type="dxa"/>
                  <w:bottom w:w="216" w:type="dxa"/>
                  <w:right w:w="115" w:type="dxa"/>
                </w:tcMar>
              </w:tcPr>
              <w:p w14:paraId="1550D557" w14:textId="40D915A7" w:rsidR="004F19FE" w:rsidRPr="00064C7D" w:rsidRDefault="00064C7D" w:rsidP="00064C7D">
                <w:pPr>
                  <w:pStyle w:val="NoSpacing"/>
                  <w:jc w:val="center"/>
                  <w:rPr>
                    <w:b/>
                    <w:color w:val="4F81BD" w:themeColor="accent1"/>
                  </w:rPr>
                </w:pPr>
                <w:r w:rsidRPr="00064C7D">
                  <w:rPr>
                    <w:b/>
                    <w:color w:val="4F81BD" w:themeColor="accent1"/>
                  </w:rPr>
                  <w:t>May 18, 2015</w:t>
                </w:r>
              </w:p>
            </w:tc>
          </w:tr>
        </w:tbl>
        <w:p w14:paraId="1550D559" w14:textId="77777777" w:rsidR="004F19FE" w:rsidRDefault="004F19FE">
          <w:pPr>
            <w:rPr>
              <w:rFonts w:ascii="Times New Roman" w:hAnsi="Times New Roman" w:cs="Times New Roman"/>
              <w:sz w:val="24"/>
              <w:szCs w:val="24"/>
            </w:rPr>
          </w:pPr>
        </w:p>
        <w:p w14:paraId="1550D55A" w14:textId="77777777" w:rsidR="004F19FE" w:rsidRDefault="004F19FE">
          <w:pPr>
            <w:rPr>
              <w:rFonts w:ascii="Times New Roman" w:hAnsi="Times New Roman" w:cs="Times New Roman"/>
              <w:sz w:val="24"/>
              <w:szCs w:val="24"/>
            </w:rPr>
          </w:pPr>
        </w:p>
        <w:p w14:paraId="1550D55B" w14:textId="77777777" w:rsidR="004F19FE" w:rsidRDefault="004F19FE">
          <w:pPr>
            <w:rPr>
              <w:rFonts w:ascii="Times New Roman" w:hAnsi="Times New Roman" w:cs="Times New Roman"/>
              <w:sz w:val="24"/>
              <w:szCs w:val="24"/>
            </w:rPr>
          </w:pPr>
        </w:p>
        <w:p w14:paraId="1550D55C" w14:textId="77777777" w:rsidR="004F19FE" w:rsidRDefault="004F19FE">
          <w:pPr>
            <w:rPr>
              <w:rFonts w:ascii="Times New Roman" w:hAnsi="Times New Roman" w:cs="Times New Roman"/>
              <w:sz w:val="24"/>
              <w:szCs w:val="24"/>
            </w:rPr>
          </w:pPr>
        </w:p>
        <w:p w14:paraId="1550D55D" w14:textId="77777777" w:rsidR="004F19FE" w:rsidRDefault="004F19FE">
          <w:pPr>
            <w:rPr>
              <w:rFonts w:ascii="Times New Roman" w:hAnsi="Times New Roman" w:cs="Times New Roman"/>
              <w:sz w:val="24"/>
              <w:szCs w:val="24"/>
            </w:rPr>
          </w:pPr>
        </w:p>
        <w:p w14:paraId="1550D55E" w14:textId="77777777" w:rsidR="004F19FE" w:rsidRDefault="004F19FE">
          <w:pPr>
            <w:rPr>
              <w:rFonts w:ascii="Times New Roman" w:hAnsi="Times New Roman" w:cs="Times New Roman"/>
              <w:sz w:val="24"/>
              <w:szCs w:val="24"/>
            </w:rPr>
          </w:pPr>
        </w:p>
        <w:p w14:paraId="1550D55F" w14:textId="77777777" w:rsidR="004F19FE" w:rsidRDefault="004F19FE">
          <w:pPr>
            <w:rPr>
              <w:rFonts w:ascii="Times New Roman" w:hAnsi="Times New Roman" w:cs="Times New Roman"/>
              <w:sz w:val="24"/>
              <w:szCs w:val="24"/>
            </w:rPr>
          </w:pPr>
        </w:p>
        <w:p w14:paraId="1550D560" w14:textId="77777777" w:rsidR="004F19FE" w:rsidRDefault="004F19FE">
          <w:pPr>
            <w:rPr>
              <w:rFonts w:ascii="Times New Roman" w:hAnsi="Times New Roman" w:cs="Times New Roman"/>
              <w:sz w:val="24"/>
              <w:szCs w:val="24"/>
            </w:rPr>
          </w:pPr>
        </w:p>
        <w:p w14:paraId="1550D561" w14:textId="77777777" w:rsidR="004F19FE" w:rsidRDefault="004F19FE">
          <w:pPr>
            <w:rPr>
              <w:rFonts w:ascii="Times New Roman" w:hAnsi="Times New Roman" w:cs="Times New Roman"/>
              <w:sz w:val="24"/>
              <w:szCs w:val="24"/>
            </w:rPr>
          </w:pPr>
        </w:p>
        <w:p w14:paraId="1550D562" w14:textId="77777777" w:rsidR="004F19FE" w:rsidRDefault="004F19FE">
          <w:pPr>
            <w:rPr>
              <w:rFonts w:ascii="Times New Roman" w:hAnsi="Times New Roman" w:cs="Times New Roman"/>
              <w:sz w:val="24"/>
              <w:szCs w:val="24"/>
            </w:rPr>
          </w:pPr>
        </w:p>
        <w:p w14:paraId="1550D563" w14:textId="77777777" w:rsidR="004F19FE" w:rsidRDefault="004F19FE">
          <w:pPr>
            <w:rPr>
              <w:rFonts w:ascii="Times New Roman" w:hAnsi="Times New Roman" w:cs="Times New Roman"/>
              <w:sz w:val="24"/>
              <w:szCs w:val="24"/>
            </w:rPr>
          </w:pPr>
        </w:p>
        <w:p w14:paraId="1550D564" w14:textId="77777777" w:rsidR="004F19FE" w:rsidRDefault="004F19FE">
          <w:pPr>
            <w:rPr>
              <w:rFonts w:ascii="Times New Roman" w:hAnsi="Times New Roman" w:cs="Times New Roman"/>
              <w:sz w:val="24"/>
              <w:szCs w:val="24"/>
            </w:rPr>
          </w:pPr>
        </w:p>
        <w:p w14:paraId="1550D565" w14:textId="77777777" w:rsidR="004F19FE" w:rsidRDefault="004F19FE">
          <w:pPr>
            <w:rPr>
              <w:rFonts w:ascii="Times New Roman" w:hAnsi="Times New Roman" w:cs="Times New Roman"/>
              <w:sz w:val="24"/>
              <w:szCs w:val="24"/>
            </w:rPr>
          </w:pPr>
        </w:p>
        <w:p w14:paraId="1550D566" w14:textId="77777777" w:rsidR="004F19FE" w:rsidRDefault="004F19FE">
          <w:pPr>
            <w:rPr>
              <w:rFonts w:ascii="Times New Roman" w:hAnsi="Times New Roman" w:cs="Times New Roman"/>
              <w:sz w:val="24"/>
              <w:szCs w:val="24"/>
            </w:rPr>
          </w:pPr>
        </w:p>
        <w:p w14:paraId="1550D567" w14:textId="77777777" w:rsidR="004F19FE" w:rsidRDefault="004F19FE">
          <w:pPr>
            <w:rPr>
              <w:rFonts w:ascii="Times New Roman" w:hAnsi="Times New Roman" w:cs="Times New Roman"/>
              <w:sz w:val="24"/>
              <w:szCs w:val="24"/>
            </w:rPr>
          </w:pPr>
        </w:p>
        <w:p w14:paraId="1550D568" w14:textId="77777777" w:rsidR="004F19FE" w:rsidRDefault="004F19FE">
          <w:pPr>
            <w:rPr>
              <w:rFonts w:ascii="Times New Roman" w:hAnsi="Times New Roman" w:cs="Times New Roman"/>
              <w:sz w:val="24"/>
              <w:szCs w:val="24"/>
            </w:rPr>
          </w:pPr>
        </w:p>
        <w:p w14:paraId="1550D569" w14:textId="77777777" w:rsidR="004F19FE" w:rsidRDefault="004F19FE" w:rsidP="004F19FE">
          <w:pPr>
            <w:ind w:left="144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50D5D5" wp14:editId="1550D5D6">
                <wp:extent cx="3185948"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C Logo.jpg"/>
                        <pic:cNvPicPr/>
                      </pic:nvPicPr>
                      <pic:blipFill>
                        <a:blip r:embed="rId12">
                          <a:extLst>
                            <a:ext uri="{28A0092B-C50C-407E-A947-70E740481C1C}">
                              <a14:useLocalDpi xmlns:a14="http://schemas.microsoft.com/office/drawing/2010/main" val="0"/>
                            </a:ext>
                          </a:extLst>
                        </a:blip>
                        <a:stretch>
                          <a:fillRect/>
                        </a:stretch>
                      </pic:blipFill>
                      <pic:spPr>
                        <a:xfrm>
                          <a:off x="0" y="0"/>
                          <a:ext cx="3188980" cy="1849609"/>
                        </a:xfrm>
                        <a:prstGeom prst="rect">
                          <a:avLst/>
                        </a:prstGeom>
                      </pic:spPr>
                    </pic:pic>
                  </a:graphicData>
                </a:graphic>
              </wp:inline>
            </w:drawing>
          </w:r>
        </w:p>
        <w:p w14:paraId="1550D56A" w14:textId="77777777" w:rsidR="000A7B2A" w:rsidRDefault="00374E85">
          <w:pPr>
            <w:rPr>
              <w:rFonts w:ascii="Times New Roman" w:hAnsi="Times New Roman" w:cs="Times New Roman"/>
              <w:sz w:val="24"/>
              <w:szCs w:val="24"/>
            </w:rPr>
          </w:pPr>
        </w:p>
      </w:sdtContent>
    </w:sdt>
    <w:p w14:paraId="1F7867D5" w14:textId="77777777" w:rsidR="009F7E99" w:rsidRDefault="009F7E99">
      <w:pPr>
        <w:rPr>
          <w:rFonts w:ascii="Times New Roman" w:hAnsi="Times New Roman" w:cs="Times New Roman"/>
          <w:b/>
          <w:sz w:val="24"/>
          <w:szCs w:val="24"/>
        </w:rPr>
      </w:pPr>
    </w:p>
    <w:p w14:paraId="1550D56B" w14:textId="77777777" w:rsidR="005509FC" w:rsidRPr="000A7B2A" w:rsidRDefault="003C5862">
      <w:pPr>
        <w:rPr>
          <w:rFonts w:ascii="Times New Roman" w:hAnsi="Times New Roman" w:cs="Times New Roman"/>
          <w:sz w:val="24"/>
          <w:szCs w:val="24"/>
        </w:rPr>
      </w:pPr>
      <w:r>
        <w:rPr>
          <w:rFonts w:ascii="Times New Roman" w:hAnsi="Times New Roman" w:cs="Times New Roman"/>
          <w:b/>
          <w:sz w:val="24"/>
          <w:szCs w:val="24"/>
        </w:rPr>
        <w:lastRenderedPageBreak/>
        <w:t>Issue</w:t>
      </w:r>
    </w:p>
    <w:p w14:paraId="1550D56C" w14:textId="77777777" w:rsidR="003C5862" w:rsidRDefault="003C5862">
      <w:pPr>
        <w:contextualSpacing/>
        <w:rPr>
          <w:rFonts w:ascii="Times New Roman" w:hAnsi="Times New Roman" w:cs="Times New Roman"/>
          <w:b/>
          <w:sz w:val="24"/>
          <w:szCs w:val="24"/>
        </w:rPr>
      </w:pPr>
    </w:p>
    <w:p w14:paraId="1550D56D" w14:textId="77777777" w:rsidR="0042622D" w:rsidRDefault="0042622D">
      <w:pPr>
        <w:contextualSpacing/>
        <w:rPr>
          <w:rFonts w:ascii="Times New Roman" w:hAnsi="Times New Roman" w:cs="Times New Roman"/>
          <w:sz w:val="24"/>
          <w:szCs w:val="24"/>
        </w:rPr>
      </w:pPr>
      <w:r>
        <w:rPr>
          <w:rFonts w:ascii="Times New Roman" w:hAnsi="Times New Roman" w:cs="Times New Roman"/>
          <w:sz w:val="24"/>
          <w:szCs w:val="24"/>
        </w:rPr>
        <w:t>After reviewing the 2013 integrated resource plans (IRPs) of Washington’s investor-owned utilities, the Washington Utilities and Transportation Commission (commission) directed all three utilities to improve their analysis of energy storage resource options in their 2015 IRPs. With input from staff and other stakeholders, the utilities have made good-faith efforts to follow the commission’s direction. However, as the</w:t>
      </w:r>
      <w:r w:rsidR="000A7B2A">
        <w:rPr>
          <w:rFonts w:ascii="Times New Roman" w:hAnsi="Times New Roman" w:cs="Times New Roman"/>
          <w:sz w:val="24"/>
          <w:szCs w:val="24"/>
        </w:rPr>
        <w:t xml:space="preserve"> 2015</w:t>
      </w:r>
      <w:r>
        <w:rPr>
          <w:rFonts w:ascii="Times New Roman" w:hAnsi="Times New Roman" w:cs="Times New Roman"/>
          <w:sz w:val="24"/>
          <w:szCs w:val="24"/>
        </w:rPr>
        <w:t xml:space="preserve"> planning cycle nears its end and the utilities are preparing to file their plans, it has become apparent to staff that there is a need for more structured, formalized guidance from the commission.</w:t>
      </w:r>
    </w:p>
    <w:p w14:paraId="1550D56E" w14:textId="77777777" w:rsidR="00185699" w:rsidRDefault="00185699">
      <w:pPr>
        <w:contextualSpacing/>
        <w:rPr>
          <w:rFonts w:ascii="Times New Roman" w:hAnsi="Times New Roman" w:cs="Times New Roman"/>
          <w:sz w:val="24"/>
          <w:szCs w:val="24"/>
        </w:rPr>
      </w:pPr>
    </w:p>
    <w:p w14:paraId="1550D56F" w14:textId="77777777" w:rsidR="00185699" w:rsidRDefault="00185699">
      <w:pPr>
        <w:contextualSpacing/>
        <w:rPr>
          <w:rFonts w:ascii="Times New Roman" w:hAnsi="Times New Roman" w:cs="Times New Roman"/>
          <w:sz w:val="24"/>
          <w:szCs w:val="24"/>
        </w:rPr>
      </w:pPr>
      <w:r>
        <w:rPr>
          <w:rFonts w:ascii="Times New Roman" w:hAnsi="Times New Roman" w:cs="Times New Roman"/>
          <w:sz w:val="24"/>
          <w:szCs w:val="24"/>
        </w:rPr>
        <w:t>Many of the challenges that energy storage faces in Washington, and in the Pacific Northwest in general, can be traced to the lack of an organized energy market. Absent the clear price signals that a market can set for various energy services, determining the value of the services that energy storage provides can be a challenge.</w:t>
      </w:r>
      <w:r w:rsidR="00344225">
        <w:rPr>
          <w:rFonts w:ascii="Times New Roman" w:hAnsi="Times New Roman" w:cs="Times New Roman"/>
          <w:sz w:val="24"/>
          <w:szCs w:val="24"/>
        </w:rPr>
        <w:t xml:space="preserve"> Even if that challenge is overcome, there is no transparent way for a utility to monetize the identified benefits. </w:t>
      </w:r>
    </w:p>
    <w:p w14:paraId="1550D570" w14:textId="77777777" w:rsidR="00271647" w:rsidRDefault="00271647">
      <w:pPr>
        <w:contextualSpacing/>
        <w:rPr>
          <w:rFonts w:ascii="Times New Roman" w:hAnsi="Times New Roman" w:cs="Times New Roman"/>
          <w:sz w:val="24"/>
          <w:szCs w:val="24"/>
        </w:rPr>
      </w:pPr>
    </w:p>
    <w:p w14:paraId="1550D571" w14:textId="77777777" w:rsidR="00271647" w:rsidRDefault="00271647">
      <w:pPr>
        <w:contextualSpacing/>
        <w:rPr>
          <w:rFonts w:ascii="Times New Roman" w:hAnsi="Times New Roman" w:cs="Times New Roman"/>
          <w:sz w:val="24"/>
          <w:szCs w:val="24"/>
        </w:rPr>
      </w:pPr>
      <w:r>
        <w:rPr>
          <w:rFonts w:ascii="Times New Roman" w:hAnsi="Times New Roman" w:cs="Times New Roman"/>
          <w:sz w:val="24"/>
          <w:szCs w:val="24"/>
        </w:rPr>
        <w:t>This white paper will examine current trends in energy storage development and how Washington utilities have approached the issue in their planning and procurement activities</w:t>
      </w:r>
      <w:r w:rsidR="00185699">
        <w:rPr>
          <w:rFonts w:ascii="Times New Roman" w:hAnsi="Times New Roman" w:cs="Times New Roman"/>
          <w:sz w:val="24"/>
          <w:szCs w:val="24"/>
        </w:rPr>
        <w:t>.</w:t>
      </w:r>
      <w:r w:rsidR="00157F00">
        <w:rPr>
          <w:rFonts w:ascii="Times New Roman" w:hAnsi="Times New Roman" w:cs="Times New Roman"/>
          <w:sz w:val="24"/>
          <w:szCs w:val="24"/>
        </w:rPr>
        <w:t xml:space="preserve"> It will then discuss barriers to the development of energy storage and policies in other jurisdictions that have proven successful in overcoming them. It concludes with staff’s recommendation that the commission develop a policy requiring utilities to account for the benefits of energy storage in their planning and procurement activities, and offers some preliminary suggestions of what such a policy might look like. The list is not meant to be exhaustive; staff hopes </w:t>
      </w:r>
      <w:r w:rsidR="00E337BF">
        <w:rPr>
          <w:rFonts w:ascii="Times New Roman" w:hAnsi="Times New Roman" w:cs="Times New Roman"/>
          <w:sz w:val="24"/>
          <w:szCs w:val="24"/>
        </w:rPr>
        <w:t>for</w:t>
      </w:r>
      <w:r w:rsidR="00157F00">
        <w:rPr>
          <w:rFonts w:ascii="Times New Roman" w:hAnsi="Times New Roman" w:cs="Times New Roman"/>
          <w:sz w:val="24"/>
          <w:szCs w:val="24"/>
        </w:rPr>
        <w:t xml:space="preserve"> a collaborative process involving a wide range of stakeholders that results in a policy that addresses the challenges and opportunities unique to Washington.</w:t>
      </w:r>
    </w:p>
    <w:p w14:paraId="1550D572" w14:textId="77777777" w:rsidR="003C5862" w:rsidRPr="003C5862" w:rsidRDefault="003C5862">
      <w:pPr>
        <w:contextualSpacing/>
        <w:rPr>
          <w:rFonts w:ascii="Times New Roman" w:hAnsi="Times New Roman" w:cs="Times New Roman"/>
          <w:sz w:val="24"/>
          <w:szCs w:val="24"/>
        </w:rPr>
      </w:pPr>
    </w:p>
    <w:p w14:paraId="1550D573" w14:textId="77777777" w:rsidR="009E3898" w:rsidRDefault="009E3898">
      <w:pPr>
        <w:contextualSpacing/>
        <w:rPr>
          <w:rFonts w:ascii="Times New Roman" w:hAnsi="Times New Roman" w:cs="Times New Roman"/>
          <w:b/>
          <w:sz w:val="24"/>
          <w:szCs w:val="24"/>
        </w:rPr>
      </w:pPr>
      <w:r>
        <w:rPr>
          <w:rFonts w:ascii="Times New Roman" w:hAnsi="Times New Roman" w:cs="Times New Roman"/>
          <w:b/>
          <w:sz w:val="24"/>
          <w:szCs w:val="24"/>
        </w:rPr>
        <w:t>Background</w:t>
      </w:r>
    </w:p>
    <w:p w14:paraId="1550D574" w14:textId="77777777" w:rsidR="009E3898" w:rsidRDefault="009E3898">
      <w:pPr>
        <w:contextualSpacing/>
        <w:rPr>
          <w:rFonts w:ascii="Times New Roman" w:hAnsi="Times New Roman" w:cs="Times New Roman"/>
          <w:sz w:val="24"/>
          <w:szCs w:val="24"/>
        </w:rPr>
      </w:pPr>
    </w:p>
    <w:p w14:paraId="1550D575" w14:textId="77777777" w:rsidR="007E5D1C" w:rsidRPr="007E5D1C" w:rsidRDefault="007E5D1C">
      <w:pPr>
        <w:contextualSpacing/>
        <w:rPr>
          <w:rFonts w:ascii="Times New Roman" w:hAnsi="Times New Roman" w:cs="Times New Roman"/>
          <w:i/>
          <w:sz w:val="24"/>
          <w:szCs w:val="24"/>
        </w:rPr>
      </w:pPr>
      <w:r>
        <w:rPr>
          <w:rFonts w:ascii="Times New Roman" w:hAnsi="Times New Roman" w:cs="Times New Roman"/>
          <w:i/>
          <w:sz w:val="24"/>
          <w:szCs w:val="24"/>
        </w:rPr>
        <w:t>Recent developments in energy storage</w:t>
      </w:r>
    </w:p>
    <w:p w14:paraId="1550D576" w14:textId="77777777" w:rsidR="007E5D1C" w:rsidRDefault="007E5D1C" w:rsidP="00260D7B">
      <w:pPr>
        <w:contextualSpacing/>
        <w:rPr>
          <w:rFonts w:ascii="Times New Roman" w:hAnsi="Times New Roman" w:cs="Times New Roman"/>
          <w:sz w:val="24"/>
          <w:szCs w:val="24"/>
        </w:rPr>
      </w:pPr>
    </w:p>
    <w:p w14:paraId="1550D577" w14:textId="77777777" w:rsidR="00EB0B71" w:rsidRDefault="00260D7B" w:rsidP="00260D7B">
      <w:pPr>
        <w:contextualSpacing/>
        <w:rPr>
          <w:rFonts w:ascii="Times New Roman" w:hAnsi="Times New Roman" w:cs="Times New Roman"/>
          <w:sz w:val="24"/>
          <w:szCs w:val="24"/>
        </w:rPr>
      </w:pPr>
      <w:r>
        <w:rPr>
          <w:rFonts w:ascii="Times New Roman" w:hAnsi="Times New Roman" w:cs="Times New Roman"/>
          <w:sz w:val="24"/>
          <w:szCs w:val="24"/>
        </w:rPr>
        <w:t>Seismic developments are taking place in the energy industry that increase</w:t>
      </w:r>
      <w:r w:rsidR="000A7B2A">
        <w:rPr>
          <w:rFonts w:ascii="Times New Roman" w:hAnsi="Times New Roman" w:cs="Times New Roman"/>
          <w:sz w:val="24"/>
          <w:szCs w:val="24"/>
        </w:rPr>
        <w:t xml:space="preserve"> the value proposition of</w:t>
      </w:r>
      <w:r>
        <w:rPr>
          <w:rFonts w:ascii="Times New Roman" w:hAnsi="Times New Roman" w:cs="Times New Roman"/>
          <w:sz w:val="24"/>
          <w:szCs w:val="24"/>
        </w:rPr>
        <w:t xml:space="preserve"> storage </w:t>
      </w:r>
      <w:r w:rsidR="00BD6CAB">
        <w:rPr>
          <w:rFonts w:ascii="Times New Roman" w:hAnsi="Times New Roman" w:cs="Times New Roman"/>
          <w:sz w:val="24"/>
          <w:szCs w:val="24"/>
        </w:rPr>
        <w:t>at the same time that costs are falling</w:t>
      </w:r>
      <w:r>
        <w:rPr>
          <w:rFonts w:ascii="Times New Roman" w:hAnsi="Times New Roman" w:cs="Times New Roman"/>
          <w:sz w:val="24"/>
          <w:szCs w:val="24"/>
        </w:rPr>
        <w:t>.</w:t>
      </w:r>
      <w:r w:rsidR="008530DA">
        <w:rPr>
          <w:rFonts w:ascii="Times New Roman" w:hAnsi="Times New Roman" w:cs="Times New Roman"/>
          <w:sz w:val="24"/>
          <w:szCs w:val="24"/>
        </w:rPr>
        <w:t xml:space="preserve"> Robust research in federal and private laboratories, combined with government grants and tax credits, have created a favorable environment for demonstration projects that have served to improve understanding of energy storage and drive down its costs. </w:t>
      </w:r>
      <w:r w:rsidR="00EB0B71">
        <w:rPr>
          <w:rFonts w:ascii="Times New Roman" w:hAnsi="Times New Roman" w:cs="Times New Roman"/>
          <w:sz w:val="24"/>
          <w:szCs w:val="24"/>
        </w:rPr>
        <w:t xml:space="preserve">Automotive industry investments in battery development and </w:t>
      </w:r>
      <w:bookmarkStart w:id="0" w:name="_GoBack"/>
      <w:bookmarkEnd w:id="0"/>
      <w:r w:rsidR="00EB0B71">
        <w:rPr>
          <w:rFonts w:ascii="Times New Roman" w:hAnsi="Times New Roman" w:cs="Times New Roman"/>
          <w:sz w:val="24"/>
          <w:szCs w:val="24"/>
        </w:rPr>
        <w:t>manufacturing are creating advances and cost reductions in battery storage that will create spillover benefits for grid-scale electric storage.</w:t>
      </w:r>
    </w:p>
    <w:p w14:paraId="1550D578" w14:textId="77777777" w:rsidR="00EB0B71" w:rsidRDefault="00EB0B71" w:rsidP="00260D7B">
      <w:pPr>
        <w:contextualSpacing/>
        <w:rPr>
          <w:rFonts w:ascii="Times New Roman" w:hAnsi="Times New Roman" w:cs="Times New Roman"/>
          <w:sz w:val="24"/>
          <w:szCs w:val="24"/>
        </w:rPr>
      </w:pPr>
    </w:p>
    <w:p w14:paraId="1550D579" w14:textId="77777777" w:rsidR="00E415DB" w:rsidRDefault="00EB0B71" w:rsidP="00260D7B">
      <w:pPr>
        <w:contextualSpacing/>
        <w:rPr>
          <w:rFonts w:ascii="Times New Roman" w:hAnsi="Times New Roman" w:cs="Times New Roman"/>
          <w:sz w:val="24"/>
          <w:szCs w:val="24"/>
        </w:rPr>
      </w:pPr>
      <w:r>
        <w:rPr>
          <w:rFonts w:ascii="Times New Roman" w:hAnsi="Times New Roman" w:cs="Times New Roman"/>
          <w:sz w:val="24"/>
          <w:szCs w:val="24"/>
        </w:rPr>
        <w:lastRenderedPageBreak/>
        <w:t>The standard technology for battery-based electricity storage, lithium-ion, has seen costs fall by two-thirds since 2009</w:t>
      </w:r>
      <w:r w:rsidR="00A46EDA">
        <w:rPr>
          <w:rFonts w:ascii="Times New Roman" w:hAnsi="Times New Roman" w:cs="Times New Roman"/>
          <w:sz w:val="24"/>
          <w:szCs w:val="24"/>
        </w:rPr>
        <w:t>,</w:t>
      </w:r>
      <w:r>
        <w:rPr>
          <w:rFonts w:ascii="Times New Roman" w:hAnsi="Times New Roman" w:cs="Times New Roman"/>
          <w:sz w:val="24"/>
          <w:szCs w:val="24"/>
        </w:rPr>
        <w:t xml:space="preserve"> to the range of $300/kilowatt-hour (kWh</w:t>
      </w:r>
      <w:r w:rsidR="007E5D1C">
        <w:rPr>
          <w:rFonts w:ascii="Times New Roman" w:hAnsi="Times New Roman" w:cs="Times New Roman"/>
          <w:sz w:val="24"/>
          <w:szCs w:val="24"/>
        </w:rPr>
        <w:t>)</w:t>
      </w:r>
      <w:r w:rsidR="00E415DB">
        <w:rPr>
          <w:rFonts w:ascii="Times New Roman" w:hAnsi="Times New Roman" w:cs="Times New Roman"/>
          <w:sz w:val="24"/>
          <w:szCs w:val="24"/>
        </w:rPr>
        <w:t>.</w:t>
      </w:r>
      <w:r w:rsidR="00E415DB">
        <w:rPr>
          <w:rStyle w:val="FootnoteReference"/>
          <w:rFonts w:ascii="Times New Roman" w:hAnsi="Times New Roman" w:cs="Times New Roman"/>
          <w:sz w:val="24"/>
          <w:szCs w:val="24"/>
        </w:rPr>
        <w:footnoteReference w:id="1"/>
      </w:r>
      <w:r w:rsidR="00E415DB">
        <w:rPr>
          <w:rFonts w:ascii="Times New Roman" w:hAnsi="Times New Roman" w:cs="Times New Roman"/>
          <w:sz w:val="24"/>
          <w:szCs w:val="24"/>
        </w:rPr>
        <w:t xml:space="preserve"> Driven by the automotive industry’s investments into reducing costs through large-scale manufacturing infrastructure, analysts expect that lithium-ion batteries could cost as little as $200/kWh by 2020.</w:t>
      </w:r>
      <w:r w:rsidR="00E415DB">
        <w:rPr>
          <w:rStyle w:val="FootnoteReference"/>
          <w:rFonts w:ascii="Times New Roman" w:hAnsi="Times New Roman" w:cs="Times New Roman"/>
          <w:sz w:val="24"/>
          <w:szCs w:val="24"/>
        </w:rPr>
        <w:footnoteReference w:id="2"/>
      </w:r>
      <w:r w:rsidR="00E415DB">
        <w:rPr>
          <w:rFonts w:ascii="Times New Roman" w:hAnsi="Times New Roman" w:cs="Times New Roman"/>
          <w:sz w:val="24"/>
          <w:szCs w:val="24"/>
        </w:rPr>
        <w:t xml:space="preserve"> Newer technologies that promise longer life expectancies, such as vanadium redox, could fall to the $300/kWh range in the near future as well.</w:t>
      </w:r>
      <w:r w:rsidR="00E415DB">
        <w:rPr>
          <w:rStyle w:val="FootnoteReference"/>
          <w:rFonts w:ascii="Times New Roman" w:hAnsi="Times New Roman" w:cs="Times New Roman"/>
          <w:sz w:val="24"/>
          <w:szCs w:val="24"/>
        </w:rPr>
        <w:footnoteReference w:id="3"/>
      </w:r>
      <w:r w:rsidR="00E415DB">
        <w:rPr>
          <w:rFonts w:ascii="Times New Roman" w:hAnsi="Times New Roman" w:cs="Times New Roman"/>
          <w:sz w:val="24"/>
          <w:szCs w:val="24"/>
        </w:rPr>
        <w:t xml:space="preserve"> </w:t>
      </w:r>
      <w:r w:rsidR="00FA3A62">
        <w:rPr>
          <w:rFonts w:ascii="Times New Roman" w:hAnsi="Times New Roman" w:cs="Times New Roman"/>
          <w:sz w:val="24"/>
          <w:szCs w:val="24"/>
        </w:rPr>
        <w:t>At a price of $230/kWh, batteries will be cost-competitive with traditional pumped hydro storage, but without the environmental and site restrictions that have been a limiting factor for that technology.</w:t>
      </w:r>
      <w:r w:rsidR="00FA3A62">
        <w:rPr>
          <w:rStyle w:val="FootnoteReference"/>
          <w:rFonts w:ascii="Times New Roman" w:hAnsi="Times New Roman" w:cs="Times New Roman"/>
          <w:sz w:val="24"/>
          <w:szCs w:val="24"/>
        </w:rPr>
        <w:footnoteReference w:id="4"/>
      </w:r>
    </w:p>
    <w:p w14:paraId="1550D57A" w14:textId="77777777" w:rsidR="00E415DB" w:rsidRDefault="00E415DB" w:rsidP="00260D7B">
      <w:pPr>
        <w:contextualSpacing/>
        <w:rPr>
          <w:rFonts w:ascii="Times New Roman" w:hAnsi="Times New Roman" w:cs="Times New Roman"/>
          <w:sz w:val="24"/>
          <w:szCs w:val="24"/>
        </w:rPr>
      </w:pPr>
    </w:p>
    <w:p w14:paraId="1550D57B" w14:textId="77777777" w:rsidR="008530DA" w:rsidRDefault="008530DA" w:rsidP="00260D7B">
      <w:pPr>
        <w:contextualSpacing/>
        <w:rPr>
          <w:rFonts w:ascii="Times New Roman" w:hAnsi="Times New Roman" w:cs="Times New Roman"/>
          <w:sz w:val="24"/>
          <w:szCs w:val="24"/>
        </w:rPr>
      </w:pPr>
      <w:r>
        <w:rPr>
          <w:rFonts w:ascii="Times New Roman" w:hAnsi="Times New Roman" w:cs="Times New Roman"/>
          <w:sz w:val="24"/>
          <w:szCs w:val="24"/>
        </w:rPr>
        <w:t xml:space="preserve">Staff sees significant parallels between the current state of the energy storage industry and the renewable industry in the </w:t>
      </w:r>
      <w:r w:rsidR="00344225">
        <w:rPr>
          <w:rFonts w:ascii="Times New Roman" w:hAnsi="Times New Roman" w:cs="Times New Roman"/>
          <w:sz w:val="24"/>
          <w:szCs w:val="24"/>
        </w:rPr>
        <w:t>early 2000s</w:t>
      </w:r>
      <w:r w:rsidR="000A7B2A">
        <w:rPr>
          <w:rFonts w:ascii="Times New Roman" w:hAnsi="Times New Roman" w:cs="Times New Roman"/>
          <w:sz w:val="24"/>
          <w:szCs w:val="24"/>
        </w:rPr>
        <w:t>. At that time,</w:t>
      </w:r>
      <w:r>
        <w:rPr>
          <w:rFonts w:ascii="Times New Roman" w:hAnsi="Times New Roman" w:cs="Times New Roman"/>
          <w:sz w:val="24"/>
          <w:szCs w:val="24"/>
        </w:rPr>
        <w:t xml:space="preserve"> years of tax credits and research moved </w:t>
      </w:r>
      <w:r w:rsidR="00C11DCE">
        <w:rPr>
          <w:rFonts w:ascii="Times New Roman" w:hAnsi="Times New Roman" w:cs="Times New Roman"/>
          <w:sz w:val="24"/>
          <w:szCs w:val="24"/>
        </w:rPr>
        <w:t xml:space="preserve">renewable generation </w:t>
      </w:r>
      <w:r>
        <w:rPr>
          <w:rFonts w:ascii="Times New Roman" w:hAnsi="Times New Roman" w:cs="Times New Roman"/>
          <w:sz w:val="24"/>
          <w:szCs w:val="24"/>
        </w:rPr>
        <w:t>technology to an inflecti</w:t>
      </w:r>
      <w:r w:rsidR="00BD6CAB">
        <w:rPr>
          <w:rFonts w:ascii="Times New Roman" w:hAnsi="Times New Roman" w:cs="Times New Roman"/>
          <w:sz w:val="24"/>
          <w:szCs w:val="24"/>
        </w:rPr>
        <w:t>on point that allowed states to adopt policies, such as renewable portfolio standards, that facilitated continue</w:t>
      </w:r>
      <w:r w:rsidR="007E5D1C">
        <w:rPr>
          <w:rFonts w:ascii="Times New Roman" w:hAnsi="Times New Roman" w:cs="Times New Roman"/>
          <w:sz w:val="24"/>
          <w:szCs w:val="24"/>
        </w:rPr>
        <w:t xml:space="preserve">d development and advancement. </w:t>
      </w:r>
      <w:r w:rsidR="00C11DCE">
        <w:rPr>
          <w:rFonts w:ascii="Times New Roman" w:hAnsi="Times New Roman" w:cs="Times New Roman"/>
          <w:sz w:val="24"/>
          <w:szCs w:val="24"/>
        </w:rPr>
        <w:t>The continued growth of renewable energy and an ever-increasing</w:t>
      </w:r>
      <w:r w:rsidR="007E5D1C">
        <w:rPr>
          <w:rFonts w:ascii="Times New Roman" w:hAnsi="Times New Roman" w:cs="Times New Roman"/>
          <w:sz w:val="24"/>
          <w:szCs w:val="24"/>
        </w:rPr>
        <w:t xml:space="preserve"> focus on the environmental </w:t>
      </w:r>
      <w:r w:rsidR="00C11DCE">
        <w:rPr>
          <w:rFonts w:ascii="Times New Roman" w:hAnsi="Times New Roman" w:cs="Times New Roman"/>
          <w:sz w:val="24"/>
          <w:szCs w:val="24"/>
        </w:rPr>
        <w:t>impacts of energy generation are creating</w:t>
      </w:r>
      <w:r w:rsidR="007E5D1C">
        <w:rPr>
          <w:rFonts w:ascii="Times New Roman" w:hAnsi="Times New Roman" w:cs="Times New Roman"/>
          <w:sz w:val="24"/>
          <w:szCs w:val="24"/>
        </w:rPr>
        <w:t xml:space="preserve"> a “virtuous cycle” of increased penetration and reduced costs for energy storage technologies, similar to the recent trends in the solar photovoltaics industry.</w:t>
      </w:r>
      <w:r w:rsidR="007E5D1C">
        <w:rPr>
          <w:rStyle w:val="FootnoteReference"/>
          <w:rFonts w:ascii="Times New Roman" w:hAnsi="Times New Roman" w:cs="Times New Roman"/>
          <w:sz w:val="24"/>
          <w:szCs w:val="24"/>
        </w:rPr>
        <w:footnoteReference w:id="5"/>
      </w:r>
    </w:p>
    <w:p w14:paraId="1550D57C" w14:textId="77777777" w:rsidR="008530DA" w:rsidRDefault="008530DA" w:rsidP="00260D7B">
      <w:pPr>
        <w:contextualSpacing/>
        <w:rPr>
          <w:rFonts w:ascii="Times New Roman" w:hAnsi="Times New Roman" w:cs="Times New Roman"/>
          <w:sz w:val="24"/>
          <w:szCs w:val="24"/>
        </w:rPr>
      </w:pPr>
    </w:p>
    <w:p w14:paraId="1550D57D" w14:textId="77777777" w:rsidR="00EB46EF" w:rsidRDefault="007E5D1C" w:rsidP="006717D3">
      <w:pPr>
        <w:contextualSpacing/>
        <w:rPr>
          <w:rFonts w:ascii="Times New Roman" w:hAnsi="Times New Roman" w:cs="Times New Roman"/>
          <w:sz w:val="24"/>
          <w:szCs w:val="24"/>
        </w:rPr>
      </w:pPr>
      <w:r>
        <w:rPr>
          <w:rFonts w:ascii="Times New Roman" w:hAnsi="Times New Roman" w:cs="Times New Roman"/>
          <w:sz w:val="24"/>
          <w:szCs w:val="24"/>
        </w:rPr>
        <w:t>In Washington, these macro-level trends have translated into a flurry of activity</w:t>
      </w:r>
      <w:r w:rsidR="00EB46EF">
        <w:rPr>
          <w:rFonts w:ascii="Times New Roman" w:hAnsi="Times New Roman" w:cs="Times New Roman"/>
          <w:sz w:val="24"/>
          <w:szCs w:val="24"/>
        </w:rPr>
        <w:t xml:space="preserve">. </w:t>
      </w:r>
      <w:r>
        <w:rPr>
          <w:rFonts w:ascii="Times New Roman" w:hAnsi="Times New Roman" w:cs="Times New Roman"/>
          <w:sz w:val="24"/>
          <w:szCs w:val="24"/>
        </w:rPr>
        <w:t xml:space="preserve">With significant assistance from federal and state funds, Washington utilities in the last two years have </w:t>
      </w:r>
      <w:r w:rsidR="00A5365A">
        <w:rPr>
          <w:rFonts w:ascii="Times New Roman" w:hAnsi="Times New Roman" w:cs="Times New Roman"/>
          <w:sz w:val="24"/>
          <w:szCs w:val="24"/>
        </w:rPr>
        <w:t>announced or begun de</w:t>
      </w:r>
      <w:r w:rsidR="00C11DCE">
        <w:rPr>
          <w:rFonts w:ascii="Times New Roman" w:hAnsi="Times New Roman" w:cs="Times New Roman"/>
          <w:sz w:val="24"/>
          <w:szCs w:val="24"/>
        </w:rPr>
        <w:t>velopment on seven battery</w:t>
      </w:r>
      <w:r w:rsidR="00A5365A">
        <w:rPr>
          <w:rFonts w:ascii="Times New Roman" w:hAnsi="Times New Roman" w:cs="Times New Roman"/>
          <w:sz w:val="24"/>
          <w:szCs w:val="24"/>
        </w:rPr>
        <w:t xml:space="preserve"> storage projects totaling 9.5 megawatts (MW) in capacity.</w:t>
      </w:r>
      <w:r w:rsidR="00A5365A">
        <w:rPr>
          <w:rStyle w:val="FootnoteReference"/>
          <w:rFonts w:ascii="Times New Roman" w:hAnsi="Times New Roman" w:cs="Times New Roman"/>
          <w:sz w:val="24"/>
          <w:szCs w:val="24"/>
        </w:rPr>
        <w:footnoteReference w:id="6"/>
      </w:r>
      <w:r w:rsidR="00EB46EF">
        <w:rPr>
          <w:rFonts w:ascii="Times New Roman" w:hAnsi="Times New Roman" w:cs="Times New Roman"/>
          <w:sz w:val="24"/>
          <w:szCs w:val="24"/>
        </w:rPr>
        <w:t xml:space="preserve"> These developments promise to increase those utilities’ working knowledge of energy storage and the benefits that it can provide to their respective systems.</w:t>
      </w:r>
    </w:p>
    <w:p w14:paraId="1550D57E" w14:textId="77777777" w:rsidR="00EB46EF" w:rsidRDefault="00EB46EF" w:rsidP="006717D3">
      <w:pPr>
        <w:contextualSpacing/>
        <w:rPr>
          <w:rFonts w:ascii="Times New Roman" w:hAnsi="Times New Roman" w:cs="Times New Roman"/>
          <w:sz w:val="24"/>
          <w:szCs w:val="24"/>
        </w:rPr>
      </w:pPr>
    </w:p>
    <w:p w14:paraId="1550D57F" w14:textId="77777777" w:rsidR="00B45232" w:rsidRDefault="00A5365A" w:rsidP="006717D3">
      <w:pPr>
        <w:contextualSpacing/>
        <w:rPr>
          <w:rFonts w:ascii="Times New Roman" w:hAnsi="Times New Roman" w:cs="Times New Roman"/>
          <w:sz w:val="24"/>
          <w:szCs w:val="24"/>
        </w:rPr>
      </w:pPr>
      <w:r>
        <w:rPr>
          <w:rFonts w:ascii="Times New Roman" w:hAnsi="Times New Roman" w:cs="Times New Roman"/>
          <w:sz w:val="24"/>
          <w:szCs w:val="24"/>
        </w:rPr>
        <w:t>Almost all of t</w:t>
      </w:r>
      <w:r w:rsidR="00EB46EF">
        <w:rPr>
          <w:rFonts w:ascii="Times New Roman" w:hAnsi="Times New Roman" w:cs="Times New Roman"/>
          <w:sz w:val="24"/>
          <w:szCs w:val="24"/>
        </w:rPr>
        <w:t xml:space="preserve">hese pilot projects, </w:t>
      </w:r>
      <w:r w:rsidR="00907DB3">
        <w:rPr>
          <w:rFonts w:ascii="Times New Roman" w:hAnsi="Times New Roman" w:cs="Times New Roman"/>
          <w:sz w:val="24"/>
          <w:szCs w:val="24"/>
        </w:rPr>
        <w:t xml:space="preserve">however, </w:t>
      </w:r>
      <w:r w:rsidR="00344225">
        <w:rPr>
          <w:rFonts w:ascii="Times New Roman" w:hAnsi="Times New Roman" w:cs="Times New Roman"/>
          <w:sz w:val="24"/>
          <w:szCs w:val="24"/>
        </w:rPr>
        <w:t>are</w:t>
      </w:r>
      <w:r w:rsidR="00907DB3">
        <w:rPr>
          <w:rFonts w:ascii="Times New Roman" w:hAnsi="Times New Roman" w:cs="Times New Roman"/>
          <w:sz w:val="24"/>
          <w:szCs w:val="24"/>
        </w:rPr>
        <w:t xml:space="preserve"> premised upon one-time funds</w:t>
      </w:r>
      <w:r w:rsidR="00EB46EF">
        <w:rPr>
          <w:rFonts w:ascii="Times New Roman" w:hAnsi="Times New Roman" w:cs="Times New Roman"/>
          <w:sz w:val="24"/>
          <w:szCs w:val="24"/>
        </w:rPr>
        <w:t xml:space="preserve"> from outside sources</w:t>
      </w:r>
      <w:r w:rsidR="007E5D1C">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007E5D1C">
        <w:rPr>
          <w:rFonts w:ascii="Times New Roman" w:hAnsi="Times New Roman" w:cs="Times New Roman"/>
          <w:sz w:val="24"/>
          <w:szCs w:val="24"/>
        </w:rPr>
        <w:t xml:space="preserve"> </w:t>
      </w:r>
      <w:r w:rsidR="00EB46EF">
        <w:rPr>
          <w:rFonts w:ascii="Times New Roman" w:hAnsi="Times New Roman" w:cs="Times New Roman"/>
          <w:sz w:val="24"/>
          <w:szCs w:val="24"/>
        </w:rPr>
        <w:t>Absent</w:t>
      </w:r>
      <w:r w:rsidR="00260D7B">
        <w:rPr>
          <w:rFonts w:ascii="Times New Roman" w:hAnsi="Times New Roman" w:cs="Times New Roman"/>
          <w:sz w:val="24"/>
          <w:szCs w:val="24"/>
        </w:rPr>
        <w:t xml:space="preserve"> a </w:t>
      </w:r>
      <w:r w:rsidR="00EB46EF">
        <w:rPr>
          <w:rFonts w:ascii="Times New Roman" w:hAnsi="Times New Roman" w:cs="Times New Roman"/>
          <w:sz w:val="24"/>
          <w:szCs w:val="24"/>
        </w:rPr>
        <w:t>policy to guide the utilities in their evaluation of energy storage projects</w:t>
      </w:r>
      <w:r w:rsidR="00C700EB">
        <w:rPr>
          <w:rFonts w:ascii="Times New Roman" w:hAnsi="Times New Roman" w:cs="Times New Roman"/>
          <w:sz w:val="24"/>
          <w:szCs w:val="24"/>
        </w:rPr>
        <w:t xml:space="preserve"> after the grant money is spent</w:t>
      </w:r>
      <w:r w:rsidR="00EB46EF">
        <w:rPr>
          <w:rFonts w:ascii="Times New Roman" w:hAnsi="Times New Roman" w:cs="Times New Roman"/>
          <w:sz w:val="24"/>
          <w:szCs w:val="24"/>
        </w:rPr>
        <w:t xml:space="preserve">, </w:t>
      </w:r>
      <w:r w:rsidR="00A56494">
        <w:rPr>
          <w:rFonts w:ascii="Times New Roman" w:hAnsi="Times New Roman" w:cs="Times New Roman"/>
          <w:sz w:val="24"/>
          <w:szCs w:val="24"/>
        </w:rPr>
        <w:t>there is a risk</w:t>
      </w:r>
      <w:r w:rsidR="00EB46EF">
        <w:rPr>
          <w:rFonts w:ascii="Times New Roman" w:hAnsi="Times New Roman" w:cs="Times New Roman"/>
          <w:sz w:val="24"/>
          <w:szCs w:val="24"/>
        </w:rPr>
        <w:t xml:space="preserve"> that </w:t>
      </w:r>
      <w:r w:rsidR="00907DB3">
        <w:rPr>
          <w:rFonts w:ascii="Times New Roman" w:hAnsi="Times New Roman" w:cs="Times New Roman"/>
          <w:sz w:val="24"/>
          <w:szCs w:val="24"/>
        </w:rPr>
        <w:t xml:space="preserve">the utilities will </w:t>
      </w:r>
      <w:r w:rsidR="00260D7B">
        <w:rPr>
          <w:rFonts w:ascii="Times New Roman" w:hAnsi="Times New Roman" w:cs="Times New Roman"/>
          <w:sz w:val="24"/>
          <w:szCs w:val="24"/>
        </w:rPr>
        <w:t xml:space="preserve">default to </w:t>
      </w:r>
      <w:r w:rsidR="000A7B2A">
        <w:rPr>
          <w:rFonts w:ascii="Times New Roman" w:hAnsi="Times New Roman" w:cs="Times New Roman"/>
          <w:sz w:val="24"/>
          <w:szCs w:val="24"/>
        </w:rPr>
        <w:t>current planning procedures, which</w:t>
      </w:r>
      <w:r w:rsidR="00260D7B">
        <w:rPr>
          <w:rFonts w:ascii="Times New Roman" w:hAnsi="Times New Roman" w:cs="Times New Roman"/>
          <w:sz w:val="24"/>
          <w:szCs w:val="24"/>
        </w:rPr>
        <w:t xml:space="preserve"> fail to grant energy storage an opportunity to fairly compete against other alternatives.</w:t>
      </w:r>
      <w:r w:rsidR="00A8194F">
        <w:rPr>
          <w:rFonts w:ascii="Times New Roman" w:hAnsi="Times New Roman" w:cs="Times New Roman"/>
          <w:sz w:val="24"/>
          <w:szCs w:val="24"/>
        </w:rPr>
        <w:t xml:space="preserve"> </w:t>
      </w:r>
    </w:p>
    <w:p w14:paraId="1550D580" w14:textId="77777777" w:rsidR="00A56494" w:rsidRDefault="00A56494" w:rsidP="006717D3">
      <w:pPr>
        <w:contextualSpacing/>
        <w:rPr>
          <w:rFonts w:ascii="Times New Roman" w:hAnsi="Times New Roman" w:cs="Times New Roman"/>
          <w:sz w:val="24"/>
          <w:szCs w:val="24"/>
        </w:rPr>
      </w:pPr>
    </w:p>
    <w:p w14:paraId="1550D581" w14:textId="77777777" w:rsidR="000A7B2A" w:rsidRDefault="000A7B2A" w:rsidP="006717D3">
      <w:pPr>
        <w:contextualSpacing/>
        <w:rPr>
          <w:rFonts w:ascii="Times New Roman" w:hAnsi="Times New Roman" w:cs="Times New Roman"/>
          <w:i/>
          <w:sz w:val="24"/>
          <w:szCs w:val="24"/>
        </w:rPr>
      </w:pPr>
    </w:p>
    <w:p w14:paraId="1550D582" w14:textId="77777777" w:rsidR="00A56494" w:rsidRPr="00A56494" w:rsidRDefault="00A56494" w:rsidP="006717D3">
      <w:pPr>
        <w:contextualSpacing/>
        <w:rPr>
          <w:rFonts w:ascii="Times New Roman" w:hAnsi="Times New Roman" w:cs="Times New Roman"/>
          <w:i/>
          <w:sz w:val="24"/>
          <w:szCs w:val="24"/>
        </w:rPr>
      </w:pPr>
      <w:r>
        <w:rPr>
          <w:rFonts w:ascii="Times New Roman" w:hAnsi="Times New Roman" w:cs="Times New Roman"/>
          <w:i/>
          <w:sz w:val="24"/>
          <w:szCs w:val="24"/>
        </w:rPr>
        <w:lastRenderedPageBreak/>
        <w:t>Current planning practices in Washington</w:t>
      </w:r>
    </w:p>
    <w:p w14:paraId="1550D583" w14:textId="77777777" w:rsidR="00B45232" w:rsidRDefault="00B45232" w:rsidP="006717D3">
      <w:pPr>
        <w:contextualSpacing/>
        <w:rPr>
          <w:rFonts w:ascii="Times New Roman" w:hAnsi="Times New Roman" w:cs="Times New Roman"/>
          <w:sz w:val="24"/>
          <w:szCs w:val="24"/>
        </w:rPr>
      </w:pPr>
    </w:p>
    <w:p w14:paraId="1550D584" w14:textId="77777777" w:rsidR="00A56494" w:rsidRDefault="00A56494" w:rsidP="00A56494">
      <w:pPr>
        <w:contextualSpacing/>
        <w:rPr>
          <w:rFonts w:ascii="Times New Roman" w:hAnsi="Times New Roman" w:cs="Times New Roman"/>
          <w:sz w:val="24"/>
          <w:szCs w:val="24"/>
        </w:rPr>
      </w:pPr>
      <w:r>
        <w:rPr>
          <w:rFonts w:ascii="Times New Roman" w:hAnsi="Times New Roman" w:cs="Times New Roman"/>
          <w:sz w:val="24"/>
          <w:szCs w:val="24"/>
        </w:rPr>
        <w:t>In 2013, Washington’s three investor-owned electric utilities (IOUs) each submitted an IRP to the commission for review. Generally, each utility reached the same conclusion regarding energy storage: it costs too much and its benefits can’t be qu</w:t>
      </w:r>
      <w:r w:rsidR="00C11DCE">
        <w:rPr>
          <w:rFonts w:ascii="Times New Roman" w:hAnsi="Times New Roman" w:cs="Times New Roman"/>
          <w:sz w:val="24"/>
          <w:szCs w:val="24"/>
        </w:rPr>
        <w:t xml:space="preserve">antified. Two of the utilities, </w:t>
      </w:r>
      <w:r>
        <w:rPr>
          <w:rFonts w:ascii="Times New Roman" w:hAnsi="Times New Roman" w:cs="Times New Roman"/>
          <w:sz w:val="24"/>
          <w:szCs w:val="24"/>
        </w:rPr>
        <w:t>Puget Sound Energy</w:t>
      </w:r>
      <w:r w:rsidR="00C11DCE">
        <w:rPr>
          <w:rFonts w:ascii="Times New Roman" w:hAnsi="Times New Roman" w:cs="Times New Roman"/>
          <w:sz w:val="24"/>
          <w:szCs w:val="24"/>
        </w:rPr>
        <w:t xml:space="preserve"> (PSE)</w:t>
      </w:r>
      <w:r>
        <w:rPr>
          <w:rFonts w:ascii="Times New Roman" w:hAnsi="Times New Roman" w:cs="Times New Roman"/>
          <w:sz w:val="24"/>
          <w:szCs w:val="24"/>
        </w:rPr>
        <w:t xml:space="preserve"> and Avista Corporation</w:t>
      </w:r>
      <w:r w:rsidR="00C11DCE">
        <w:rPr>
          <w:rFonts w:ascii="Times New Roman" w:hAnsi="Times New Roman" w:cs="Times New Roman"/>
          <w:sz w:val="24"/>
          <w:szCs w:val="24"/>
        </w:rPr>
        <w:t xml:space="preserve"> (Avista),</w:t>
      </w:r>
      <w:r>
        <w:rPr>
          <w:rFonts w:ascii="Times New Roman" w:hAnsi="Times New Roman" w:cs="Times New Roman"/>
          <w:sz w:val="24"/>
          <w:szCs w:val="24"/>
        </w:rPr>
        <w:t xml:space="preserve"> concluded that there was no reason to model energy storage</w:t>
      </w:r>
      <w:r w:rsidR="001F76D8">
        <w:rPr>
          <w:rFonts w:ascii="Times New Roman" w:hAnsi="Times New Roman" w:cs="Times New Roman"/>
          <w:sz w:val="24"/>
          <w:szCs w:val="24"/>
        </w:rPr>
        <w:t xml:space="preserve"> and omitted the resource from their IRPs, though Avista did commit to developing a tool for modeling energy storage in its 2015 IRP.</w:t>
      </w:r>
      <w:r w:rsidR="001F76D8">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Pacific Power &amp; Light Company </w:t>
      </w:r>
      <w:r w:rsidR="001F40E0">
        <w:rPr>
          <w:rFonts w:ascii="Times New Roman" w:hAnsi="Times New Roman" w:cs="Times New Roman"/>
          <w:sz w:val="24"/>
          <w:szCs w:val="24"/>
        </w:rPr>
        <w:t xml:space="preserve">(Pacific or PacifiCorp) </w:t>
      </w:r>
      <w:r>
        <w:rPr>
          <w:rFonts w:ascii="Times New Roman" w:hAnsi="Times New Roman" w:cs="Times New Roman"/>
          <w:sz w:val="24"/>
          <w:szCs w:val="24"/>
        </w:rPr>
        <w:t xml:space="preserve">included energy storage in its IRP, but </w:t>
      </w:r>
      <w:r w:rsidR="001F76D8">
        <w:rPr>
          <w:rFonts w:ascii="Times New Roman" w:hAnsi="Times New Roman" w:cs="Times New Roman"/>
          <w:sz w:val="24"/>
          <w:szCs w:val="24"/>
        </w:rPr>
        <w:t>with no quanti</w:t>
      </w:r>
      <w:r w:rsidR="00C700EB">
        <w:rPr>
          <w:rFonts w:ascii="Times New Roman" w:hAnsi="Times New Roman" w:cs="Times New Roman"/>
          <w:sz w:val="24"/>
          <w:szCs w:val="24"/>
        </w:rPr>
        <w:t>fied benefits to offset its relatively high capital</w:t>
      </w:r>
      <w:r w:rsidR="001F76D8">
        <w:rPr>
          <w:rFonts w:ascii="Times New Roman" w:hAnsi="Times New Roman" w:cs="Times New Roman"/>
          <w:sz w:val="24"/>
          <w:szCs w:val="24"/>
        </w:rPr>
        <w:t xml:space="preserve"> costs, the resource was not selected.</w:t>
      </w:r>
      <w:r w:rsidR="001F76D8">
        <w:rPr>
          <w:rStyle w:val="FootnoteReference"/>
          <w:rFonts w:ascii="Times New Roman" w:hAnsi="Times New Roman" w:cs="Times New Roman"/>
          <w:sz w:val="24"/>
          <w:szCs w:val="24"/>
        </w:rPr>
        <w:footnoteReference w:id="9"/>
      </w:r>
      <w:r w:rsidR="001F76D8">
        <w:rPr>
          <w:rFonts w:ascii="Times New Roman" w:hAnsi="Times New Roman" w:cs="Times New Roman"/>
          <w:sz w:val="24"/>
          <w:szCs w:val="24"/>
        </w:rPr>
        <w:t xml:space="preserve">  </w:t>
      </w:r>
    </w:p>
    <w:p w14:paraId="1550D585" w14:textId="77777777" w:rsidR="00A56494" w:rsidRDefault="00A56494" w:rsidP="00A56494">
      <w:pPr>
        <w:contextualSpacing/>
        <w:rPr>
          <w:rFonts w:ascii="Times New Roman" w:hAnsi="Times New Roman" w:cs="Times New Roman"/>
          <w:sz w:val="24"/>
          <w:szCs w:val="24"/>
        </w:rPr>
      </w:pPr>
    </w:p>
    <w:p w14:paraId="1550D586" w14:textId="77777777" w:rsidR="00A8194F" w:rsidRDefault="001F76D8" w:rsidP="00A8194F">
      <w:pPr>
        <w:contextualSpacing/>
        <w:rPr>
          <w:rFonts w:ascii="Times New Roman" w:hAnsi="Times New Roman" w:cs="Times New Roman"/>
          <w:sz w:val="24"/>
          <w:szCs w:val="24"/>
        </w:rPr>
      </w:pPr>
      <w:r>
        <w:rPr>
          <w:rFonts w:ascii="Times New Roman" w:hAnsi="Times New Roman" w:cs="Times New Roman"/>
          <w:sz w:val="24"/>
          <w:szCs w:val="24"/>
        </w:rPr>
        <w:t>In its letters acknowledging each compa</w:t>
      </w:r>
      <w:r w:rsidR="00344225">
        <w:rPr>
          <w:rFonts w:ascii="Times New Roman" w:hAnsi="Times New Roman" w:cs="Times New Roman"/>
          <w:sz w:val="24"/>
          <w:szCs w:val="24"/>
        </w:rPr>
        <w:t xml:space="preserve">ny’s IRP, the commission challenged </w:t>
      </w:r>
      <w:r>
        <w:rPr>
          <w:rFonts w:ascii="Times New Roman" w:hAnsi="Times New Roman" w:cs="Times New Roman"/>
          <w:sz w:val="24"/>
          <w:szCs w:val="24"/>
        </w:rPr>
        <w:t>the companies</w:t>
      </w:r>
      <w:r w:rsidR="00344225">
        <w:rPr>
          <w:rFonts w:ascii="Times New Roman" w:hAnsi="Times New Roman" w:cs="Times New Roman"/>
          <w:sz w:val="24"/>
          <w:szCs w:val="24"/>
        </w:rPr>
        <w:t xml:space="preserve">’ use of </w:t>
      </w:r>
      <w:r>
        <w:rPr>
          <w:rFonts w:ascii="Times New Roman" w:hAnsi="Times New Roman" w:cs="Times New Roman"/>
          <w:sz w:val="24"/>
          <w:szCs w:val="24"/>
        </w:rPr>
        <w:t xml:space="preserve">outdated information in building their assumptions around energy storage and informed each company that more would be expected of its energy storage analysis in the 2015 IRP. The commission’s letter to </w:t>
      </w:r>
      <w:r w:rsidR="00344225">
        <w:rPr>
          <w:rFonts w:ascii="Times New Roman" w:hAnsi="Times New Roman" w:cs="Times New Roman"/>
          <w:sz w:val="24"/>
          <w:szCs w:val="24"/>
        </w:rPr>
        <w:t>PSE is indicative of the general message that the commission sent to each company</w:t>
      </w:r>
      <w:r>
        <w:rPr>
          <w:rFonts w:ascii="Times New Roman" w:hAnsi="Times New Roman" w:cs="Times New Roman"/>
          <w:sz w:val="24"/>
          <w:szCs w:val="24"/>
        </w:rPr>
        <w:t>:</w:t>
      </w:r>
    </w:p>
    <w:p w14:paraId="1550D587" w14:textId="77777777" w:rsidR="001F76D8" w:rsidRDefault="001F76D8" w:rsidP="00A8194F">
      <w:pPr>
        <w:contextualSpacing/>
        <w:rPr>
          <w:rFonts w:ascii="Times New Roman" w:hAnsi="Times New Roman" w:cs="Times New Roman"/>
          <w:sz w:val="24"/>
          <w:szCs w:val="24"/>
        </w:rPr>
      </w:pPr>
    </w:p>
    <w:p w14:paraId="1550D588" w14:textId="77777777" w:rsidR="001F76D8" w:rsidRDefault="001F76D8" w:rsidP="001F76D8">
      <w:pPr>
        <w:ind w:left="720" w:right="720"/>
        <w:contextualSpacing/>
        <w:rPr>
          <w:rFonts w:ascii="Times New Roman" w:hAnsi="Times New Roman" w:cs="Times New Roman"/>
          <w:sz w:val="24"/>
          <w:szCs w:val="24"/>
        </w:rPr>
      </w:pPr>
      <w:r>
        <w:rPr>
          <w:rFonts w:ascii="Times New Roman" w:hAnsi="Times New Roman" w:cs="Times New Roman"/>
          <w:sz w:val="24"/>
          <w:szCs w:val="24"/>
        </w:rPr>
        <w:t>In its next IRP, PSE should update its energy storage analysis with recent market data, clarify its assumptions regarding expected operational conditions for storage systems, and include ancillary services in the energy storage analysis. The Commission encourages PSE to rely on a wide variety of national and state data.</w:t>
      </w:r>
      <w:r>
        <w:rPr>
          <w:rStyle w:val="FootnoteReference"/>
          <w:rFonts w:ascii="Times New Roman" w:hAnsi="Times New Roman" w:cs="Times New Roman"/>
          <w:sz w:val="24"/>
          <w:szCs w:val="24"/>
        </w:rPr>
        <w:footnoteReference w:id="10"/>
      </w:r>
    </w:p>
    <w:p w14:paraId="1550D589" w14:textId="77777777" w:rsidR="001F76D8" w:rsidRDefault="001F76D8" w:rsidP="00A8194F">
      <w:pPr>
        <w:contextualSpacing/>
        <w:rPr>
          <w:rFonts w:ascii="Times New Roman" w:hAnsi="Times New Roman" w:cs="Times New Roman"/>
          <w:sz w:val="24"/>
          <w:szCs w:val="24"/>
        </w:rPr>
      </w:pPr>
    </w:p>
    <w:p w14:paraId="1550D58A" w14:textId="77777777" w:rsidR="003B7776" w:rsidRDefault="00B45232" w:rsidP="00A8194F">
      <w:pPr>
        <w:contextualSpacing/>
        <w:rPr>
          <w:rFonts w:ascii="Times New Roman" w:hAnsi="Times New Roman" w:cs="Times New Roman"/>
          <w:sz w:val="24"/>
          <w:szCs w:val="24"/>
        </w:rPr>
      </w:pPr>
      <w:r>
        <w:rPr>
          <w:rFonts w:ascii="Times New Roman" w:hAnsi="Times New Roman" w:cs="Times New Roman"/>
          <w:sz w:val="24"/>
          <w:szCs w:val="24"/>
        </w:rPr>
        <w:t xml:space="preserve">In </w:t>
      </w:r>
      <w:r w:rsidR="003B7776">
        <w:rPr>
          <w:rFonts w:ascii="Times New Roman" w:hAnsi="Times New Roman" w:cs="Times New Roman"/>
          <w:sz w:val="24"/>
          <w:szCs w:val="24"/>
        </w:rPr>
        <w:t>preparing their</w:t>
      </w:r>
      <w:r>
        <w:rPr>
          <w:rFonts w:ascii="Times New Roman" w:hAnsi="Times New Roman" w:cs="Times New Roman"/>
          <w:sz w:val="24"/>
          <w:szCs w:val="24"/>
        </w:rPr>
        <w:t xml:space="preserve"> 2015 IRPs, the utilities have responded to the commission’s direction to varying degrees. PSE partnered with the Pacific Northwest National Laboratory to prepare a study of the potential for energy storage projects within the company’</w:t>
      </w:r>
      <w:r w:rsidR="003B7776">
        <w:rPr>
          <w:rFonts w:ascii="Times New Roman" w:hAnsi="Times New Roman" w:cs="Times New Roman"/>
          <w:sz w:val="24"/>
          <w:szCs w:val="24"/>
        </w:rPr>
        <w:t>s system, and PSE is analyzing specific sites on its system where storage may provide enough benefits to be cost-effective. PacifiCorp used the same basic approach</w:t>
      </w:r>
      <w:r w:rsidR="00C700EB">
        <w:rPr>
          <w:rFonts w:ascii="Times New Roman" w:hAnsi="Times New Roman" w:cs="Times New Roman"/>
          <w:sz w:val="24"/>
          <w:szCs w:val="24"/>
        </w:rPr>
        <w:t xml:space="preserve"> that it used in its 2013 IRP, though</w:t>
      </w:r>
      <w:r w:rsidR="003B7776">
        <w:rPr>
          <w:rFonts w:ascii="Times New Roman" w:hAnsi="Times New Roman" w:cs="Times New Roman"/>
          <w:sz w:val="24"/>
          <w:szCs w:val="24"/>
        </w:rPr>
        <w:t xml:space="preserve"> with updated cost assumptions</w:t>
      </w:r>
      <w:r w:rsidR="00C700EB">
        <w:rPr>
          <w:rFonts w:ascii="Times New Roman" w:hAnsi="Times New Roman" w:cs="Times New Roman"/>
          <w:sz w:val="24"/>
          <w:szCs w:val="24"/>
        </w:rPr>
        <w:t xml:space="preserve"> and an additional</w:t>
      </w:r>
      <w:r w:rsidR="003B7776">
        <w:rPr>
          <w:rFonts w:ascii="Times New Roman" w:hAnsi="Times New Roman" w:cs="Times New Roman"/>
          <w:sz w:val="24"/>
          <w:szCs w:val="24"/>
        </w:rPr>
        <w:t xml:space="preserve"> model run that presumed the existence of storage on the company’s system, which allowed </w:t>
      </w:r>
      <w:r w:rsidR="001F40E0">
        <w:rPr>
          <w:rFonts w:ascii="Times New Roman" w:hAnsi="Times New Roman" w:cs="Times New Roman"/>
          <w:sz w:val="24"/>
          <w:szCs w:val="24"/>
        </w:rPr>
        <w:t xml:space="preserve">Pacific </w:t>
      </w:r>
      <w:r w:rsidR="003B7776">
        <w:rPr>
          <w:rFonts w:ascii="Times New Roman" w:hAnsi="Times New Roman" w:cs="Times New Roman"/>
          <w:sz w:val="24"/>
          <w:szCs w:val="24"/>
        </w:rPr>
        <w:t>to quantify some generic benefits of storage at the system level. Avista is working on the modeling approach that it committed to develop in its 2013 IRP.</w:t>
      </w:r>
    </w:p>
    <w:p w14:paraId="1550D58B" w14:textId="77777777" w:rsidR="00A8194F" w:rsidRDefault="00A8194F" w:rsidP="00A8194F">
      <w:pPr>
        <w:contextualSpacing/>
        <w:rPr>
          <w:rFonts w:ascii="Times New Roman" w:hAnsi="Times New Roman" w:cs="Times New Roman"/>
          <w:sz w:val="24"/>
          <w:szCs w:val="24"/>
        </w:rPr>
      </w:pPr>
    </w:p>
    <w:p w14:paraId="1550D58C" w14:textId="77777777" w:rsidR="00A8194F" w:rsidRDefault="00A8194F" w:rsidP="00A8194F">
      <w:pPr>
        <w:contextualSpacing/>
        <w:rPr>
          <w:rFonts w:ascii="Times New Roman" w:hAnsi="Times New Roman" w:cs="Times New Roman"/>
          <w:sz w:val="24"/>
          <w:szCs w:val="24"/>
        </w:rPr>
      </w:pPr>
      <w:r>
        <w:rPr>
          <w:rFonts w:ascii="Times New Roman" w:hAnsi="Times New Roman" w:cs="Times New Roman"/>
          <w:sz w:val="24"/>
          <w:szCs w:val="24"/>
        </w:rPr>
        <w:t xml:space="preserve">Staff believes that </w:t>
      </w:r>
      <w:r w:rsidR="008A00DB">
        <w:rPr>
          <w:rFonts w:ascii="Times New Roman" w:hAnsi="Times New Roman" w:cs="Times New Roman"/>
          <w:sz w:val="24"/>
          <w:szCs w:val="24"/>
        </w:rPr>
        <w:t>further guidance from the commission</w:t>
      </w:r>
      <w:r>
        <w:rPr>
          <w:rFonts w:ascii="Times New Roman" w:hAnsi="Times New Roman" w:cs="Times New Roman"/>
          <w:sz w:val="24"/>
          <w:szCs w:val="24"/>
        </w:rPr>
        <w:t xml:space="preserve"> is the next natural step in this process, one that would </w:t>
      </w:r>
      <w:r w:rsidR="003B7776">
        <w:rPr>
          <w:rFonts w:ascii="Times New Roman" w:hAnsi="Times New Roman" w:cs="Times New Roman"/>
          <w:sz w:val="24"/>
          <w:szCs w:val="24"/>
        </w:rPr>
        <w:t xml:space="preserve">formalize the </w:t>
      </w:r>
      <w:r w:rsidR="00C700EB">
        <w:rPr>
          <w:rFonts w:ascii="Times New Roman" w:hAnsi="Times New Roman" w:cs="Times New Roman"/>
          <w:sz w:val="24"/>
          <w:szCs w:val="24"/>
        </w:rPr>
        <w:t>efforts</w:t>
      </w:r>
      <w:r w:rsidR="003B7776">
        <w:rPr>
          <w:rFonts w:ascii="Times New Roman" w:hAnsi="Times New Roman" w:cs="Times New Roman"/>
          <w:sz w:val="24"/>
          <w:szCs w:val="24"/>
        </w:rPr>
        <w:t xml:space="preserve"> that the companies have begun and provide consistency in their approaches. That consistency would translate into stability for</w:t>
      </w:r>
      <w:r w:rsidR="00672D34">
        <w:rPr>
          <w:rFonts w:ascii="Times New Roman" w:hAnsi="Times New Roman" w:cs="Times New Roman"/>
          <w:sz w:val="24"/>
          <w:szCs w:val="24"/>
        </w:rPr>
        <w:t xml:space="preserve"> energy storage developers and </w:t>
      </w:r>
      <w:r w:rsidR="003B7776">
        <w:rPr>
          <w:rFonts w:ascii="Times New Roman" w:hAnsi="Times New Roman" w:cs="Times New Roman"/>
          <w:sz w:val="24"/>
          <w:szCs w:val="24"/>
        </w:rPr>
        <w:t xml:space="preserve">create a more conducive environment for the energy storage industry in Washington. </w:t>
      </w:r>
    </w:p>
    <w:p w14:paraId="1550D58D" w14:textId="77777777" w:rsidR="00EB46EF" w:rsidRDefault="00267B6E" w:rsidP="006717D3">
      <w:pPr>
        <w:contextualSpacing/>
        <w:rPr>
          <w:rFonts w:ascii="Times New Roman" w:hAnsi="Times New Roman" w:cs="Times New Roman"/>
          <w:sz w:val="24"/>
          <w:szCs w:val="24"/>
        </w:rPr>
      </w:pPr>
      <w:r>
        <w:rPr>
          <w:rFonts w:ascii="Times New Roman" w:hAnsi="Times New Roman" w:cs="Times New Roman"/>
          <w:b/>
          <w:sz w:val="24"/>
          <w:szCs w:val="24"/>
        </w:rPr>
        <w:lastRenderedPageBreak/>
        <w:t>Discussion</w:t>
      </w:r>
    </w:p>
    <w:p w14:paraId="1550D58E" w14:textId="77777777" w:rsidR="00267B6E" w:rsidRDefault="00267B6E" w:rsidP="006717D3">
      <w:pPr>
        <w:contextualSpacing/>
        <w:rPr>
          <w:rFonts w:ascii="Times New Roman" w:hAnsi="Times New Roman" w:cs="Times New Roman"/>
          <w:sz w:val="24"/>
          <w:szCs w:val="24"/>
        </w:rPr>
      </w:pPr>
    </w:p>
    <w:p w14:paraId="1550D58F" w14:textId="77777777" w:rsidR="00267B6E" w:rsidRPr="00267B6E" w:rsidRDefault="00267B6E" w:rsidP="006717D3">
      <w:pPr>
        <w:contextualSpacing/>
        <w:rPr>
          <w:rFonts w:ascii="Times New Roman" w:hAnsi="Times New Roman" w:cs="Times New Roman"/>
          <w:sz w:val="24"/>
          <w:szCs w:val="24"/>
        </w:rPr>
      </w:pPr>
      <w:r>
        <w:rPr>
          <w:rFonts w:ascii="Times New Roman" w:hAnsi="Times New Roman" w:cs="Times New Roman"/>
          <w:i/>
          <w:sz w:val="24"/>
          <w:szCs w:val="24"/>
        </w:rPr>
        <w:t>The valuation challenge</w:t>
      </w:r>
    </w:p>
    <w:p w14:paraId="1550D590" w14:textId="77777777" w:rsidR="00EB46EF" w:rsidRDefault="00EB46EF" w:rsidP="006717D3">
      <w:pPr>
        <w:contextualSpacing/>
        <w:rPr>
          <w:rFonts w:ascii="Times New Roman" w:hAnsi="Times New Roman" w:cs="Times New Roman"/>
          <w:sz w:val="24"/>
          <w:szCs w:val="24"/>
        </w:rPr>
      </w:pPr>
    </w:p>
    <w:p w14:paraId="1550D591" w14:textId="77777777" w:rsidR="003F545F" w:rsidRDefault="00182543" w:rsidP="006717D3">
      <w:pPr>
        <w:contextualSpacing/>
        <w:rPr>
          <w:rFonts w:ascii="Times New Roman" w:hAnsi="Times New Roman" w:cs="Times New Roman"/>
          <w:sz w:val="24"/>
          <w:szCs w:val="24"/>
        </w:rPr>
      </w:pPr>
      <w:r>
        <w:rPr>
          <w:rFonts w:ascii="Times New Roman" w:hAnsi="Times New Roman" w:cs="Times New Roman"/>
          <w:sz w:val="24"/>
          <w:szCs w:val="24"/>
        </w:rPr>
        <w:t xml:space="preserve">Traditionally, energy storage projects have been developed on the arbitrage model – </w:t>
      </w:r>
      <w:r w:rsidR="00931C09">
        <w:rPr>
          <w:rFonts w:ascii="Times New Roman" w:hAnsi="Times New Roman" w:cs="Times New Roman"/>
          <w:sz w:val="24"/>
          <w:szCs w:val="24"/>
        </w:rPr>
        <w:t xml:space="preserve">the money made by storing </w:t>
      </w:r>
      <w:r w:rsidR="00375340">
        <w:rPr>
          <w:rFonts w:ascii="Times New Roman" w:hAnsi="Times New Roman" w:cs="Times New Roman"/>
          <w:sz w:val="24"/>
          <w:szCs w:val="24"/>
        </w:rPr>
        <w:t xml:space="preserve">energy during low-cost, off-peak hours and then </w:t>
      </w:r>
      <w:r w:rsidR="00931C09">
        <w:rPr>
          <w:rFonts w:ascii="Times New Roman" w:hAnsi="Times New Roman" w:cs="Times New Roman"/>
          <w:sz w:val="24"/>
          <w:szCs w:val="24"/>
        </w:rPr>
        <w:t>reselling it</w:t>
      </w:r>
      <w:r w:rsidR="00375340">
        <w:rPr>
          <w:rFonts w:ascii="Times New Roman" w:hAnsi="Times New Roman" w:cs="Times New Roman"/>
          <w:sz w:val="24"/>
          <w:szCs w:val="24"/>
        </w:rPr>
        <w:t xml:space="preserve"> during high-cost, on-peak hours. In addition to being the most readily available service provided by </w:t>
      </w:r>
      <w:r w:rsidR="00E337BF">
        <w:rPr>
          <w:rFonts w:ascii="Times New Roman" w:hAnsi="Times New Roman" w:cs="Times New Roman"/>
          <w:sz w:val="24"/>
          <w:szCs w:val="24"/>
        </w:rPr>
        <w:t xml:space="preserve">traditional, </w:t>
      </w:r>
      <w:r w:rsidR="00375340">
        <w:rPr>
          <w:rFonts w:ascii="Times New Roman" w:hAnsi="Times New Roman" w:cs="Times New Roman"/>
          <w:sz w:val="24"/>
          <w:szCs w:val="24"/>
        </w:rPr>
        <w:t xml:space="preserve">large-scale pumped hydro and compressed air storage projects, it is also the easiest to quantify. However, </w:t>
      </w:r>
      <w:r w:rsidR="00C700EB">
        <w:rPr>
          <w:rFonts w:ascii="Times New Roman" w:hAnsi="Times New Roman" w:cs="Times New Roman"/>
          <w:sz w:val="24"/>
          <w:szCs w:val="24"/>
        </w:rPr>
        <w:t>this model faces</w:t>
      </w:r>
      <w:r w:rsidR="00375340">
        <w:rPr>
          <w:rFonts w:ascii="Times New Roman" w:hAnsi="Times New Roman" w:cs="Times New Roman"/>
          <w:sz w:val="24"/>
          <w:szCs w:val="24"/>
        </w:rPr>
        <w:t xml:space="preserve"> challenge</w:t>
      </w:r>
      <w:r w:rsidR="00C700EB">
        <w:rPr>
          <w:rFonts w:ascii="Times New Roman" w:hAnsi="Times New Roman" w:cs="Times New Roman"/>
          <w:sz w:val="24"/>
          <w:szCs w:val="24"/>
        </w:rPr>
        <w:t>s</w:t>
      </w:r>
      <w:r w:rsidR="00375340">
        <w:rPr>
          <w:rFonts w:ascii="Times New Roman" w:hAnsi="Times New Roman" w:cs="Times New Roman"/>
          <w:sz w:val="24"/>
          <w:szCs w:val="24"/>
        </w:rPr>
        <w:t xml:space="preserve"> in the Pacific Northwest, where the use of low-cost hydro for load following generally limits daily price differentials, and the lack of an organized energy market </w:t>
      </w:r>
      <w:r w:rsidR="00185699">
        <w:rPr>
          <w:rFonts w:ascii="Times New Roman" w:hAnsi="Times New Roman" w:cs="Times New Roman"/>
          <w:sz w:val="24"/>
          <w:szCs w:val="24"/>
        </w:rPr>
        <w:t xml:space="preserve">means there is little transparency into the </w:t>
      </w:r>
      <w:r w:rsidR="00344225">
        <w:rPr>
          <w:rFonts w:ascii="Times New Roman" w:hAnsi="Times New Roman" w:cs="Times New Roman"/>
          <w:sz w:val="24"/>
          <w:szCs w:val="24"/>
        </w:rPr>
        <w:t xml:space="preserve">magnitude of </w:t>
      </w:r>
      <w:r w:rsidR="00C700EB">
        <w:rPr>
          <w:rFonts w:ascii="Times New Roman" w:hAnsi="Times New Roman" w:cs="Times New Roman"/>
          <w:sz w:val="24"/>
          <w:szCs w:val="24"/>
        </w:rPr>
        <w:t>those</w:t>
      </w:r>
      <w:r w:rsidR="00344225">
        <w:rPr>
          <w:rFonts w:ascii="Times New Roman" w:hAnsi="Times New Roman" w:cs="Times New Roman"/>
          <w:sz w:val="24"/>
          <w:szCs w:val="24"/>
        </w:rPr>
        <w:t xml:space="preserve"> differentials</w:t>
      </w:r>
      <w:r w:rsidR="00185699">
        <w:rPr>
          <w:rFonts w:ascii="Times New Roman" w:hAnsi="Times New Roman" w:cs="Times New Roman"/>
          <w:sz w:val="24"/>
          <w:szCs w:val="24"/>
        </w:rPr>
        <w:t>.</w:t>
      </w:r>
    </w:p>
    <w:p w14:paraId="1550D592" w14:textId="77777777" w:rsidR="00D13910" w:rsidRDefault="00D13910" w:rsidP="006717D3">
      <w:pPr>
        <w:contextualSpacing/>
        <w:rPr>
          <w:rFonts w:ascii="Times New Roman" w:hAnsi="Times New Roman" w:cs="Times New Roman"/>
          <w:sz w:val="24"/>
          <w:szCs w:val="24"/>
        </w:rPr>
      </w:pPr>
    </w:p>
    <w:p w14:paraId="1550D593" w14:textId="77777777" w:rsidR="006541AA" w:rsidRDefault="00D13910" w:rsidP="006717D3">
      <w:pPr>
        <w:contextualSpacing/>
        <w:rPr>
          <w:rFonts w:ascii="Times New Roman" w:hAnsi="Times New Roman" w:cs="Times New Roman"/>
          <w:sz w:val="24"/>
          <w:szCs w:val="24"/>
        </w:rPr>
      </w:pPr>
      <w:r>
        <w:rPr>
          <w:rFonts w:ascii="Times New Roman" w:hAnsi="Times New Roman" w:cs="Times New Roman"/>
          <w:sz w:val="24"/>
          <w:szCs w:val="24"/>
        </w:rPr>
        <w:t xml:space="preserve">Modern technologies such as batteries and flywheels, with their ability to move between charging and discharging modes instantaneously, have opened up a new suite of services </w:t>
      </w:r>
      <w:r w:rsidR="00344225">
        <w:rPr>
          <w:rFonts w:ascii="Times New Roman" w:hAnsi="Times New Roman" w:cs="Times New Roman"/>
          <w:sz w:val="24"/>
          <w:szCs w:val="24"/>
        </w:rPr>
        <w:t>that energy storage can provide</w:t>
      </w:r>
      <w:r>
        <w:rPr>
          <w:rFonts w:ascii="Times New Roman" w:hAnsi="Times New Roman" w:cs="Times New Roman"/>
          <w:sz w:val="24"/>
          <w:szCs w:val="24"/>
        </w:rPr>
        <w:t>, such as frequency response, voltage regulation, and energy imbalance. Though crucial to main</w:t>
      </w:r>
      <w:r w:rsidR="00E337BF">
        <w:rPr>
          <w:rFonts w:ascii="Times New Roman" w:hAnsi="Times New Roman" w:cs="Times New Roman"/>
          <w:sz w:val="24"/>
          <w:szCs w:val="24"/>
        </w:rPr>
        <w:t>taining the electric grid, the values of these</w:t>
      </w:r>
      <w:r>
        <w:rPr>
          <w:rFonts w:ascii="Times New Roman" w:hAnsi="Times New Roman" w:cs="Times New Roman"/>
          <w:sz w:val="24"/>
          <w:szCs w:val="24"/>
        </w:rPr>
        <w:t xml:space="preserve"> services are more difficult to quantify and </w:t>
      </w:r>
      <w:r w:rsidR="00E337BF">
        <w:rPr>
          <w:rFonts w:ascii="Times New Roman" w:hAnsi="Times New Roman" w:cs="Times New Roman"/>
          <w:sz w:val="24"/>
          <w:szCs w:val="24"/>
        </w:rPr>
        <w:t>are</w:t>
      </w:r>
      <w:r>
        <w:rPr>
          <w:rFonts w:ascii="Times New Roman" w:hAnsi="Times New Roman" w:cs="Times New Roman"/>
          <w:sz w:val="24"/>
          <w:szCs w:val="24"/>
        </w:rPr>
        <w:t xml:space="preserve"> unlikely to be large enough to offset </w:t>
      </w:r>
      <w:r w:rsidR="00344225">
        <w:rPr>
          <w:rFonts w:ascii="Times New Roman" w:hAnsi="Times New Roman" w:cs="Times New Roman"/>
          <w:sz w:val="24"/>
          <w:szCs w:val="24"/>
        </w:rPr>
        <w:t>the</w:t>
      </w:r>
      <w:r>
        <w:rPr>
          <w:rFonts w:ascii="Times New Roman" w:hAnsi="Times New Roman" w:cs="Times New Roman"/>
          <w:sz w:val="24"/>
          <w:szCs w:val="24"/>
        </w:rPr>
        <w:t xml:space="preserve"> cost </w:t>
      </w:r>
      <w:r w:rsidR="001F40E0">
        <w:rPr>
          <w:rFonts w:ascii="Times New Roman" w:hAnsi="Times New Roman" w:cs="Times New Roman"/>
          <w:sz w:val="24"/>
          <w:szCs w:val="24"/>
        </w:rPr>
        <w:t>of an</w:t>
      </w:r>
      <w:r w:rsidR="00344225">
        <w:rPr>
          <w:rFonts w:ascii="Times New Roman" w:hAnsi="Times New Roman" w:cs="Times New Roman"/>
          <w:sz w:val="24"/>
          <w:szCs w:val="24"/>
        </w:rPr>
        <w:t xml:space="preserve"> energy storage project </w:t>
      </w:r>
      <w:r>
        <w:rPr>
          <w:rFonts w:ascii="Times New Roman" w:hAnsi="Times New Roman" w:cs="Times New Roman"/>
          <w:sz w:val="24"/>
          <w:szCs w:val="24"/>
        </w:rPr>
        <w:t xml:space="preserve">at current prices. Energy storage projects, therefore, still need that “killer app” – a high-value service that </w:t>
      </w:r>
      <w:r w:rsidR="006541AA">
        <w:rPr>
          <w:rFonts w:ascii="Times New Roman" w:hAnsi="Times New Roman" w:cs="Times New Roman"/>
          <w:sz w:val="24"/>
          <w:szCs w:val="24"/>
        </w:rPr>
        <w:t>provides a large enough value stream to justify the technology’s cost.</w:t>
      </w:r>
    </w:p>
    <w:p w14:paraId="1550D594" w14:textId="77777777" w:rsidR="006541AA" w:rsidRDefault="006541AA" w:rsidP="006717D3">
      <w:pPr>
        <w:contextualSpacing/>
        <w:rPr>
          <w:rFonts w:ascii="Times New Roman" w:hAnsi="Times New Roman" w:cs="Times New Roman"/>
          <w:sz w:val="24"/>
          <w:szCs w:val="24"/>
        </w:rPr>
      </w:pPr>
    </w:p>
    <w:p w14:paraId="1550D595" w14:textId="77777777" w:rsidR="0033200E" w:rsidRDefault="006541AA" w:rsidP="006717D3">
      <w:pPr>
        <w:contextualSpacing/>
        <w:rPr>
          <w:rFonts w:ascii="Times New Roman" w:hAnsi="Times New Roman" w:cs="Times New Roman"/>
          <w:sz w:val="24"/>
          <w:szCs w:val="24"/>
        </w:rPr>
      </w:pPr>
      <w:r>
        <w:rPr>
          <w:rFonts w:ascii="Times New Roman" w:hAnsi="Times New Roman" w:cs="Times New Roman"/>
          <w:sz w:val="24"/>
          <w:szCs w:val="24"/>
        </w:rPr>
        <w:t>Though opportunities for</w:t>
      </w:r>
      <w:r w:rsidR="005F3656">
        <w:rPr>
          <w:rFonts w:ascii="Times New Roman" w:hAnsi="Times New Roman" w:cs="Times New Roman"/>
          <w:sz w:val="24"/>
          <w:szCs w:val="24"/>
        </w:rPr>
        <w:t xml:space="preserve"> daily arbitrage may be few in Washington, energy storage’s ability to smooth the output of variable renewable resources and better integrate them into the grid may prove to be that killer app. </w:t>
      </w:r>
      <w:r w:rsidR="00F072B8">
        <w:rPr>
          <w:rFonts w:ascii="Times New Roman" w:hAnsi="Times New Roman" w:cs="Times New Roman"/>
          <w:sz w:val="24"/>
          <w:szCs w:val="24"/>
        </w:rPr>
        <w:t>Washington’s</w:t>
      </w:r>
      <w:r w:rsidR="0033200E">
        <w:rPr>
          <w:rFonts w:ascii="Times New Roman" w:hAnsi="Times New Roman" w:cs="Times New Roman"/>
          <w:sz w:val="24"/>
          <w:szCs w:val="24"/>
        </w:rPr>
        <w:t xml:space="preserve"> </w:t>
      </w:r>
      <w:r w:rsidR="008A6F77">
        <w:rPr>
          <w:rFonts w:ascii="Times New Roman" w:hAnsi="Times New Roman" w:cs="Times New Roman"/>
          <w:sz w:val="24"/>
          <w:szCs w:val="24"/>
        </w:rPr>
        <w:t xml:space="preserve">renewable portfolio standard (RPS) </w:t>
      </w:r>
      <w:r w:rsidR="0033200E">
        <w:rPr>
          <w:rFonts w:ascii="Times New Roman" w:hAnsi="Times New Roman" w:cs="Times New Roman"/>
          <w:sz w:val="24"/>
          <w:szCs w:val="24"/>
        </w:rPr>
        <w:t xml:space="preserve">has resulted in </w:t>
      </w:r>
      <w:r w:rsidR="000C0DC8">
        <w:rPr>
          <w:rFonts w:ascii="Times New Roman" w:hAnsi="Times New Roman" w:cs="Times New Roman"/>
          <w:sz w:val="24"/>
          <w:szCs w:val="24"/>
        </w:rPr>
        <w:t>major</w:t>
      </w:r>
      <w:r w:rsidR="0033200E">
        <w:rPr>
          <w:rFonts w:ascii="Times New Roman" w:hAnsi="Times New Roman" w:cs="Times New Roman"/>
          <w:sz w:val="24"/>
          <w:szCs w:val="24"/>
        </w:rPr>
        <w:t xml:space="preserve"> investments in wind power </w:t>
      </w:r>
      <w:r w:rsidR="008A6F77">
        <w:rPr>
          <w:rFonts w:ascii="Times New Roman" w:hAnsi="Times New Roman" w:cs="Times New Roman"/>
          <w:sz w:val="24"/>
          <w:szCs w:val="24"/>
        </w:rPr>
        <w:t>by the</w:t>
      </w:r>
      <w:r w:rsidR="00F072B8">
        <w:rPr>
          <w:rFonts w:ascii="Times New Roman" w:hAnsi="Times New Roman" w:cs="Times New Roman"/>
          <w:sz w:val="24"/>
          <w:szCs w:val="24"/>
        </w:rPr>
        <w:t xml:space="preserve"> state’s</w:t>
      </w:r>
      <w:r w:rsidR="008A6F77">
        <w:rPr>
          <w:rFonts w:ascii="Times New Roman" w:hAnsi="Times New Roman" w:cs="Times New Roman"/>
          <w:sz w:val="24"/>
          <w:szCs w:val="24"/>
        </w:rPr>
        <w:t xml:space="preserve"> </w:t>
      </w:r>
      <w:r w:rsidR="0033200E">
        <w:rPr>
          <w:rFonts w:ascii="Times New Roman" w:hAnsi="Times New Roman" w:cs="Times New Roman"/>
          <w:sz w:val="24"/>
          <w:szCs w:val="24"/>
        </w:rPr>
        <w:t xml:space="preserve">regulated utilities. </w:t>
      </w:r>
      <w:r w:rsidR="00F83FC5">
        <w:rPr>
          <w:rFonts w:ascii="Times New Roman" w:hAnsi="Times New Roman" w:cs="Times New Roman"/>
          <w:sz w:val="24"/>
          <w:szCs w:val="24"/>
        </w:rPr>
        <w:t xml:space="preserve">While these investments have created significant benefits for ratepayers in the forms of increased economic activity and emissions-free energy, the variable nature of wind power has also created costly </w:t>
      </w:r>
      <w:r w:rsidR="00D962A5">
        <w:rPr>
          <w:rFonts w:ascii="Times New Roman" w:hAnsi="Times New Roman" w:cs="Times New Roman"/>
          <w:sz w:val="24"/>
          <w:szCs w:val="24"/>
        </w:rPr>
        <w:t xml:space="preserve">integration </w:t>
      </w:r>
      <w:r w:rsidR="00F83FC5">
        <w:rPr>
          <w:rFonts w:ascii="Times New Roman" w:hAnsi="Times New Roman" w:cs="Times New Roman"/>
          <w:sz w:val="24"/>
          <w:szCs w:val="24"/>
        </w:rPr>
        <w:t>chal</w:t>
      </w:r>
      <w:r w:rsidR="00D962A5">
        <w:rPr>
          <w:rFonts w:ascii="Times New Roman" w:hAnsi="Times New Roman" w:cs="Times New Roman"/>
          <w:sz w:val="24"/>
          <w:szCs w:val="24"/>
        </w:rPr>
        <w:t>lenges for the utilities</w:t>
      </w:r>
      <w:r w:rsidR="00F83FC5">
        <w:rPr>
          <w:rFonts w:ascii="Times New Roman" w:hAnsi="Times New Roman" w:cs="Times New Roman"/>
          <w:sz w:val="24"/>
          <w:szCs w:val="24"/>
        </w:rPr>
        <w:t>.</w:t>
      </w:r>
      <w:r w:rsidR="00D962A5">
        <w:rPr>
          <w:rStyle w:val="FootnoteReference"/>
          <w:rFonts w:ascii="Times New Roman" w:hAnsi="Times New Roman" w:cs="Times New Roman"/>
          <w:sz w:val="24"/>
          <w:szCs w:val="24"/>
        </w:rPr>
        <w:footnoteReference w:id="11"/>
      </w:r>
    </w:p>
    <w:p w14:paraId="1550D596" w14:textId="77777777" w:rsidR="00F83FC5" w:rsidRDefault="00F83FC5" w:rsidP="006717D3">
      <w:pPr>
        <w:contextualSpacing/>
        <w:rPr>
          <w:rFonts w:ascii="Times New Roman" w:hAnsi="Times New Roman" w:cs="Times New Roman"/>
          <w:sz w:val="24"/>
          <w:szCs w:val="24"/>
        </w:rPr>
      </w:pPr>
    </w:p>
    <w:p w14:paraId="1550D597" w14:textId="77777777" w:rsidR="00DF4FF8" w:rsidRDefault="00D962A5" w:rsidP="006717D3">
      <w:pPr>
        <w:contextualSpacing/>
        <w:rPr>
          <w:rFonts w:ascii="Times New Roman" w:hAnsi="Times New Roman" w:cs="Times New Roman"/>
          <w:sz w:val="24"/>
          <w:szCs w:val="24"/>
        </w:rPr>
      </w:pPr>
      <w:r>
        <w:rPr>
          <w:rFonts w:ascii="Times New Roman" w:hAnsi="Times New Roman" w:cs="Times New Roman"/>
          <w:sz w:val="24"/>
          <w:szCs w:val="24"/>
        </w:rPr>
        <w:t>To date,</w:t>
      </w:r>
      <w:r w:rsidR="00F83FC5">
        <w:rPr>
          <w:rFonts w:ascii="Times New Roman" w:hAnsi="Times New Roman" w:cs="Times New Roman"/>
          <w:sz w:val="24"/>
          <w:szCs w:val="24"/>
        </w:rPr>
        <w:t xml:space="preserve"> utilities have been</w:t>
      </w:r>
      <w:r w:rsidR="00E337BF">
        <w:rPr>
          <w:rFonts w:ascii="Times New Roman" w:hAnsi="Times New Roman" w:cs="Times New Roman"/>
          <w:sz w:val="24"/>
          <w:szCs w:val="24"/>
        </w:rPr>
        <w:t xml:space="preserve"> able to absorb</w:t>
      </w:r>
      <w:r>
        <w:rPr>
          <w:rFonts w:ascii="Times New Roman" w:hAnsi="Times New Roman" w:cs="Times New Roman"/>
          <w:sz w:val="24"/>
          <w:szCs w:val="24"/>
        </w:rPr>
        <w:t xml:space="preserve"> the integration </w:t>
      </w:r>
      <w:r w:rsidR="00F83FC5">
        <w:rPr>
          <w:rFonts w:ascii="Times New Roman" w:hAnsi="Times New Roman" w:cs="Times New Roman"/>
          <w:sz w:val="24"/>
          <w:szCs w:val="24"/>
        </w:rPr>
        <w:t>costs through the federal Production T</w:t>
      </w:r>
      <w:r w:rsidR="00E021A4">
        <w:rPr>
          <w:rFonts w:ascii="Times New Roman" w:hAnsi="Times New Roman" w:cs="Times New Roman"/>
          <w:sz w:val="24"/>
          <w:szCs w:val="24"/>
        </w:rPr>
        <w:t>ax Credit (PTC), which gives each</w:t>
      </w:r>
      <w:r w:rsidR="00F83FC5">
        <w:rPr>
          <w:rFonts w:ascii="Times New Roman" w:hAnsi="Times New Roman" w:cs="Times New Roman"/>
          <w:sz w:val="24"/>
          <w:szCs w:val="24"/>
        </w:rPr>
        <w:t xml:space="preserve"> utility a credit of about $2</w:t>
      </w:r>
      <w:r w:rsidR="001275C2">
        <w:rPr>
          <w:rFonts w:ascii="Times New Roman" w:hAnsi="Times New Roman" w:cs="Times New Roman"/>
          <w:sz w:val="24"/>
          <w:szCs w:val="24"/>
        </w:rPr>
        <w:t>3</w:t>
      </w:r>
      <w:r w:rsidR="00F83FC5">
        <w:rPr>
          <w:rFonts w:ascii="Times New Roman" w:hAnsi="Times New Roman" w:cs="Times New Roman"/>
          <w:sz w:val="24"/>
          <w:szCs w:val="24"/>
        </w:rPr>
        <w:t xml:space="preserve"> per megawatt-hour of wind energy produce</w:t>
      </w:r>
      <w:r w:rsidR="007A75B8">
        <w:rPr>
          <w:rFonts w:ascii="Times New Roman" w:hAnsi="Times New Roman" w:cs="Times New Roman"/>
          <w:sz w:val="24"/>
          <w:szCs w:val="24"/>
        </w:rPr>
        <w:t>d</w:t>
      </w:r>
      <w:r w:rsidR="00F83FC5">
        <w:rPr>
          <w:rFonts w:ascii="Times New Roman" w:hAnsi="Times New Roman" w:cs="Times New Roman"/>
          <w:sz w:val="24"/>
          <w:szCs w:val="24"/>
        </w:rPr>
        <w:t>. But the PTC expired at the end of 201</w:t>
      </w:r>
      <w:r w:rsidR="005F3656">
        <w:rPr>
          <w:rFonts w:ascii="Times New Roman" w:hAnsi="Times New Roman" w:cs="Times New Roman"/>
          <w:sz w:val="24"/>
          <w:szCs w:val="24"/>
        </w:rPr>
        <w:t>4</w:t>
      </w:r>
      <w:r w:rsidR="00F83FC5">
        <w:rPr>
          <w:rFonts w:ascii="Times New Roman" w:hAnsi="Times New Roman" w:cs="Times New Roman"/>
          <w:sz w:val="24"/>
          <w:szCs w:val="24"/>
        </w:rPr>
        <w:t xml:space="preserve"> and </w:t>
      </w:r>
      <w:r w:rsidR="00E021A4">
        <w:rPr>
          <w:rFonts w:ascii="Times New Roman" w:hAnsi="Times New Roman" w:cs="Times New Roman"/>
          <w:sz w:val="24"/>
          <w:szCs w:val="24"/>
        </w:rPr>
        <w:t xml:space="preserve">its renewal is </w:t>
      </w:r>
      <w:r w:rsidR="001275C2">
        <w:rPr>
          <w:rFonts w:ascii="Times New Roman" w:hAnsi="Times New Roman" w:cs="Times New Roman"/>
          <w:sz w:val="24"/>
          <w:szCs w:val="24"/>
        </w:rPr>
        <w:t>unlikely</w:t>
      </w:r>
      <w:r w:rsidR="00F83FC5">
        <w:rPr>
          <w:rFonts w:ascii="Times New Roman" w:hAnsi="Times New Roman" w:cs="Times New Roman"/>
          <w:sz w:val="24"/>
          <w:szCs w:val="24"/>
        </w:rPr>
        <w:t>,</w:t>
      </w:r>
      <w:r w:rsidR="00E021A4">
        <w:rPr>
          <w:rFonts w:ascii="Times New Roman" w:hAnsi="Times New Roman" w:cs="Times New Roman"/>
          <w:sz w:val="24"/>
          <w:szCs w:val="24"/>
        </w:rPr>
        <w:t xml:space="preserve"> meaning that future projects </w:t>
      </w:r>
      <w:r w:rsidR="00080459">
        <w:rPr>
          <w:rFonts w:ascii="Times New Roman" w:hAnsi="Times New Roman" w:cs="Times New Roman"/>
          <w:sz w:val="24"/>
          <w:szCs w:val="24"/>
        </w:rPr>
        <w:t>will likely be unable to rely</w:t>
      </w:r>
      <w:r w:rsidR="00E021A4">
        <w:rPr>
          <w:rFonts w:ascii="Times New Roman" w:hAnsi="Times New Roman" w:cs="Times New Roman"/>
          <w:sz w:val="24"/>
          <w:szCs w:val="24"/>
        </w:rPr>
        <w:t xml:space="preserve"> on that revenue stream to offset their integration costs</w:t>
      </w:r>
      <w:r w:rsidR="00732A69">
        <w:rPr>
          <w:rFonts w:ascii="Times New Roman" w:hAnsi="Times New Roman" w:cs="Times New Roman"/>
          <w:sz w:val="24"/>
          <w:szCs w:val="24"/>
        </w:rPr>
        <w:t>, which will</w:t>
      </w:r>
      <w:r w:rsidR="008A6F77">
        <w:rPr>
          <w:rFonts w:ascii="Times New Roman" w:hAnsi="Times New Roman" w:cs="Times New Roman"/>
          <w:sz w:val="24"/>
          <w:szCs w:val="24"/>
        </w:rPr>
        <w:t xml:space="preserve"> increase their overall cost</w:t>
      </w:r>
      <w:r w:rsidR="007A75B8">
        <w:rPr>
          <w:rFonts w:ascii="Times New Roman" w:hAnsi="Times New Roman" w:cs="Times New Roman"/>
          <w:sz w:val="24"/>
          <w:szCs w:val="24"/>
        </w:rPr>
        <w:t xml:space="preserve">. </w:t>
      </w:r>
      <w:r w:rsidR="00672D34">
        <w:rPr>
          <w:rFonts w:ascii="Times New Roman" w:hAnsi="Times New Roman" w:cs="Times New Roman"/>
          <w:sz w:val="24"/>
          <w:szCs w:val="24"/>
        </w:rPr>
        <w:t xml:space="preserve">Additionally, the PTC only lasts for the first 10 years of a project’s life, and many of Washington’s wind projects are nearing that 10-year mark. The absence of the PTC </w:t>
      </w:r>
      <w:r w:rsidR="007A75B8">
        <w:rPr>
          <w:rFonts w:ascii="Times New Roman" w:hAnsi="Times New Roman" w:cs="Times New Roman"/>
          <w:sz w:val="24"/>
          <w:szCs w:val="24"/>
        </w:rPr>
        <w:t xml:space="preserve">could be </w:t>
      </w:r>
      <w:r w:rsidR="00E021A4">
        <w:rPr>
          <w:rFonts w:ascii="Times New Roman" w:hAnsi="Times New Roman" w:cs="Times New Roman"/>
          <w:sz w:val="24"/>
          <w:szCs w:val="24"/>
        </w:rPr>
        <w:t>a major challenge for Washington’s investor-owned utilities</w:t>
      </w:r>
      <w:r w:rsidR="001F40E0">
        <w:rPr>
          <w:rFonts w:ascii="Times New Roman" w:hAnsi="Times New Roman" w:cs="Times New Roman"/>
          <w:sz w:val="24"/>
          <w:szCs w:val="24"/>
        </w:rPr>
        <w:t xml:space="preserve">, </w:t>
      </w:r>
      <w:r w:rsidR="00E021A4">
        <w:rPr>
          <w:rFonts w:ascii="Times New Roman" w:hAnsi="Times New Roman" w:cs="Times New Roman"/>
          <w:sz w:val="24"/>
          <w:szCs w:val="24"/>
        </w:rPr>
        <w:t>as at least one utility</w:t>
      </w:r>
      <w:r w:rsidR="00CC28F1">
        <w:rPr>
          <w:rFonts w:ascii="Times New Roman" w:hAnsi="Times New Roman" w:cs="Times New Roman"/>
          <w:sz w:val="24"/>
          <w:szCs w:val="24"/>
        </w:rPr>
        <w:t xml:space="preserve"> </w:t>
      </w:r>
      <w:r w:rsidR="008A6F77">
        <w:rPr>
          <w:rFonts w:ascii="Times New Roman" w:hAnsi="Times New Roman" w:cs="Times New Roman"/>
          <w:sz w:val="24"/>
          <w:szCs w:val="24"/>
        </w:rPr>
        <w:t>will have to acquire</w:t>
      </w:r>
      <w:r>
        <w:rPr>
          <w:rFonts w:ascii="Times New Roman" w:hAnsi="Times New Roman" w:cs="Times New Roman"/>
          <w:sz w:val="24"/>
          <w:szCs w:val="24"/>
        </w:rPr>
        <w:t xml:space="preserve"> additional RPS</w:t>
      </w:r>
      <w:r w:rsidR="00E021A4">
        <w:rPr>
          <w:rFonts w:ascii="Times New Roman" w:hAnsi="Times New Roman" w:cs="Times New Roman"/>
          <w:sz w:val="24"/>
          <w:szCs w:val="24"/>
        </w:rPr>
        <w:t xml:space="preserve">-eligible resources within the next </w:t>
      </w:r>
      <w:r w:rsidR="00E021A4">
        <w:rPr>
          <w:rFonts w:ascii="Times New Roman" w:hAnsi="Times New Roman" w:cs="Times New Roman"/>
          <w:sz w:val="24"/>
          <w:szCs w:val="24"/>
        </w:rPr>
        <w:lastRenderedPageBreak/>
        <w:t>decade.</w:t>
      </w:r>
      <w:r w:rsidR="00E021A4">
        <w:rPr>
          <w:rStyle w:val="FootnoteReference"/>
          <w:rFonts w:ascii="Times New Roman" w:hAnsi="Times New Roman" w:cs="Times New Roman"/>
          <w:sz w:val="24"/>
          <w:szCs w:val="24"/>
        </w:rPr>
        <w:footnoteReference w:id="12"/>
      </w:r>
      <w:r w:rsidR="00E021A4">
        <w:rPr>
          <w:rFonts w:ascii="Times New Roman" w:hAnsi="Times New Roman" w:cs="Times New Roman"/>
          <w:sz w:val="24"/>
          <w:szCs w:val="24"/>
        </w:rPr>
        <w:t xml:space="preserve"> </w:t>
      </w:r>
      <w:r w:rsidR="008A6F77">
        <w:rPr>
          <w:rFonts w:ascii="Times New Roman" w:hAnsi="Times New Roman" w:cs="Times New Roman"/>
          <w:sz w:val="24"/>
          <w:szCs w:val="24"/>
        </w:rPr>
        <w:t>Given the current state of renewable technologies and the physical characteristics of Washington, it seems likely that wind will be a major component of future eligible resource additions.</w:t>
      </w:r>
      <w:r w:rsidR="000747E1">
        <w:rPr>
          <w:rFonts w:ascii="Times New Roman" w:hAnsi="Times New Roman" w:cs="Times New Roman"/>
          <w:sz w:val="24"/>
          <w:szCs w:val="24"/>
        </w:rPr>
        <w:t xml:space="preserve"> </w:t>
      </w:r>
    </w:p>
    <w:p w14:paraId="1550D598" w14:textId="77777777" w:rsidR="00DF4FF8" w:rsidRDefault="00DF4FF8" w:rsidP="006717D3">
      <w:pPr>
        <w:contextualSpacing/>
        <w:rPr>
          <w:rFonts w:ascii="Times New Roman" w:hAnsi="Times New Roman" w:cs="Times New Roman"/>
          <w:sz w:val="24"/>
          <w:szCs w:val="24"/>
        </w:rPr>
      </w:pPr>
    </w:p>
    <w:p w14:paraId="1550D599" w14:textId="77777777" w:rsidR="000112BF" w:rsidRDefault="003B79C3" w:rsidP="006717D3">
      <w:pPr>
        <w:contextualSpacing/>
        <w:rPr>
          <w:rFonts w:ascii="Times New Roman" w:hAnsi="Times New Roman" w:cs="Times New Roman"/>
          <w:sz w:val="24"/>
          <w:szCs w:val="24"/>
        </w:rPr>
      </w:pPr>
      <w:r>
        <w:rPr>
          <w:rFonts w:ascii="Times New Roman" w:hAnsi="Times New Roman" w:cs="Times New Roman"/>
          <w:sz w:val="24"/>
          <w:szCs w:val="24"/>
        </w:rPr>
        <w:t>Energy storage is projected to be a rapidly growing component of cost-effective renewable energy integration over the next decade. Navigant research projects that the market for energy storage projects designed for renewable integration is expected to grow from $32 million in 2015 to $2.9 billion by 2024.</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But this is not a conse</w:t>
      </w:r>
      <w:r w:rsidR="001F40E0">
        <w:rPr>
          <w:rFonts w:ascii="Times New Roman" w:hAnsi="Times New Roman" w:cs="Times New Roman"/>
          <w:sz w:val="24"/>
          <w:szCs w:val="24"/>
        </w:rPr>
        <w:t>nsus view in the industry; the National Renewable Energy Laboratory,</w:t>
      </w:r>
      <w:r>
        <w:rPr>
          <w:rFonts w:ascii="Times New Roman" w:hAnsi="Times New Roman" w:cs="Times New Roman"/>
          <w:sz w:val="24"/>
          <w:szCs w:val="24"/>
        </w:rPr>
        <w:t xml:space="preserve"> for example, has concluded that energy storage is not </w:t>
      </w:r>
      <w:r w:rsidR="00716658">
        <w:rPr>
          <w:rFonts w:ascii="Times New Roman" w:hAnsi="Times New Roman" w:cs="Times New Roman"/>
          <w:sz w:val="24"/>
          <w:szCs w:val="24"/>
        </w:rPr>
        <w:t>necessary for</w:t>
      </w:r>
      <w:r>
        <w:rPr>
          <w:rFonts w:ascii="Times New Roman" w:hAnsi="Times New Roman" w:cs="Times New Roman"/>
          <w:sz w:val="24"/>
          <w:szCs w:val="24"/>
        </w:rPr>
        <w:t xml:space="preserve"> renewables integration until a balancing area has </w:t>
      </w:r>
      <w:r w:rsidR="001F40E0">
        <w:rPr>
          <w:rFonts w:ascii="Times New Roman" w:hAnsi="Times New Roman" w:cs="Times New Roman"/>
          <w:sz w:val="24"/>
          <w:szCs w:val="24"/>
        </w:rPr>
        <w:t>a renewable penetration rate</w:t>
      </w:r>
      <w:r>
        <w:rPr>
          <w:rFonts w:ascii="Times New Roman" w:hAnsi="Times New Roman" w:cs="Times New Roman"/>
          <w:sz w:val="24"/>
          <w:szCs w:val="24"/>
        </w:rPr>
        <w:t xml:space="preserve"> of 20 percent.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14:paraId="1550D59A" w14:textId="77777777" w:rsidR="000112BF" w:rsidRDefault="000112BF" w:rsidP="006717D3">
      <w:pPr>
        <w:contextualSpacing/>
        <w:rPr>
          <w:rFonts w:ascii="Times New Roman" w:hAnsi="Times New Roman" w:cs="Times New Roman"/>
          <w:sz w:val="24"/>
          <w:szCs w:val="24"/>
        </w:rPr>
      </w:pPr>
    </w:p>
    <w:p w14:paraId="1550D59B" w14:textId="77777777" w:rsidR="000112BF" w:rsidRDefault="000112BF" w:rsidP="006717D3">
      <w:pPr>
        <w:contextualSpacing/>
        <w:rPr>
          <w:rFonts w:ascii="Times New Roman" w:hAnsi="Times New Roman" w:cs="Times New Roman"/>
          <w:sz w:val="24"/>
          <w:szCs w:val="24"/>
        </w:rPr>
      </w:pPr>
      <w:r>
        <w:rPr>
          <w:rFonts w:ascii="Times New Roman" w:hAnsi="Times New Roman" w:cs="Times New Roman"/>
          <w:sz w:val="24"/>
          <w:szCs w:val="24"/>
        </w:rPr>
        <w:t>Staff does not believe that the commission needs to venture into this debate. Washington’s investor-owned utilities already have quantified rene</w:t>
      </w:r>
      <w:r w:rsidR="001F40E0">
        <w:rPr>
          <w:rFonts w:ascii="Times New Roman" w:hAnsi="Times New Roman" w:cs="Times New Roman"/>
          <w:sz w:val="24"/>
          <w:szCs w:val="24"/>
        </w:rPr>
        <w:t>wable integration costs; to the degree that</w:t>
      </w:r>
      <w:r>
        <w:rPr>
          <w:rFonts w:ascii="Times New Roman" w:hAnsi="Times New Roman" w:cs="Times New Roman"/>
          <w:sz w:val="24"/>
          <w:szCs w:val="24"/>
        </w:rPr>
        <w:t xml:space="preserve"> energy storage is able to provide integration, </w:t>
      </w:r>
      <w:r w:rsidR="00716658">
        <w:rPr>
          <w:rFonts w:ascii="Times New Roman" w:hAnsi="Times New Roman" w:cs="Times New Roman"/>
          <w:sz w:val="24"/>
          <w:szCs w:val="24"/>
        </w:rPr>
        <w:t>those become</w:t>
      </w:r>
      <w:r>
        <w:rPr>
          <w:rFonts w:ascii="Times New Roman" w:hAnsi="Times New Roman" w:cs="Times New Roman"/>
          <w:sz w:val="24"/>
          <w:szCs w:val="24"/>
        </w:rPr>
        <w:t xml:space="preserve"> avoided cost</w:t>
      </w:r>
      <w:r w:rsidR="00716658">
        <w:rPr>
          <w:rFonts w:ascii="Times New Roman" w:hAnsi="Times New Roman" w:cs="Times New Roman"/>
          <w:sz w:val="24"/>
          <w:szCs w:val="24"/>
        </w:rPr>
        <w:t>s</w:t>
      </w:r>
      <w:r>
        <w:rPr>
          <w:rFonts w:ascii="Times New Roman" w:hAnsi="Times New Roman" w:cs="Times New Roman"/>
          <w:sz w:val="24"/>
          <w:szCs w:val="24"/>
        </w:rPr>
        <w:t xml:space="preserve">. Where those resources that were previously held back for integration can be released to meet the utility’s load or be sold in the market, there is an avoided cost associated with </w:t>
      </w:r>
      <w:r w:rsidR="00672D34">
        <w:rPr>
          <w:rFonts w:ascii="Times New Roman" w:hAnsi="Times New Roman" w:cs="Times New Roman"/>
          <w:sz w:val="24"/>
          <w:szCs w:val="24"/>
        </w:rPr>
        <w:t>further delaying future</w:t>
      </w:r>
      <w:r>
        <w:rPr>
          <w:rFonts w:ascii="Times New Roman" w:hAnsi="Times New Roman" w:cs="Times New Roman"/>
          <w:sz w:val="24"/>
          <w:szCs w:val="24"/>
        </w:rPr>
        <w:t xml:space="preserve"> generation needs </w:t>
      </w:r>
      <w:r w:rsidR="00672D34">
        <w:rPr>
          <w:rFonts w:ascii="Times New Roman" w:hAnsi="Times New Roman" w:cs="Times New Roman"/>
          <w:sz w:val="24"/>
          <w:szCs w:val="24"/>
        </w:rPr>
        <w:t>and the potential for increased</w:t>
      </w:r>
      <w:r>
        <w:rPr>
          <w:rFonts w:ascii="Times New Roman" w:hAnsi="Times New Roman" w:cs="Times New Roman"/>
          <w:sz w:val="24"/>
          <w:szCs w:val="24"/>
        </w:rPr>
        <w:t xml:space="preserve"> revenue through </w:t>
      </w:r>
      <w:r w:rsidR="00672D34">
        <w:rPr>
          <w:rFonts w:ascii="Times New Roman" w:hAnsi="Times New Roman" w:cs="Times New Roman"/>
          <w:sz w:val="24"/>
          <w:szCs w:val="24"/>
        </w:rPr>
        <w:t xml:space="preserve">additional </w:t>
      </w:r>
      <w:r>
        <w:rPr>
          <w:rFonts w:ascii="Times New Roman" w:hAnsi="Times New Roman" w:cs="Times New Roman"/>
          <w:sz w:val="24"/>
          <w:szCs w:val="24"/>
        </w:rPr>
        <w:t>market sales. Where that same storage project can also be optimized to provide other grid servi</w:t>
      </w:r>
      <w:r w:rsidR="001F40E0">
        <w:rPr>
          <w:rFonts w:ascii="Times New Roman" w:hAnsi="Times New Roman" w:cs="Times New Roman"/>
          <w:sz w:val="24"/>
          <w:szCs w:val="24"/>
        </w:rPr>
        <w:t>ces</w:t>
      </w:r>
      <w:r>
        <w:rPr>
          <w:rFonts w:ascii="Times New Roman" w:hAnsi="Times New Roman" w:cs="Times New Roman"/>
          <w:sz w:val="24"/>
          <w:szCs w:val="24"/>
        </w:rPr>
        <w:t xml:space="preserve">, there are additional benefits </w:t>
      </w:r>
      <w:r w:rsidR="001F40E0">
        <w:rPr>
          <w:rFonts w:ascii="Times New Roman" w:hAnsi="Times New Roman" w:cs="Times New Roman"/>
          <w:sz w:val="24"/>
          <w:szCs w:val="24"/>
        </w:rPr>
        <w:t>from</w:t>
      </w:r>
      <w:r>
        <w:rPr>
          <w:rFonts w:ascii="Times New Roman" w:hAnsi="Times New Roman" w:cs="Times New Roman"/>
          <w:sz w:val="24"/>
          <w:szCs w:val="24"/>
        </w:rPr>
        <w:t xml:space="preserve"> increased system efficiency and avoided costs associated with </w:t>
      </w:r>
      <w:r w:rsidR="00716658">
        <w:rPr>
          <w:rFonts w:ascii="Times New Roman" w:hAnsi="Times New Roman" w:cs="Times New Roman"/>
          <w:sz w:val="24"/>
          <w:szCs w:val="24"/>
        </w:rPr>
        <w:t xml:space="preserve">additional </w:t>
      </w:r>
      <w:r>
        <w:rPr>
          <w:rFonts w:ascii="Times New Roman" w:hAnsi="Times New Roman" w:cs="Times New Roman"/>
          <w:sz w:val="24"/>
          <w:szCs w:val="24"/>
        </w:rPr>
        <w:t>generation that can be freed up for serving load and making sales.</w:t>
      </w:r>
    </w:p>
    <w:p w14:paraId="1550D59C" w14:textId="77777777" w:rsidR="00344225" w:rsidRDefault="00344225">
      <w:pPr>
        <w:contextualSpacing/>
        <w:rPr>
          <w:rFonts w:ascii="Times New Roman" w:hAnsi="Times New Roman" w:cs="Times New Roman"/>
          <w:sz w:val="24"/>
          <w:szCs w:val="24"/>
        </w:rPr>
      </w:pPr>
    </w:p>
    <w:p w14:paraId="1550D59D" w14:textId="77777777" w:rsidR="00344225" w:rsidRDefault="000112BF">
      <w:pPr>
        <w:contextualSpacing/>
        <w:rPr>
          <w:rFonts w:ascii="Times New Roman" w:hAnsi="Times New Roman" w:cs="Times New Roman"/>
          <w:sz w:val="24"/>
          <w:szCs w:val="24"/>
        </w:rPr>
      </w:pPr>
      <w:r>
        <w:rPr>
          <w:rFonts w:ascii="Times New Roman" w:hAnsi="Times New Roman" w:cs="Times New Roman"/>
          <w:sz w:val="24"/>
          <w:szCs w:val="24"/>
        </w:rPr>
        <w:t>This type of holistic analysis goes far beyond the current modeling practices of the utilities</w:t>
      </w:r>
      <w:r w:rsidR="00617017">
        <w:rPr>
          <w:rFonts w:ascii="Times New Roman" w:hAnsi="Times New Roman" w:cs="Times New Roman"/>
          <w:sz w:val="24"/>
          <w:szCs w:val="24"/>
        </w:rPr>
        <w:t xml:space="preserve">, </w:t>
      </w:r>
      <w:r w:rsidR="00716658">
        <w:rPr>
          <w:rFonts w:ascii="Times New Roman" w:hAnsi="Times New Roman" w:cs="Times New Roman"/>
          <w:sz w:val="24"/>
          <w:szCs w:val="24"/>
        </w:rPr>
        <w:t xml:space="preserve">which </w:t>
      </w:r>
      <w:r>
        <w:rPr>
          <w:rFonts w:ascii="Times New Roman" w:hAnsi="Times New Roman" w:cs="Times New Roman"/>
          <w:sz w:val="24"/>
          <w:szCs w:val="24"/>
        </w:rPr>
        <w:t>to date have not identified or quantified the benefits associated with energy storage</w:t>
      </w:r>
      <w:r w:rsidR="00617017">
        <w:rPr>
          <w:rFonts w:ascii="Times New Roman" w:hAnsi="Times New Roman" w:cs="Times New Roman"/>
          <w:sz w:val="24"/>
          <w:szCs w:val="24"/>
        </w:rPr>
        <w:t>. This precludes the IRP models from selecting energy storage, because without those offsetting benefits, energy st</w:t>
      </w:r>
      <w:r w:rsidR="00CC6E4E">
        <w:rPr>
          <w:rFonts w:ascii="Times New Roman" w:hAnsi="Times New Roman" w:cs="Times New Roman"/>
          <w:sz w:val="24"/>
          <w:szCs w:val="24"/>
        </w:rPr>
        <w:t xml:space="preserve">orage remains cost prohibitive. </w:t>
      </w:r>
      <w:r w:rsidR="00716658">
        <w:rPr>
          <w:rFonts w:ascii="Times New Roman" w:hAnsi="Times New Roman" w:cs="Times New Roman"/>
          <w:sz w:val="24"/>
          <w:szCs w:val="24"/>
        </w:rPr>
        <w:t>Identifying and quantifying those benefits will admittedly be a significant challenge. Staff believes that a collaborative approach involv</w:t>
      </w:r>
      <w:r w:rsidR="001F40E0">
        <w:rPr>
          <w:rFonts w:ascii="Times New Roman" w:hAnsi="Times New Roman" w:cs="Times New Roman"/>
          <w:sz w:val="24"/>
          <w:szCs w:val="24"/>
        </w:rPr>
        <w:t>ing all of the utilities and</w:t>
      </w:r>
      <w:r w:rsidR="00716658">
        <w:rPr>
          <w:rFonts w:ascii="Times New Roman" w:hAnsi="Times New Roman" w:cs="Times New Roman"/>
          <w:sz w:val="24"/>
          <w:szCs w:val="24"/>
        </w:rPr>
        <w:t xml:space="preserve"> various stakeholders offers a greater chance of success than </w:t>
      </w:r>
      <w:r w:rsidR="001F40E0">
        <w:rPr>
          <w:rFonts w:ascii="Times New Roman" w:hAnsi="Times New Roman" w:cs="Times New Roman"/>
          <w:sz w:val="24"/>
          <w:szCs w:val="24"/>
        </w:rPr>
        <w:t xml:space="preserve">leaving </w:t>
      </w:r>
      <w:r w:rsidR="00716658">
        <w:rPr>
          <w:rFonts w:ascii="Times New Roman" w:hAnsi="Times New Roman" w:cs="Times New Roman"/>
          <w:sz w:val="24"/>
          <w:szCs w:val="24"/>
        </w:rPr>
        <w:t xml:space="preserve">each utility </w:t>
      </w:r>
      <w:r w:rsidR="001F40E0">
        <w:rPr>
          <w:rFonts w:ascii="Times New Roman" w:hAnsi="Times New Roman" w:cs="Times New Roman"/>
          <w:sz w:val="24"/>
          <w:szCs w:val="24"/>
        </w:rPr>
        <w:t>to work</w:t>
      </w:r>
      <w:r w:rsidR="00716658">
        <w:rPr>
          <w:rFonts w:ascii="Times New Roman" w:hAnsi="Times New Roman" w:cs="Times New Roman"/>
          <w:sz w:val="24"/>
          <w:szCs w:val="24"/>
        </w:rPr>
        <w:t xml:space="preserve"> t</w:t>
      </w:r>
      <w:r w:rsidR="00672D34">
        <w:rPr>
          <w:rFonts w:ascii="Times New Roman" w:hAnsi="Times New Roman" w:cs="Times New Roman"/>
          <w:sz w:val="24"/>
          <w:szCs w:val="24"/>
        </w:rPr>
        <w:t xml:space="preserve">hrough the problem in isolation. Furthermore, </w:t>
      </w:r>
      <w:r w:rsidR="00344225">
        <w:rPr>
          <w:rFonts w:ascii="Times New Roman" w:hAnsi="Times New Roman" w:cs="Times New Roman"/>
          <w:sz w:val="24"/>
          <w:szCs w:val="24"/>
        </w:rPr>
        <w:t>federal and state agencies from around the U.S. have already done valuable work on which the commission can build.</w:t>
      </w:r>
    </w:p>
    <w:p w14:paraId="1550D59E" w14:textId="77777777" w:rsidR="00C12DC2" w:rsidRDefault="00C12DC2">
      <w:pPr>
        <w:contextualSpacing/>
        <w:rPr>
          <w:rFonts w:ascii="Times New Roman" w:hAnsi="Times New Roman" w:cs="Times New Roman"/>
          <w:sz w:val="24"/>
          <w:szCs w:val="24"/>
        </w:rPr>
      </w:pPr>
    </w:p>
    <w:p w14:paraId="1550D59F" w14:textId="77777777" w:rsidR="005036C8" w:rsidRPr="005036C8" w:rsidRDefault="005036C8" w:rsidP="006F5282">
      <w:pPr>
        <w:rPr>
          <w:rFonts w:ascii="Times New Roman" w:hAnsi="Times New Roman" w:cs="Times New Roman"/>
          <w:sz w:val="24"/>
          <w:szCs w:val="24"/>
        </w:rPr>
      </w:pPr>
      <w:r>
        <w:rPr>
          <w:rFonts w:ascii="Times New Roman" w:hAnsi="Times New Roman" w:cs="Times New Roman"/>
          <w:i/>
          <w:sz w:val="24"/>
          <w:szCs w:val="24"/>
        </w:rPr>
        <w:t>FERC proceedings</w:t>
      </w:r>
    </w:p>
    <w:p w14:paraId="1550D5A0" w14:textId="77777777" w:rsidR="004C1EA4" w:rsidRDefault="006F5282" w:rsidP="006F5282">
      <w:pPr>
        <w:rPr>
          <w:rFonts w:ascii="Times New Roman" w:hAnsi="Times New Roman" w:cs="Times New Roman"/>
          <w:sz w:val="24"/>
          <w:szCs w:val="24"/>
        </w:rPr>
      </w:pPr>
      <w:r>
        <w:rPr>
          <w:rFonts w:ascii="Times New Roman" w:hAnsi="Times New Roman" w:cs="Times New Roman"/>
          <w:sz w:val="24"/>
          <w:szCs w:val="24"/>
        </w:rPr>
        <w:t>In 1996, the Federal Energy Regulatory Commission (FERC) issued Order 888, which defined six ancillary services that “</w:t>
      </w:r>
      <w:r w:rsidR="008C6FFB">
        <w:rPr>
          <w:rFonts w:ascii="Times New Roman" w:hAnsi="Times New Roman" w:cs="Times New Roman"/>
          <w:sz w:val="24"/>
          <w:szCs w:val="24"/>
        </w:rPr>
        <w:t>are needed to accomplish transmission service while maintaining reliability within and among control areas affected by the transmission service.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8C6FFB">
        <w:rPr>
          <w:rFonts w:ascii="Times New Roman" w:hAnsi="Times New Roman" w:cs="Times New Roman"/>
          <w:sz w:val="24"/>
          <w:szCs w:val="24"/>
        </w:rPr>
        <w:t>They are: scheduling, system control and dispatch service; reactive supply and voltage control; regulation and frequency response</w:t>
      </w:r>
      <w:r w:rsidR="00E372F6">
        <w:rPr>
          <w:rFonts w:ascii="Times New Roman" w:hAnsi="Times New Roman" w:cs="Times New Roman"/>
          <w:sz w:val="24"/>
          <w:szCs w:val="24"/>
        </w:rPr>
        <w:t>; energy imbalance; spinning reserves; and supplemental reserves.</w:t>
      </w:r>
      <w:r w:rsidR="00E372F6">
        <w:rPr>
          <w:rStyle w:val="FootnoteReference"/>
          <w:rFonts w:ascii="Times New Roman" w:hAnsi="Times New Roman" w:cs="Times New Roman"/>
          <w:sz w:val="24"/>
          <w:szCs w:val="24"/>
        </w:rPr>
        <w:footnoteReference w:id="16"/>
      </w:r>
      <w:r w:rsidR="00E372F6">
        <w:rPr>
          <w:rFonts w:ascii="Times New Roman" w:hAnsi="Times New Roman" w:cs="Times New Roman"/>
          <w:sz w:val="24"/>
          <w:szCs w:val="24"/>
        </w:rPr>
        <w:t xml:space="preserve"> </w:t>
      </w:r>
      <w:r w:rsidR="003417BB">
        <w:rPr>
          <w:rFonts w:ascii="Times New Roman" w:hAnsi="Times New Roman" w:cs="Times New Roman"/>
          <w:sz w:val="24"/>
          <w:szCs w:val="24"/>
        </w:rPr>
        <w:t>The order stated that transmission providers were required to offer these services to their customers; customers were required to purchase some services from the transmission provider and given the option to self-provide others or purchase them from third parties.</w:t>
      </w:r>
    </w:p>
    <w:p w14:paraId="1550D5A1" w14:textId="77777777" w:rsidR="00E372F6" w:rsidRDefault="00E372F6" w:rsidP="006F5282">
      <w:pPr>
        <w:rPr>
          <w:rFonts w:ascii="Times New Roman" w:hAnsi="Times New Roman" w:cs="Times New Roman"/>
          <w:sz w:val="24"/>
          <w:szCs w:val="24"/>
        </w:rPr>
      </w:pPr>
      <w:r>
        <w:rPr>
          <w:rFonts w:ascii="Times New Roman" w:hAnsi="Times New Roman" w:cs="Times New Roman"/>
          <w:sz w:val="24"/>
          <w:szCs w:val="24"/>
        </w:rPr>
        <w:t>While energy storage has been demonstrated to have applications in providing each of those six ancillary services, much of the focus in subsequent years has been on its ability to provide regulation and frequency response service.</w:t>
      </w:r>
    </w:p>
    <w:p w14:paraId="1550D5A2" w14:textId="77777777" w:rsidR="004F549D" w:rsidRDefault="00E372F6" w:rsidP="006A4709">
      <w:pPr>
        <w:rPr>
          <w:rFonts w:ascii="Times New Roman" w:hAnsi="Times New Roman" w:cs="Times New Roman"/>
          <w:sz w:val="24"/>
          <w:szCs w:val="24"/>
        </w:rPr>
      </w:pPr>
      <w:r>
        <w:rPr>
          <w:rFonts w:ascii="Times New Roman" w:hAnsi="Times New Roman" w:cs="Times New Roman"/>
          <w:sz w:val="24"/>
          <w:szCs w:val="24"/>
        </w:rPr>
        <w:t xml:space="preserve">In 2011, FERC issued </w:t>
      </w:r>
      <w:r w:rsidR="00E067CC">
        <w:rPr>
          <w:rFonts w:ascii="Times New Roman" w:hAnsi="Times New Roman" w:cs="Times New Roman"/>
          <w:sz w:val="24"/>
          <w:szCs w:val="24"/>
        </w:rPr>
        <w:t xml:space="preserve">Order </w:t>
      </w:r>
      <w:r>
        <w:rPr>
          <w:rFonts w:ascii="Times New Roman" w:hAnsi="Times New Roman" w:cs="Times New Roman"/>
          <w:sz w:val="24"/>
          <w:szCs w:val="24"/>
        </w:rPr>
        <w:t>755 to require that regional system operators (RTOs) and independent system operators (ISOs) establish</w:t>
      </w:r>
      <w:r w:rsidR="00E40E6A">
        <w:rPr>
          <w:rFonts w:ascii="Times New Roman" w:hAnsi="Times New Roman" w:cs="Times New Roman"/>
          <w:sz w:val="24"/>
          <w:szCs w:val="24"/>
        </w:rPr>
        <w:t xml:space="preserve"> performance-based</w:t>
      </w:r>
      <w:r>
        <w:rPr>
          <w:rFonts w:ascii="Times New Roman" w:hAnsi="Times New Roman" w:cs="Times New Roman"/>
          <w:sz w:val="24"/>
          <w:szCs w:val="24"/>
        </w:rPr>
        <w:t xml:space="preserve"> rates </w:t>
      </w:r>
      <w:r w:rsidR="00E40E6A">
        <w:rPr>
          <w:rFonts w:ascii="Times New Roman" w:hAnsi="Times New Roman" w:cs="Times New Roman"/>
          <w:sz w:val="24"/>
          <w:szCs w:val="24"/>
        </w:rPr>
        <w:t>for</w:t>
      </w:r>
      <w:r>
        <w:rPr>
          <w:rFonts w:ascii="Times New Roman" w:hAnsi="Times New Roman" w:cs="Times New Roman"/>
          <w:sz w:val="24"/>
          <w:szCs w:val="24"/>
        </w:rPr>
        <w:t xml:space="preserve"> frequency regulation providers. The rule was the result of an extensive investigation, </w:t>
      </w:r>
      <w:r w:rsidR="00E40E6A">
        <w:rPr>
          <w:rFonts w:ascii="Times New Roman" w:hAnsi="Times New Roman" w:cs="Times New Roman"/>
          <w:sz w:val="24"/>
          <w:szCs w:val="24"/>
        </w:rPr>
        <w:t>in which FERC determined that the</w:t>
      </w:r>
      <w:r w:rsidR="004F549D">
        <w:rPr>
          <w:rFonts w:ascii="Times New Roman" w:hAnsi="Times New Roman" w:cs="Times New Roman"/>
          <w:sz w:val="24"/>
          <w:szCs w:val="24"/>
        </w:rPr>
        <w:t xml:space="preserve"> ability</w:t>
      </w:r>
      <w:r w:rsidR="00E40E6A">
        <w:rPr>
          <w:rFonts w:ascii="Times New Roman" w:hAnsi="Times New Roman" w:cs="Times New Roman"/>
          <w:sz w:val="24"/>
          <w:szCs w:val="24"/>
        </w:rPr>
        <w:t xml:space="preserve"> of resources like batteries and flywheels</w:t>
      </w:r>
      <w:r w:rsidR="004F549D">
        <w:rPr>
          <w:rFonts w:ascii="Times New Roman" w:hAnsi="Times New Roman" w:cs="Times New Roman"/>
          <w:sz w:val="24"/>
          <w:szCs w:val="24"/>
        </w:rPr>
        <w:t xml:space="preserve"> to quickly ramp up (by discharging stored</w:t>
      </w:r>
      <w:r w:rsidR="00E40E6A">
        <w:rPr>
          <w:rFonts w:ascii="Times New Roman" w:hAnsi="Times New Roman" w:cs="Times New Roman"/>
          <w:sz w:val="24"/>
          <w:szCs w:val="24"/>
        </w:rPr>
        <w:t xml:space="preserve"> energy</w:t>
      </w:r>
      <w:r w:rsidR="004F549D">
        <w:rPr>
          <w:rFonts w:ascii="Times New Roman" w:hAnsi="Times New Roman" w:cs="Times New Roman"/>
          <w:sz w:val="24"/>
          <w:szCs w:val="24"/>
        </w:rPr>
        <w:t xml:space="preserve"> into the grid) or down (by absorbing excess energy from the grid) made </w:t>
      </w:r>
      <w:r w:rsidR="00E40E6A">
        <w:rPr>
          <w:rFonts w:ascii="Times New Roman" w:hAnsi="Times New Roman" w:cs="Times New Roman"/>
          <w:sz w:val="24"/>
          <w:szCs w:val="24"/>
        </w:rPr>
        <w:t>them</w:t>
      </w:r>
      <w:r w:rsidR="004F549D">
        <w:rPr>
          <w:rFonts w:ascii="Times New Roman" w:hAnsi="Times New Roman" w:cs="Times New Roman"/>
          <w:sz w:val="24"/>
          <w:szCs w:val="24"/>
        </w:rPr>
        <w:t xml:space="preserve"> more efficient at providing frequency regulation, but existing capacity-based compensation structures failed to account for those capabili</w:t>
      </w:r>
      <w:r w:rsidR="00E40E6A">
        <w:rPr>
          <w:rFonts w:ascii="Times New Roman" w:hAnsi="Times New Roman" w:cs="Times New Roman"/>
          <w:sz w:val="24"/>
          <w:szCs w:val="24"/>
        </w:rPr>
        <w:t>ties and unfairly advantaged</w:t>
      </w:r>
      <w:r w:rsidR="004F549D">
        <w:rPr>
          <w:rFonts w:ascii="Times New Roman" w:hAnsi="Times New Roman" w:cs="Times New Roman"/>
          <w:sz w:val="24"/>
          <w:szCs w:val="24"/>
        </w:rPr>
        <w:t xml:space="preserve"> larger, less efficient </w:t>
      </w:r>
      <w:r w:rsidR="00E40E6A">
        <w:rPr>
          <w:rFonts w:ascii="Times New Roman" w:hAnsi="Times New Roman" w:cs="Times New Roman"/>
          <w:sz w:val="24"/>
          <w:szCs w:val="24"/>
        </w:rPr>
        <w:t>generation facilities</w:t>
      </w:r>
      <w:r w:rsidR="004F549D">
        <w:rPr>
          <w:rFonts w:ascii="Times New Roman" w:hAnsi="Times New Roman" w:cs="Times New Roman"/>
          <w:sz w:val="24"/>
          <w:szCs w:val="24"/>
        </w:rPr>
        <w:t>.</w:t>
      </w:r>
      <w:r w:rsidR="004F549D">
        <w:rPr>
          <w:rStyle w:val="FootnoteReference"/>
          <w:rFonts w:ascii="Times New Roman" w:hAnsi="Times New Roman" w:cs="Times New Roman"/>
          <w:sz w:val="24"/>
          <w:szCs w:val="24"/>
        </w:rPr>
        <w:footnoteReference w:id="17"/>
      </w:r>
      <w:r w:rsidR="004F549D">
        <w:rPr>
          <w:rFonts w:ascii="Times New Roman" w:hAnsi="Times New Roman" w:cs="Times New Roman"/>
          <w:sz w:val="24"/>
          <w:szCs w:val="24"/>
        </w:rPr>
        <w:t xml:space="preserve"> In its order, FERC concluded that:</w:t>
      </w:r>
    </w:p>
    <w:p w14:paraId="1550D5A3" w14:textId="77777777" w:rsidR="004F549D" w:rsidRDefault="004F549D" w:rsidP="004F549D">
      <w:pPr>
        <w:ind w:left="720" w:right="720"/>
        <w:rPr>
          <w:rFonts w:ascii="Times New Roman" w:hAnsi="Times New Roman" w:cs="Times New Roman"/>
          <w:sz w:val="24"/>
          <w:szCs w:val="24"/>
        </w:rPr>
      </w:pPr>
      <w:r>
        <w:rPr>
          <w:rFonts w:ascii="Times New Roman" w:hAnsi="Times New Roman" w:cs="Times New Roman"/>
          <w:sz w:val="24"/>
          <w:szCs w:val="24"/>
        </w:rPr>
        <w:t>Both existing market participants and potential entrants are affected by inefficient pricing. It is possible that existing market participants would offer faster ramping capabilities to the system operator in response to a pricing scheme that recognized such service.</w:t>
      </w:r>
      <w:r w:rsidR="006A4709">
        <w:rPr>
          <w:rStyle w:val="FootnoteReference"/>
          <w:rFonts w:ascii="Times New Roman" w:hAnsi="Times New Roman" w:cs="Times New Roman"/>
          <w:sz w:val="24"/>
          <w:szCs w:val="24"/>
        </w:rPr>
        <w:footnoteReference w:id="18"/>
      </w:r>
    </w:p>
    <w:p w14:paraId="1550D5A4" w14:textId="77777777" w:rsidR="006A4709" w:rsidRDefault="006A4709" w:rsidP="006A4709">
      <w:pPr>
        <w:rPr>
          <w:rFonts w:ascii="Times New Roman" w:hAnsi="Times New Roman" w:cs="Times New Roman"/>
          <w:sz w:val="24"/>
          <w:szCs w:val="24"/>
        </w:rPr>
      </w:pPr>
      <w:r>
        <w:rPr>
          <w:rFonts w:ascii="Times New Roman" w:hAnsi="Times New Roman" w:cs="Times New Roman"/>
          <w:sz w:val="24"/>
          <w:szCs w:val="24"/>
        </w:rPr>
        <w:t xml:space="preserve">Several commenters in FERC’s proceeding </w:t>
      </w:r>
      <w:r w:rsidR="00E40E6A">
        <w:rPr>
          <w:rFonts w:ascii="Times New Roman" w:hAnsi="Times New Roman" w:cs="Times New Roman"/>
          <w:sz w:val="24"/>
          <w:szCs w:val="24"/>
        </w:rPr>
        <w:t>quantified</w:t>
      </w:r>
      <w:r>
        <w:rPr>
          <w:rFonts w:ascii="Times New Roman" w:hAnsi="Times New Roman" w:cs="Times New Roman"/>
          <w:sz w:val="24"/>
          <w:szCs w:val="24"/>
        </w:rPr>
        <w:t xml:space="preserve"> the economic benefits of using smaller, faster resources for frequency regulation. One commenter sho</w:t>
      </w:r>
      <w:r w:rsidR="00E40E6A">
        <w:rPr>
          <w:rFonts w:ascii="Times New Roman" w:hAnsi="Times New Roman" w:cs="Times New Roman"/>
          <w:sz w:val="24"/>
          <w:szCs w:val="24"/>
        </w:rPr>
        <w:t>wed that under this approach, one</w:t>
      </w:r>
      <w:r>
        <w:rPr>
          <w:rFonts w:ascii="Times New Roman" w:hAnsi="Times New Roman" w:cs="Times New Roman"/>
          <w:sz w:val="24"/>
          <w:szCs w:val="24"/>
        </w:rPr>
        <w:t xml:space="preserve"> ISO could reduce the amount of capacity it needed to reserve for frequency regulation by 40 percent, reduce its total frequency regulation expenses by 27 percent, and release 40 megawatts of generation capacity into the market.</w:t>
      </w:r>
      <w:r w:rsidR="005036C8">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Order 755 concluded that: </w:t>
      </w:r>
    </w:p>
    <w:p w14:paraId="1550D5A5" w14:textId="77777777" w:rsidR="006A4709" w:rsidRDefault="006A4709" w:rsidP="006A4709">
      <w:pPr>
        <w:ind w:left="720" w:right="720"/>
        <w:rPr>
          <w:rFonts w:ascii="Times New Roman" w:hAnsi="Times New Roman" w:cs="Times New Roman"/>
          <w:sz w:val="24"/>
          <w:szCs w:val="24"/>
        </w:rPr>
      </w:pPr>
      <w:r>
        <w:rPr>
          <w:rFonts w:ascii="Times New Roman" w:hAnsi="Times New Roman" w:cs="Times New Roman"/>
          <w:sz w:val="24"/>
          <w:szCs w:val="24"/>
        </w:rPr>
        <w:t xml:space="preserve">The use of faster-ramping resources for frequency regulation has the potential to improve operational and economic efficiency and, in turn, lower costs to </w:t>
      </w:r>
      <w:r>
        <w:rPr>
          <w:rFonts w:ascii="Times New Roman" w:hAnsi="Times New Roman" w:cs="Times New Roman"/>
          <w:sz w:val="24"/>
          <w:szCs w:val="24"/>
        </w:rPr>
        <w:lastRenderedPageBreak/>
        <w:t>consumers in the organized markets. Faster-ramping resources may be able to replace resources that currently provide frequency regulation, so that RTOs and ISOs may be able to procure less regulation capacity, thereby lowering costs to load.</w:t>
      </w:r>
      <w:r>
        <w:rPr>
          <w:rStyle w:val="FootnoteReference"/>
          <w:rFonts w:ascii="Times New Roman" w:hAnsi="Times New Roman" w:cs="Times New Roman"/>
          <w:sz w:val="24"/>
          <w:szCs w:val="24"/>
        </w:rPr>
        <w:footnoteReference w:id="20"/>
      </w:r>
    </w:p>
    <w:p w14:paraId="1550D5A6" w14:textId="77777777" w:rsidR="003B317E" w:rsidRDefault="00344225" w:rsidP="006A4709">
      <w:pPr>
        <w:ind w:right="720"/>
        <w:rPr>
          <w:rFonts w:ascii="Times New Roman" w:hAnsi="Times New Roman" w:cs="Times New Roman"/>
          <w:sz w:val="24"/>
          <w:szCs w:val="24"/>
        </w:rPr>
      </w:pPr>
      <w:r>
        <w:rPr>
          <w:rFonts w:ascii="Times New Roman" w:hAnsi="Times New Roman" w:cs="Times New Roman"/>
          <w:sz w:val="24"/>
          <w:szCs w:val="24"/>
        </w:rPr>
        <w:t>The impact</w:t>
      </w:r>
      <w:r w:rsidR="003B317E">
        <w:rPr>
          <w:rFonts w:ascii="Times New Roman" w:hAnsi="Times New Roman" w:cs="Times New Roman"/>
          <w:sz w:val="24"/>
          <w:szCs w:val="24"/>
        </w:rPr>
        <w:t>s</w:t>
      </w:r>
      <w:r>
        <w:rPr>
          <w:rFonts w:ascii="Times New Roman" w:hAnsi="Times New Roman" w:cs="Times New Roman"/>
          <w:sz w:val="24"/>
          <w:szCs w:val="24"/>
        </w:rPr>
        <w:t xml:space="preserve"> of this order</w:t>
      </w:r>
      <w:r w:rsidR="003B317E">
        <w:rPr>
          <w:rFonts w:ascii="Times New Roman" w:hAnsi="Times New Roman" w:cs="Times New Roman"/>
          <w:sz w:val="24"/>
          <w:szCs w:val="24"/>
        </w:rPr>
        <w:t xml:space="preserve"> were substantial and prompt</w:t>
      </w:r>
      <w:r>
        <w:rPr>
          <w:rFonts w:ascii="Times New Roman" w:hAnsi="Times New Roman" w:cs="Times New Roman"/>
          <w:sz w:val="24"/>
          <w:szCs w:val="24"/>
        </w:rPr>
        <w:t xml:space="preserve">. </w:t>
      </w:r>
      <w:r w:rsidR="003B317E">
        <w:rPr>
          <w:rFonts w:ascii="Times New Roman" w:hAnsi="Times New Roman" w:cs="Times New Roman"/>
          <w:sz w:val="24"/>
          <w:szCs w:val="24"/>
        </w:rPr>
        <w:t>Within a year of instituting market rules as directed by Order 755, an influx of storage resources had enabled PJM Interconnection to reduce its expenditures on regulation services by 10 percent and free up more than 240 MW of capacity that had previously bee</w:t>
      </w:r>
      <w:r w:rsidR="0062265F">
        <w:rPr>
          <w:rFonts w:ascii="Times New Roman" w:hAnsi="Times New Roman" w:cs="Times New Roman"/>
          <w:sz w:val="24"/>
          <w:szCs w:val="24"/>
        </w:rPr>
        <w:t>n needed for regulation</w:t>
      </w:r>
      <w:r w:rsidR="003B317E">
        <w:rPr>
          <w:rFonts w:ascii="Times New Roman" w:hAnsi="Times New Roman" w:cs="Times New Roman"/>
          <w:sz w:val="24"/>
          <w:szCs w:val="24"/>
        </w:rPr>
        <w:t>.</w:t>
      </w:r>
      <w:r w:rsidR="003B317E">
        <w:rPr>
          <w:rStyle w:val="FootnoteReference"/>
          <w:rFonts w:ascii="Times New Roman" w:hAnsi="Times New Roman" w:cs="Times New Roman"/>
          <w:sz w:val="24"/>
          <w:szCs w:val="24"/>
        </w:rPr>
        <w:footnoteReference w:id="21"/>
      </w:r>
    </w:p>
    <w:p w14:paraId="1550D5A7" w14:textId="77777777" w:rsidR="00344225" w:rsidRDefault="00344225" w:rsidP="006A4709">
      <w:pPr>
        <w:ind w:right="720"/>
        <w:rPr>
          <w:rFonts w:ascii="Times New Roman" w:hAnsi="Times New Roman" w:cs="Times New Roman"/>
          <w:sz w:val="24"/>
          <w:szCs w:val="24"/>
        </w:rPr>
      </w:pPr>
      <w:r>
        <w:rPr>
          <w:rFonts w:ascii="Times New Roman" w:hAnsi="Times New Roman" w:cs="Times New Roman"/>
          <w:sz w:val="24"/>
          <w:szCs w:val="24"/>
        </w:rPr>
        <w:t xml:space="preserve">In 2014, </w:t>
      </w:r>
      <w:r w:rsidR="00E12497">
        <w:rPr>
          <w:rFonts w:ascii="Times New Roman" w:hAnsi="Times New Roman" w:cs="Times New Roman"/>
          <w:sz w:val="24"/>
          <w:szCs w:val="24"/>
        </w:rPr>
        <w:t xml:space="preserve">the vast majority of the 61.9 MW of energy storage that were installed in the U.S. were installed in organized markets that have ancillary markets capable of fairly compensating energy storage. PJM, the </w:t>
      </w:r>
      <w:r w:rsidR="00023A88">
        <w:rPr>
          <w:rFonts w:ascii="Times New Roman" w:hAnsi="Times New Roman" w:cs="Times New Roman"/>
          <w:sz w:val="24"/>
          <w:szCs w:val="24"/>
        </w:rPr>
        <w:t>RTO</w:t>
      </w:r>
      <w:r w:rsidR="00E12497">
        <w:rPr>
          <w:rFonts w:ascii="Times New Roman" w:hAnsi="Times New Roman" w:cs="Times New Roman"/>
          <w:sz w:val="24"/>
          <w:szCs w:val="24"/>
        </w:rPr>
        <w:t xml:space="preserve"> that has the most robust ancillary market</w:t>
      </w:r>
      <w:r w:rsidR="0062265F">
        <w:rPr>
          <w:rFonts w:ascii="Times New Roman" w:hAnsi="Times New Roman" w:cs="Times New Roman"/>
          <w:sz w:val="24"/>
          <w:szCs w:val="24"/>
        </w:rPr>
        <w:t>s, was home to two-thirds of all</w:t>
      </w:r>
      <w:r w:rsidR="00E12497">
        <w:rPr>
          <w:rFonts w:ascii="Times New Roman" w:hAnsi="Times New Roman" w:cs="Times New Roman"/>
          <w:sz w:val="24"/>
          <w:szCs w:val="24"/>
        </w:rPr>
        <w:t xml:space="preserve"> energy storage capacity installed in 2014.</w:t>
      </w:r>
      <w:r w:rsidR="00E12497">
        <w:rPr>
          <w:rStyle w:val="FootnoteReference"/>
          <w:rFonts w:ascii="Times New Roman" w:hAnsi="Times New Roman" w:cs="Times New Roman"/>
          <w:sz w:val="24"/>
          <w:szCs w:val="24"/>
        </w:rPr>
        <w:footnoteReference w:id="22"/>
      </w:r>
      <w:r w:rsidR="00E12497">
        <w:rPr>
          <w:rFonts w:ascii="Times New Roman" w:hAnsi="Times New Roman" w:cs="Times New Roman"/>
          <w:sz w:val="24"/>
          <w:szCs w:val="24"/>
        </w:rPr>
        <w:t xml:space="preserve"> </w:t>
      </w:r>
    </w:p>
    <w:p w14:paraId="1550D5A8" w14:textId="77777777" w:rsidR="00E372F6" w:rsidRDefault="0062265F" w:rsidP="00805EBE">
      <w:pPr>
        <w:ind w:right="720"/>
        <w:rPr>
          <w:rFonts w:ascii="Times New Roman" w:hAnsi="Times New Roman" w:cs="Times New Roman"/>
          <w:sz w:val="24"/>
          <w:szCs w:val="24"/>
        </w:rPr>
      </w:pPr>
      <w:r>
        <w:rPr>
          <w:rFonts w:ascii="Times New Roman" w:hAnsi="Times New Roman" w:cs="Times New Roman"/>
          <w:sz w:val="24"/>
          <w:szCs w:val="24"/>
        </w:rPr>
        <w:t xml:space="preserve">The 2014 data are indicative of a broader trend, which has seen </w:t>
      </w:r>
      <w:r w:rsidR="00CE6EF4">
        <w:rPr>
          <w:rFonts w:ascii="Times New Roman" w:hAnsi="Times New Roman" w:cs="Times New Roman"/>
          <w:sz w:val="24"/>
          <w:szCs w:val="24"/>
        </w:rPr>
        <w:t>the majority of</w:t>
      </w:r>
      <w:r>
        <w:rPr>
          <w:rFonts w:ascii="Times New Roman" w:hAnsi="Times New Roman" w:cs="Times New Roman"/>
          <w:sz w:val="24"/>
          <w:szCs w:val="24"/>
        </w:rPr>
        <w:t xml:space="preserve"> storage projects in the U.S. move toward the ISOs and RTOs that were required by Order 755 to develop compensatory mechanisms for energy storage. </w:t>
      </w:r>
      <w:r w:rsidR="00805EBE">
        <w:rPr>
          <w:rFonts w:ascii="Times New Roman" w:hAnsi="Times New Roman" w:cs="Times New Roman"/>
          <w:sz w:val="24"/>
          <w:szCs w:val="24"/>
        </w:rPr>
        <w:t>According to the U.S. Department of Energy’s database of energy storage projects around the world,</w:t>
      </w:r>
      <w:r w:rsidR="00805EBE">
        <w:rPr>
          <w:rStyle w:val="FootnoteReference"/>
          <w:rFonts w:ascii="Times New Roman" w:hAnsi="Times New Roman" w:cs="Times New Roman"/>
          <w:sz w:val="24"/>
          <w:szCs w:val="24"/>
        </w:rPr>
        <w:footnoteReference w:id="23"/>
      </w:r>
      <w:r w:rsidR="00805EBE">
        <w:rPr>
          <w:rFonts w:ascii="Times New Roman" w:hAnsi="Times New Roman" w:cs="Times New Roman"/>
          <w:sz w:val="24"/>
          <w:szCs w:val="24"/>
        </w:rPr>
        <w:t xml:space="preserve"> of the 4,064 MW of energy storage projects in the U.S. that have been announced or begun construction, 84 percent are located in an organized market covered by Order 755.</w:t>
      </w:r>
      <w:r w:rsidR="009504DE">
        <w:rPr>
          <w:rStyle w:val="FootnoteReference"/>
          <w:rFonts w:ascii="Times New Roman" w:hAnsi="Times New Roman" w:cs="Times New Roman"/>
          <w:sz w:val="24"/>
          <w:szCs w:val="24"/>
        </w:rPr>
        <w:footnoteReference w:id="24"/>
      </w:r>
      <w:r w:rsidR="006E6927">
        <w:rPr>
          <w:rFonts w:ascii="Times New Roman" w:hAnsi="Times New Roman" w:cs="Times New Roman"/>
          <w:sz w:val="24"/>
          <w:szCs w:val="24"/>
        </w:rPr>
        <w:t xml:space="preserve"> </w:t>
      </w:r>
    </w:p>
    <w:p w14:paraId="1550D5A9" w14:textId="77777777" w:rsidR="003417BB" w:rsidRDefault="003417BB" w:rsidP="006F5282">
      <w:pPr>
        <w:rPr>
          <w:rFonts w:ascii="Times New Roman" w:hAnsi="Times New Roman" w:cs="Times New Roman"/>
          <w:sz w:val="24"/>
          <w:szCs w:val="24"/>
        </w:rPr>
      </w:pPr>
      <w:r>
        <w:rPr>
          <w:rFonts w:ascii="Times New Roman" w:hAnsi="Times New Roman" w:cs="Times New Roman"/>
          <w:sz w:val="24"/>
          <w:szCs w:val="24"/>
        </w:rPr>
        <w:t>In 2013, FERC built on its previous orders with Order 784, which required transmission providers to consider the “speed and accuracy of regulation resources” when determining a customer’s reserve requirements for the regulation and frequency response service,</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which FERC had identified as one of the ancillary services necessary for balancing the grid in Order 888.</w:t>
      </w:r>
      <w:r w:rsidR="00D50E61">
        <w:rPr>
          <w:rFonts w:ascii="Times New Roman" w:hAnsi="Times New Roman" w:cs="Times New Roman"/>
          <w:sz w:val="24"/>
          <w:szCs w:val="24"/>
        </w:rPr>
        <w:t xml:space="preserve"> </w:t>
      </w:r>
    </w:p>
    <w:p w14:paraId="1550D5AA" w14:textId="77777777" w:rsidR="006B2FCD" w:rsidRDefault="008151A8" w:rsidP="006F5282">
      <w:pPr>
        <w:rPr>
          <w:rFonts w:ascii="Times New Roman" w:hAnsi="Times New Roman" w:cs="Times New Roman"/>
          <w:sz w:val="24"/>
          <w:szCs w:val="24"/>
        </w:rPr>
      </w:pPr>
      <w:r>
        <w:rPr>
          <w:rFonts w:ascii="Times New Roman" w:hAnsi="Times New Roman" w:cs="Times New Roman"/>
          <w:sz w:val="24"/>
          <w:szCs w:val="24"/>
        </w:rPr>
        <w:t xml:space="preserve">While FERC’s orders apply only to the wholesale markets and interstate transmission activities that it regulates, they were based on fundamental principles of grid operations and economics. A utility operating its own balancing area, like Washington’s three investor-owned utilities, may not be subject to FERC’s </w:t>
      </w:r>
      <w:r w:rsidR="006B2FCD">
        <w:rPr>
          <w:rFonts w:ascii="Times New Roman" w:hAnsi="Times New Roman" w:cs="Times New Roman"/>
          <w:sz w:val="24"/>
          <w:szCs w:val="24"/>
        </w:rPr>
        <w:t>orders, but it is still responsible for providing the ancillary services that, as identified in Order 888, are necessary for keeping the grid in balance. And among those necessary services are the frequency and regulation service that Orders 755 and 784</w:t>
      </w:r>
      <w:r w:rsidR="00394796">
        <w:rPr>
          <w:rFonts w:ascii="Times New Roman" w:hAnsi="Times New Roman" w:cs="Times New Roman"/>
          <w:sz w:val="24"/>
          <w:szCs w:val="24"/>
        </w:rPr>
        <w:t xml:space="preserve"> sought to </w:t>
      </w:r>
      <w:r w:rsidR="00394796">
        <w:rPr>
          <w:rFonts w:ascii="Times New Roman" w:hAnsi="Times New Roman" w:cs="Times New Roman"/>
          <w:sz w:val="24"/>
          <w:szCs w:val="24"/>
        </w:rPr>
        <w:lastRenderedPageBreak/>
        <w:t>make more efficient. Even if the utility does not have a market to monetize all of the benefits that energy storage provides, those benefits have a quantifiable and tangible benefit to the utility’s system that should be reflected in the utility’s planning.</w:t>
      </w:r>
    </w:p>
    <w:p w14:paraId="1550D5AB" w14:textId="77777777" w:rsidR="008151A8" w:rsidRPr="006F5282" w:rsidRDefault="006B2FCD" w:rsidP="006F5282">
      <w:pPr>
        <w:rPr>
          <w:rFonts w:ascii="Times New Roman" w:hAnsi="Times New Roman" w:cs="Times New Roman"/>
          <w:sz w:val="24"/>
          <w:szCs w:val="24"/>
        </w:rPr>
      </w:pPr>
      <w:r>
        <w:rPr>
          <w:rFonts w:ascii="Times New Roman" w:hAnsi="Times New Roman" w:cs="Times New Roman"/>
          <w:sz w:val="24"/>
          <w:szCs w:val="24"/>
        </w:rPr>
        <w:t xml:space="preserve">By requiring </w:t>
      </w:r>
      <w:r w:rsidR="00805EBE">
        <w:rPr>
          <w:rFonts w:ascii="Times New Roman" w:hAnsi="Times New Roman" w:cs="Times New Roman"/>
          <w:sz w:val="24"/>
          <w:szCs w:val="24"/>
        </w:rPr>
        <w:t>organized electricity markets</w:t>
      </w:r>
      <w:r>
        <w:rPr>
          <w:rFonts w:ascii="Times New Roman" w:hAnsi="Times New Roman" w:cs="Times New Roman"/>
          <w:sz w:val="24"/>
          <w:szCs w:val="24"/>
        </w:rPr>
        <w:t xml:space="preserve"> to </w:t>
      </w:r>
      <w:r w:rsidR="00E067CC">
        <w:rPr>
          <w:rFonts w:ascii="Times New Roman" w:hAnsi="Times New Roman" w:cs="Times New Roman"/>
          <w:sz w:val="24"/>
          <w:szCs w:val="24"/>
        </w:rPr>
        <w:t>quantify and monetize</w:t>
      </w:r>
      <w:r>
        <w:rPr>
          <w:rFonts w:ascii="Times New Roman" w:hAnsi="Times New Roman" w:cs="Times New Roman"/>
          <w:sz w:val="24"/>
          <w:szCs w:val="24"/>
        </w:rPr>
        <w:t xml:space="preserve"> the value of energy storage, FERC has shown ener</w:t>
      </w:r>
      <w:r w:rsidR="00394796">
        <w:rPr>
          <w:rFonts w:ascii="Times New Roman" w:hAnsi="Times New Roman" w:cs="Times New Roman"/>
          <w:sz w:val="24"/>
          <w:szCs w:val="24"/>
        </w:rPr>
        <w:t>gy storage is feasible and cost-</w:t>
      </w:r>
      <w:r>
        <w:rPr>
          <w:rFonts w:ascii="Times New Roman" w:hAnsi="Times New Roman" w:cs="Times New Roman"/>
          <w:sz w:val="24"/>
          <w:szCs w:val="24"/>
        </w:rPr>
        <w:t xml:space="preserve">effective now. The </w:t>
      </w:r>
      <w:r w:rsidR="00394796">
        <w:rPr>
          <w:rFonts w:ascii="Times New Roman" w:hAnsi="Times New Roman" w:cs="Times New Roman"/>
          <w:sz w:val="24"/>
          <w:szCs w:val="24"/>
        </w:rPr>
        <w:t>c</w:t>
      </w:r>
      <w:r>
        <w:rPr>
          <w:rFonts w:ascii="Times New Roman" w:hAnsi="Times New Roman" w:cs="Times New Roman"/>
          <w:sz w:val="24"/>
          <w:szCs w:val="24"/>
        </w:rPr>
        <w:t xml:space="preserve">ommission may not have a market to </w:t>
      </w:r>
      <w:r w:rsidR="00D50E61">
        <w:rPr>
          <w:rFonts w:ascii="Times New Roman" w:hAnsi="Times New Roman" w:cs="Times New Roman"/>
          <w:sz w:val="24"/>
          <w:szCs w:val="24"/>
        </w:rPr>
        <w:t>implement storage valuation as FERC did, but it does have authority over how utilities treat these resources in their planning and procurement processes.</w:t>
      </w:r>
      <w:r w:rsidR="00394796">
        <w:rPr>
          <w:rFonts w:ascii="Times New Roman" w:hAnsi="Times New Roman" w:cs="Times New Roman"/>
          <w:sz w:val="24"/>
          <w:szCs w:val="24"/>
        </w:rPr>
        <w:t xml:space="preserve"> By </w:t>
      </w:r>
      <w:r w:rsidR="00805EBE">
        <w:rPr>
          <w:rFonts w:ascii="Times New Roman" w:hAnsi="Times New Roman" w:cs="Times New Roman"/>
          <w:sz w:val="24"/>
          <w:szCs w:val="24"/>
        </w:rPr>
        <w:t>requiring</w:t>
      </w:r>
      <w:r w:rsidR="00394796">
        <w:rPr>
          <w:rFonts w:ascii="Times New Roman" w:hAnsi="Times New Roman" w:cs="Times New Roman"/>
          <w:sz w:val="24"/>
          <w:szCs w:val="24"/>
        </w:rPr>
        <w:t xml:space="preserve"> utilities </w:t>
      </w:r>
      <w:r w:rsidR="00805EBE">
        <w:rPr>
          <w:rFonts w:ascii="Times New Roman" w:hAnsi="Times New Roman" w:cs="Times New Roman"/>
          <w:sz w:val="24"/>
          <w:szCs w:val="24"/>
        </w:rPr>
        <w:t xml:space="preserve">to </w:t>
      </w:r>
      <w:r w:rsidR="00394796">
        <w:rPr>
          <w:rFonts w:ascii="Times New Roman" w:hAnsi="Times New Roman" w:cs="Times New Roman"/>
          <w:sz w:val="24"/>
          <w:szCs w:val="24"/>
        </w:rPr>
        <w:t xml:space="preserve">account for the value of energy storage in their planning, the commission can </w:t>
      </w:r>
      <w:r w:rsidR="00805EBE">
        <w:rPr>
          <w:rFonts w:ascii="Times New Roman" w:hAnsi="Times New Roman" w:cs="Times New Roman"/>
          <w:sz w:val="24"/>
          <w:szCs w:val="24"/>
        </w:rPr>
        <w:t>ensure</w:t>
      </w:r>
      <w:r w:rsidR="00394796">
        <w:rPr>
          <w:rFonts w:ascii="Times New Roman" w:hAnsi="Times New Roman" w:cs="Times New Roman"/>
          <w:sz w:val="24"/>
          <w:szCs w:val="24"/>
        </w:rPr>
        <w:t xml:space="preserve"> that utilities will identify and pursue the energy storage projects that will improve system operations and reduce costs for ratepayers. </w:t>
      </w:r>
    </w:p>
    <w:p w14:paraId="1550D5AC" w14:textId="77777777" w:rsidR="00D50E61" w:rsidRDefault="00267B6E">
      <w:pPr>
        <w:contextualSpacing/>
        <w:rPr>
          <w:rFonts w:ascii="Times New Roman" w:hAnsi="Times New Roman" w:cs="Times New Roman"/>
          <w:i/>
          <w:sz w:val="24"/>
          <w:szCs w:val="24"/>
        </w:rPr>
      </w:pPr>
      <w:r>
        <w:rPr>
          <w:rFonts w:ascii="Times New Roman" w:hAnsi="Times New Roman" w:cs="Times New Roman"/>
          <w:i/>
          <w:sz w:val="24"/>
          <w:szCs w:val="24"/>
        </w:rPr>
        <w:t>Other states</w:t>
      </w:r>
    </w:p>
    <w:p w14:paraId="1550D5AD" w14:textId="77777777" w:rsidR="008B29B1" w:rsidRDefault="008B29B1">
      <w:pPr>
        <w:contextualSpacing/>
        <w:rPr>
          <w:rFonts w:ascii="Times New Roman" w:hAnsi="Times New Roman" w:cs="Times New Roman"/>
          <w:i/>
          <w:sz w:val="24"/>
          <w:szCs w:val="24"/>
        </w:rPr>
      </w:pPr>
    </w:p>
    <w:p w14:paraId="1550D5AE" w14:textId="77777777" w:rsidR="008B29B1" w:rsidRPr="008B29B1" w:rsidRDefault="008B29B1">
      <w:pPr>
        <w:contextualSpacing/>
        <w:rPr>
          <w:rFonts w:ascii="Times New Roman" w:hAnsi="Times New Roman" w:cs="Times New Roman"/>
          <w:sz w:val="24"/>
          <w:szCs w:val="24"/>
        </w:rPr>
      </w:pPr>
      <w:r>
        <w:rPr>
          <w:rFonts w:ascii="Times New Roman" w:hAnsi="Times New Roman" w:cs="Times New Roman"/>
          <w:sz w:val="24"/>
          <w:szCs w:val="24"/>
        </w:rPr>
        <w:t>While efforts are underway in many states to better understand the costs and benefits of energy storage,</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California and New York have moved to the leading edge</w:t>
      </w:r>
      <w:r w:rsidR="00394796">
        <w:rPr>
          <w:rFonts w:ascii="Times New Roman" w:hAnsi="Times New Roman" w:cs="Times New Roman"/>
          <w:sz w:val="24"/>
          <w:szCs w:val="24"/>
        </w:rPr>
        <w:t>. But the two states</w:t>
      </w:r>
      <w:r>
        <w:rPr>
          <w:rFonts w:ascii="Times New Roman" w:hAnsi="Times New Roman" w:cs="Times New Roman"/>
          <w:sz w:val="24"/>
          <w:szCs w:val="24"/>
        </w:rPr>
        <w:t xml:space="preserve"> widely differ in their </w:t>
      </w:r>
      <w:r w:rsidR="00206EB1">
        <w:rPr>
          <w:rFonts w:ascii="Times New Roman" w:hAnsi="Times New Roman" w:cs="Times New Roman"/>
          <w:sz w:val="24"/>
          <w:szCs w:val="24"/>
        </w:rPr>
        <w:t>approach – New York’s is based on planning and economic resource selection, while California implemented a mandate for its utilities to acquire defined</w:t>
      </w:r>
      <w:r w:rsidR="00394796">
        <w:rPr>
          <w:rFonts w:ascii="Times New Roman" w:hAnsi="Times New Roman" w:cs="Times New Roman"/>
          <w:sz w:val="24"/>
          <w:szCs w:val="24"/>
        </w:rPr>
        <w:t xml:space="preserve"> amounts</w:t>
      </w:r>
      <w:r w:rsidR="00206EB1">
        <w:rPr>
          <w:rFonts w:ascii="Times New Roman" w:hAnsi="Times New Roman" w:cs="Times New Roman"/>
          <w:sz w:val="24"/>
          <w:szCs w:val="24"/>
        </w:rPr>
        <w:t xml:space="preserve"> of energy storage resources.</w:t>
      </w:r>
    </w:p>
    <w:p w14:paraId="1550D5AF" w14:textId="77777777" w:rsidR="008B29B1" w:rsidRDefault="008B29B1">
      <w:pPr>
        <w:contextualSpacing/>
        <w:rPr>
          <w:rFonts w:ascii="Times New Roman" w:hAnsi="Times New Roman" w:cs="Times New Roman"/>
          <w:sz w:val="24"/>
          <w:szCs w:val="24"/>
        </w:rPr>
      </w:pPr>
    </w:p>
    <w:p w14:paraId="1550D5B0" w14:textId="77777777" w:rsidR="008B29B1" w:rsidRDefault="008B29B1">
      <w:pPr>
        <w:contextualSpacing/>
        <w:rPr>
          <w:rFonts w:ascii="Times New Roman" w:hAnsi="Times New Roman" w:cs="Times New Roman"/>
          <w:sz w:val="24"/>
          <w:szCs w:val="24"/>
        </w:rPr>
      </w:pPr>
      <w:r>
        <w:rPr>
          <w:rFonts w:ascii="Times New Roman" w:hAnsi="Times New Roman" w:cs="Times New Roman"/>
          <w:sz w:val="24"/>
          <w:szCs w:val="24"/>
        </w:rPr>
        <w:t xml:space="preserve">The New York Department of Public Service recently issued the first order in its </w:t>
      </w:r>
      <w:r w:rsidR="004A2797">
        <w:rPr>
          <w:rFonts w:ascii="Times New Roman" w:hAnsi="Times New Roman" w:cs="Times New Roman"/>
          <w:sz w:val="24"/>
          <w:szCs w:val="24"/>
        </w:rPr>
        <w:t>“</w:t>
      </w:r>
      <w:r>
        <w:rPr>
          <w:rFonts w:ascii="Times New Roman" w:hAnsi="Times New Roman" w:cs="Times New Roman"/>
          <w:sz w:val="24"/>
          <w:szCs w:val="24"/>
        </w:rPr>
        <w:t>Reforming the Energy Vision</w:t>
      </w:r>
      <w:r w:rsidR="004A2797">
        <w:rPr>
          <w:rFonts w:ascii="Times New Roman" w:hAnsi="Times New Roman" w:cs="Times New Roman"/>
          <w:sz w:val="24"/>
          <w:szCs w:val="24"/>
        </w:rPr>
        <w:t>”</w:t>
      </w:r>
      <w:r>
        <w:rPr>
          <w:rFonts w:ascii="Times New Roman" w:hAnsi="Times New Roman" w:cs="Times New Roman"/>
          <w:sz w:val="24"/>
          <w:szCs w:val="24"/>
        </w:rPr>
        <w:t xml:space="preserve"> </w:t>
      </w:r>
      <w:r w:rsidR="00206EB1">
        <w:rPr>
          <w:rFonts w:ascii="Times New Roman" w:hAnsi="Times New Roman" w:cs="Times New Roman"/>
          <w:sz w:val="24"/>
          <w:szCs w:val="24"/>
        </w:rPr>
        <w:t xml:space="preserve">(REV) </w:t>
      </w:r>
      <w:r>
        <w:rPr>
          <w:rFonts w:ascii="Times New Roman" w:hAnsi="Times New Roman" w:cs="Times New Roman"/>
          <w:sz w:val="24"/>
          <w:szCs w:val="24"/>
        </w:rPr>
        <w:t xml:space="preserve">docket, which is fundamentally re-evaluating the state’s regulatory framework for electric utilities. That order </w:t>
      </w:r>
      <w:r w:rsidR="004A2797">
        <w:rPr>
          <w:rFonts w:ascii="Times New Roman" w:hAnsi="Times New Roman" w:cs="Times New Roman"/>
          <w:sz w:val="24"/>
          <w:szCs w:val="24"/>
        </w:rPr>
        <w:t>implemented</w:t>
      </w:r>
      <w:r>
        <w:rPr>
          <w:rFonts w:ascii="Times New Roman" w:hAnsi="Times New Roman" w:cs="Times New Roman"/>
          <w:sz w:val="24"/>
          <w:szCs w:val="24"/>
        </w:rPr>
        <w:t xml:space="preserve"> a staff recommendation to redefine electric</w:t>
      </w:r>
      <w:r w:rsidR="004A2797">
        <w:rPr>
          <w:rFonts w:ascii="Times New Roman" w:hAnsi="Times New Roman" w:cs="Times New Roman"/>
          <w:sz w:val="24"/>
          <w:szCs w:val="24"/>
        </w:rPr>
        <w:t xml:space="preserve"> distribution</w:t>
      </w:r>
      <w:r>
        <w:rPr>
          <w:rFonts w:ascii="Times New Roman" w:hAnsi="Times New Roman" w:cs="Times New Roman"/>
          <w:sz w:val="24"/>
          <w:szCs w:val="24"/>
        </w:rPr>
        <w:t xml:space="preserve"> utilities as “distribution system platform providers,” charged with </w:t>
      </w:r>
      <w:r w:rsidR="004A2797">
        <w:rPr>
          <w:rFonts w:ascii="Times New Roman" w:hAnsi="Times New Roman" w:cs="Times New Roman"/>
          <w:sz w:val="24"/>
          <w:szCs w:val="24"/>
        </w:rPr>
        <w:t xml:space="preserve">planning and operating systems that consider </w:t>
      </w:r>
      <w:r w:rsidR="00206EB1">
        <w:rPr>
          <w:rFonts w:ascii="Times New Roman" w:hAnsi="Times New Roman" w:cs="Times New Roman"/>
          <w:sz w:val="24"/>
          <w:szCs w:val="24"/>
        </w:rPr>
        <w:t xml:space="preserve">all energy resources, </w:t>
      </w:r>
      <w:r>
        <w:rPr>
          <w:rFonts w:ascii="Times New Roman" w:hAnsi="Times New Roman" w:cs="Times New Roman"/>
          <w:sz w:val="24"/>
          <w:szCs w:val="24"/>
        </w:rPr>
        <w:t>including distribu</w:t>
      </w:r>
      <w:r w:rsidR="00206EB1">
        <w:rPr>
          <w:rFonts w:ascii="Times New Roman" w:hAnsi="Times New Roman" w:cs="Times New Roman"/>
          <w:sz w:val="24"/>
          <w:szCs w:val="24"/>
        </w:rPr>
        <w:t>ted generation</w:t>
      </w:r>
      <w:r w:rsidR="004A2797">
        <w:rPr>
          <w:rFonts w:ascii="Times New Roman" w:hAnsi="Times New Roman" w:cs="Times New Roman"/>
          <w:sz w:val="24"/>
          <w:szCs w:val="24"/>
        </w:rPr>
        <w:t>.</w:t>
      </w:r>
      <w:r w:rsidR="004A2797">
        <w:rPr>
          <w:rStyle w:val="FootnoteReference"/>
          <w:rFonts w:ascii="Times New Roman" w:hAnsi="Times New Roman" w:cs="Times New Roman"/>
          <w:sz w:val="24"/>
          <w:szCs w:val="24"/>
        </w:rPr>
        <w:footnoteReference w:id="27"/>
      </w:r>
      <w:r w:rsidR="004A2797">
        <w:rPr>
          <w:rFonts w:ascii="Times New Roman" w:hAnsi="Times New Roman" w:cs="Times New Roman"/>
          <w:sz w:val="24"/>
          <w:szCs w:val="24"/>
        </w:rPr>
        <w:t xml:space="preserve"> </w:t>
      </w:r>
    </w:p>
    <w:p w14:paraId="1550D5B1" w14:textId="77777777" w:rsidR="00206EB1" w:rsidRDefault="00206EB1">
      <w:pPr>
        <w:contextualSpacing/>
        <w:rPr>
          <w:rFonts w:ascii="Times New Roman" w:hAnsi="Times New Roman" w:cs="Times New Roman"/>
          <w:sz w:val="24"/>
          <w:szCs w:val="24"/>
        </w:rPr>
      </w:pPr>
    </w:p>
    <w:p w14:paraId="1550D5B2" w14:textId="77777777" w:rsidR="00206EB1" w:rsidRDefault="00206EB1">
      <w:pPr>
        <w:contextualSpacing/>
        <w:rPr>
          <w:rFonts w:ascii="Times New Roman" w:hAnsi="Times New Roman" w:cs="Times New Roman"/>
          <w:sz w:val="24"/>
          <w:szCs w:val="24"/>
        </w:rPr>
      </w:pPr>
      <w:r>
        <w:rPr>
          <w:rFonts w:ascii="Times New Roman" w:hAnsi="Times New Roman" w:cs="Times New Roman"/>
          <w:sz w:val="24"/>
          <w:szCs w:val="24"/>
        </w:rPr>
        <w:t xml:space="preserve">Storage will play an “essential role” in the plans of the distribution system platform providers, according to the staff report that launched the REV docket. </w:t>
      </w:r>
      <w:r w:rsidR="002D7CE7">
        <w:rPr>
          <w:rFonts w:ascii="Times New Roman" w:hAnsi="Times New Roman" w:cs="Times New Roman"/>
          <w:sz w:val="24"/>
          <w:szCs w:val="24"/>
        </w:rPr>
        <w:t>The report concluded that a plan-based approach, in contrast to a mandate, would ensure that economically feasible projects are pursued.</w:t>
      </w:r>
      <w:r w:rsidR="002D7CE7">
        <w:rPr>
          <w:rStyle w:val="FootnoteReference"/>
          <w:rFonts w:ascii="Times New Roman" w:hAnsi="Times New Roman" w:cs="Times New Roman"/>
          <w:sz w:val="24"/>
          <w:szCs w:val="24"/>
        </w:rPr>
        <w:footnoteReference w:id="28"/>
      </w:r>
    </w:p>
    <w:p w14:paraId="1550D5B3" w14:textId="77777777" w:rsidR="00C71AA1" w:rsidRDefault="00C71AA1">
      <w:pPr>
        <w:contextualSpacing/>
        <w:rPr>
          <w:rFonts w:ascii="Times New Roman" w:hAnsi="Times New Roman" w:cs="Times New Roman"/>
          <w:sz w:val="24"/>
          <w:szCs w:val="24"/>
        </w:rPr>
      </w:pPr>
    </w:p>
    <w:p w14:paraId="1550D5B4" w14:textId="77777777" w:rsidR="00C71AA1" w:rsidRDefault="00C71AA1">
      <w:pPr>
        <w:contextualSpacing/>
        <w:rPr>
          <w:rFonts w:ascii="Times New Roman" w:hAnsi="Times New Roman" w:cs="Times New Roman"/>
          <w:sz w:val="24"/>
          <w:szCs w:val="24"/>
        </w:rPr>
      </w:pPr>
      <w:r>
        <w:rPr>
          <w:rFonts w:ascii="Times New Roman" w:hAnsi="Times New Roman" w:cs="Times New Roman"/>
          <w:sz w:val="24"/>
          <w:szCs w:val="24"/>
        </w:rPr>
        <w:t>In California, the Public Utilities Commission</w:t>
      </w:r>
      <w:r w:rsidR="007175BC">
        <w:rPr>
          <w:rFonts w:ascii="Times New Roman" w:hAnsi="Times New Roman" w:cs="Times New Roman"/>
          <w:sz w:val="24"/>
          <w:szCs w:val="24"/>
        </w:rPr>
        <w:t xml:space="preserve"> (CPUC)</w:t>
      </w:r>
      <w:r>
        <w:rPr>
          <w:rFonts w:ascii="Times New Roman" w:hAnsi="Times New Roman" w:cs="Times New Roman"/>
          <w:sz w:val="24"/>
          <w:szCs w:val="24"/>
        </w:rPr>
        <w:t xml:space="preserve"> </w:t>
      </w:r>
      <w:r w:rsidR="007175BC">
        <w:rPr>
          <w:rFonts w:ascii="Times New Roman" w:hAnsi="Times New Roman" w:cs="Times New Roman"/>
          <w:sz w:val="24"/>
          <w:szCs w:val="24"/>
        </w:rPr>
        <w:t xml:space="preserve">was directed by the legislature to “consider a variety of possible policies to encourage the cost-effective deployment of energy storage systems, including refinement of existing procurement methods to properly value energy </w:t>
      </w:r>
      <w:r w:rsidR="007175BC">
        <w:rPr>
          <w:rFonts w:ascii="Times New Roman" w:hAnsi="Times New Roman" w:cs="Times New Roman"/>
          <w:sz w:val="24"/>
          <w:szCs w:val="24"/>
        </w:rPr>
        <w:lastRenderedPageBreak/>
        <w:t>storage systems.”</w:t>
      </w:r>
      <w:r w:rsidR="007175BC">
        <w:rPr>
          <w:rStyle w:val="FootnoteReference"/>
          <w:rFonts w:ascii="Times New Roman" w:hAnsi="Times New Roman" w:cs="Times New Roman"/>
          <w:sz w:val="24"/>
          <w:szCs w:val="24"/>
        </w:rPr>
        <w:footnoteReference w:id="29"/>
      </w:r>
      <w:r w:rsidR="007175BC">
        <w:rPr>
          <w:rFonts w:ascii="Times New Roman" w:hAnsi="Times New Roman" w:cs="Times New Roman"/>
          <w:sz w:val="24"/>
          <w:szCs w:val="24"/>
        </w:rPr>
        <w:t xml:space="preserve"> The enabling legislation directed the CPUC to consider mandatory targets, but did not require their adoption. </w:t>
      </w:r>
    </w:p>
    <w:p w14:paraId="1550D5B5" w14:textId="77777777" w:rsidR="00FA47E2" w:rsidRDefault="00FA47E2">
      <w:pPr>
        <w:contextualSpacing/>
        <w:rPr>
          <w:rFonts w:ascii="Times New Roman" w:hAnsi="Times New Roman" w:cs="Times New Roman"/>
          <w:sz w:val="24"/>
          <w:szCs w:val="24"/>
        </w:rPr>
      </w:pPr>
    </w:p>
    <w:p w14:paraId="1550D5B6" w14:textId="77777777" w:rsidR="007175BC" w:rsidRDefault="007175BC">
      <w:pPr>
        <w:contextualSpacing/>
        <w:rPr>
          <w:rFonts w:ascii="Times New Roman" w:hAnsi="Times New Roman" w:cs="Times New Roman"/>
          <w:sz w:val="24"/>
          <w:szCs w:val="24"/>
        </w:rPr>
      </w:pPr>
      <w:r>
        <w:rPr>
          <w:rFonts w:ascii="Times New Roman" w:hAnsi="Times New Roman" w:cs="Times New Roman"/>
          <w:sz w:val="24"/>
          <w:szCs w:val="24"/>
        </w:rPr>
        <w:t>The CPUC ultimately chose to impose a mandate on the state’s three large, investor-owned utilities to procure 1,325 MW of energy storage systems by 2020. In its order, commissioners indicated that they selected the mandate as a means of driving market transformation in the energy storage industry.</w:t>
      </w:r>
      <w:r>
        <w:rPr>
          <w:rStyle w:val="FootnoteReference"/>
          <w:rFonts w:ascii="Times New Roman" w:hAnsi="Times New Roman" w:cs="Times New Roman"/>
          <w:sz w:val="24"/>
          <w:szCs w:val="24"/>
        </w:rPr>
        <w:footnoteReference w:id="30"/>
      </w:r>
    </w:p>
    <w:p w14:paraId="1550D5B7" w14:textId="77777777" w:rsidR="00206EB1" w:rsidRDefault="00206EB1">
      <w:pPr>
        <w:contextualSpacing/>
        <w:rPr>
          <w:rFonts w:ascii="Times New Roman" w:hAnsi="Times New Roman" w:cs="Times New Roman"/>
          <w:sz w:val="24"/>
          <w:szCs w:val="24"/>
        </w:rPr>
      </w:pPr>
    </w:p>
    <w:p w14:paraId="1550D5B8" w14:textId="77777777" w:rsidR="00FA47E2" w:rsidRDefault="00FA47E2">
      <w:pPr>
        <w:contextualSpacing/>
        <w:rPr>
          <w:rFonts w:ascii="Times New Roman" w:hAnsi="Times New Roman" w:cs="Times New Roman"/>
          <w:sz w:val="24"/>
          <w:szCs w:val="24"/>
        </w:rPr>
      </w:pPr>
      <w:r>
        <w:rPr>
          <w:rFonts w:ascii="Times New Roman" w:hAnsi="Times New Roman" w:cs="Times New Roman"/>
          <w:sz w:val="24"/>
          <w:szCs w:val="24"/>
        </w:rPr>
        <w:t xml:space="preserve">Staff anticipates that the CPUC’s proceeding on energy storage will create two significant spillover benefits that Washington can harness. First, the state’s goal of driving market transformation is already being realized, as </w:t>
      </w:r>
      <w:r w:rsidR="00003AA9">
        <w:rPr>
          <w:rFonts w:ascii="Times New Roman" w:hAnsi="Times New Roman" w:cs="Times New Roman"/>
          <w:sz w:val="24"/>
          <w:szCs w:val="24"/>
        </w:rPr>
        <w:t xml:space="preserve">evidenced by Southern California Edison’s recent acquisition of 260 MW of economic energy storage resources through an all-source request for proposals </w:t>
      </w:r>
      <w:r w:rsidR="00B35752">
        <w:rPr>
          <w:rFonts w:ascii="Times New Roman" w:hAnsi="Times New Roman" w:cs="Times New Roman"/>
          <w:sz w:val="24"/>
          <w:szCs w:val="24"/>
        </w:rPr>
        <w:t>in which</w:t>
      </w:r>
      <w:r w:rsidR="00003AA9">
        <w:rPr>
          <w:rFonts w:ascii="Times New Roman" w:hAnsi="Times New Roman" w:cs="Times New Roman"/>
          <w:sz w:val="24"/>
          <w:szCs w:val="24"/>
        </w:rPr>
        <w:t xml:space="preserve"> storage </w:t>
      </w:r>
      <w:r w:rsidR="00B35752">
        <w:rPr>
          <w:rFonts w:ascii="Times New Roman" w:hAnsi="Times New Roman" w:cs="Times New Roman"/>
          <w:sz w:val="24"/>
          <w:szCs w:val="24"/>
        </w:rPr>
        <w:t xml:space="preserve">competed against </w:t>
      </w:r>
      <w:r w:rsidR="00003AA9">
        <w:rPr>
          <w:rFonts w:ascii="Times New Roman" w:hAnsi="Times New Roman" w:cs="Times New Roman"/>
          <w:sz w:val="24"/>
          <w:szCs w:val="24"/>
        </w:rPr>
        <w:t>traditional capacity resources.</w:t>
      </w:r>
      <w:r w:rsidR="00B35752">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Competition among energy storage providers in </w:t>
      </w:r>
      <w:r w:rsidR="00003AA9">
        <w:rPr>
          <w:rFonts w:ascii="Times New Roman" w:hAnsi="Times New Roman" w:cs="Times New Roman"/>
          <w:sz w:val="24"/>
          <w:szCs w:val="24"/>
        </w:rPr>
        <w:t>California is already driving c</w:t>
      </w:r>
      <w:r>
        <w:rPr>
          <w:rFonts w:ascii="Times New Roman" w:hAnsi="Times New Roman" w:cs="Times New Roman"/>
          <w:sz w:val="24"/>
          <w:szCs w:val="24"/>
        </w:rPr>
        <w:t>ost reductions and technology improvements that will spread throughout the industry.</w:t>
      </w:r>
    </w:p>
    <w:p w14:paraId="1550D5B9" w14:textId="77777777" w:rsidR="00FA47E2" w:rsidRDefault="00FA47E2">
      <w:pPr>
        <w:contextualSpacing/>
        <w:rPr>
          <w:rFonts w:ascii="Times New Roman" w:hAnsi="Times New Roman" w:cs="Times New Roman"/>
          <w:sz w:val="24"/>
          <w:szCs w:val="24"/>
        </w:rPr>
      </w:pPr>
    </w:p>
    <w:p w14:paraId="1550D5BA" w14:textId="77777777" w:rsidR="00FA47E2" w:rsidRDefault="00FA47E2">
      <w:pPr>
        <w:contextualSpacing/>
        <w:rPr>
          <w:rFonts w:ascii="Times New Roman" w:hAnsi="Times New Roman" w:cs="Times New Roman"/>
          <w:sz w:val="24"/>
          <w:szCs w:val="24"/>
        </w:rPr>
      </w:pPr>
      <w:r>
        <w:rPr>
          <w:rFonts w:ascii="Times New Roman" w:hAnsi="Times New Roman" w:cs="Times New Roman"/>
          <w:sz w:val="24"/>
          <w:szCs w:val="24"/>
        </w:rPr>
        <w:t>Second, although the CPUC opted to institute a mandate, CPUC staff invested significant resources in preparing alternative approaches that can serve as a foundation as other states explore the issue. Specifically, CPUC staff prepared a framework proposal that broke the wide variety of energy storage technologies and services into a handful of use cases – simplifying assumptions about how a particular device might be employed and the ben</w:t>
      </w:r>
      <w:r w:rsidR="009F0E61">
        <w:rPr>
          <w:rFonts w:ascii="Times New Roman" w:hAnsi="Times New Roman" w:cs="Times New Roman"/>
          <w:sz w:val="24"/>
          <w:szCs w:val="24"/>
        </w:rPr>
        <w:t xml:space="preserve">efits it would generate under each scenario. Staff believes that this work would be of significant value if the commission takes up this issue in Washington, as it provides </w:t>
      </w:r>
      <w:r w:rsidR="00EA520D">
        <w:rPr>
          <w:rFonts w:ascii="Times New Roman" w:hAnsi="Times New Roman" w:cs="Times New Roman"/>
          <w:sz w:val="24"/>
          <w:szCs w:val="24"/>
        </w:rPr>
        <w:t>an example framework for a thorough analysis of energy storage benefits.</w:t>
      </w:r>
    </w:p>
    <w:p w14:paraId="1550D5BB" w14:textId="77777777" w:rsidR="007175BC" w:rsidRDefault="007175BC">
      <w:pPr>
        <w:contextualSpacing/>
        <w:rPr>
          <w:rFonts w:ascii="Times New Roman" w:hAnsi="Times New Roman" w:cs="Times New Roman"/>
          <w:sz w:val="24"/>
          <w:szCs w:val="24"/>
        </w:rPr>
      </w:pPr>
    </w:p>
    <w:p w14:paraId="1550D5BC" w14:textId="77777777" w:rsidR="00394796" w:rsidRDefault="00394796">
      <w:pPr>
        <w:contextualSpacing/>
        <w:rPr>
          <w:rFonts w:ascii="Times New Roman" w:hAnsi="Times New Roman" w:cs="Times New Roman"/>
          <w:b/>
          <w:sz w:val="24"/>
          <w:szCs w:val="24"/>
        </w:rPr>
      </w:pPr>
      <w:r>
        <w:rPr>
          <w:rFonts w:ascii="Times New Roman" w:hAnsi="Times New Roman" w:cs="Times New Roman"/>
          <w:b/>
          <w:sz w:val="24"/>
          <w:szCs w:val="24"/>
        </w:rPr>
        <w:t>Staff’s proposal</w:t>
      </w:r>
    </w:p>
    <w:p w14:paraId="1550D5BD" w14:textId="77777777" w:rsidR="00294054" w:rsidRDefault="00294054">
      <w:pPr>
        <w:contextualSpacing/>
        <w:rPr>
          <w:rFonts w:ascii="Times New Roman" w:hAnsi="Times New Roman" w:cs="Times New Roman"/>
          <w:b/>
          <w:sz w:val="24"/>
          <w:szCs w:val="24"/>
        </w:rPr>
      </w:pPr>
    </w:p>
    <w:p w14:paraId="1550D5BE" w14:textId="77777777" w:rsidR="00003AA9" w:rsidRDefault="00003AA9">
      <w:pPr>
        <w:contextualSpacing/>
        <w:rPr>
          <w:rFonts w:ascii="Times New Roman" w:hAnsi="Times New Roman" w:cs="Times New Roman"/>
          <w:sz w:val="24"/>
          <w:szCs w:val="24"/>
        </w:rPr>
      </w:pPr>
      <w:r>
        <w:rPr>
          <w:rFonts w:ascii="Times New Roman" w:hAnsi="Times New Roman" w:cs="Times New Roman"/>
          <w:sz w:val="24"/>
          <w:szCs w:val="24"/>
        </w:rPr>
        <w:t>Staff proposes to engage Washington’s investor-owned utilities and stakeholders in developing a way for utilities to reflect the value of energy storage in their planning and procurement processe</w:t>
      </w:r>
      <w:r w:rsidR="00716658">
        <w:rPr>
          <w:rFonts w:ascii="Times New Roman" w:hAnsi="Times New Roman" w:cs="Times New Roman"/>
          <w:sz w:val="24"/>
          <w:szCs w:val="24"/>
        </w:rPr>
        <w:t xml:space="preserve">s. As evidenced </w:t>
      </w:r>
      <w:r>
        <w:rPr>
          <w:rFonts w:ascii="Times New Roman" w:hAnsi="Times New Roman" w:cs="Times New Roman"/>
          <w:sz w:val="24"/>
          <w:szCs w:val="24"/>
        </w:rPr>
        <w:t xml:space="preserve">above, energy storage is cost-competitive now, provided that its benefits are recognized. </w:t>
      </w:r>
      <w:r w:rsidR="00B35752">
        <w:rPr>
          <w:rFonts w:ascii="Times New Roman" w:hAnsi="Times New Roman" w:cs="Times New Roman"/>
          <w:sz w:val="24"/>
          <w:szCs w:val="24"/>
        </w:rPr>
        <w:t>Crafting</w:t>
      </w:r>
      <w:r w:rsidR="00716658">
        <w:rPr>
          <w:rFonts w:ascii="Times New Roman" w:hAnsi="Times New Roman" w:cs="Times New Roman"/>
          <w:sz w:val="24"/>
          <w:szCs w:val="24"/>
        </w:rPr>
        <w:t xml:space="preserve"> a mechanism for utilities to identify and quantify the benefits of energy storage in their planning will ensure that the benefits of cost-effective energy storage are captured by Washington utilities and their ratepayers.</w:t>
      </w:r>
    </w:p>
    <w:p w14:paraId="1550D5BF" w14:textId="77777777" w:rsidR="00003AA9" w:rsidRDefault="00003AA9">
      <w:pPr>
        <w:contextualSpacing/>
        <w:rPr>
          <w:rFonts w:ascii="Times New Roman" w:hAnsi="Times New Roman" w:cs="Times New Roman"/>
          <w:sz w:val="24"/>
          <w:szCs w:val="24"/>
        </w:rPr>
      </w:pPr>
    </w:p>
    <w:p w14:paraId="1550D5C0" w14:textId="77777777" w:rsidR="00003AA9" w:rsidRDefault="00003AA9">
      <w:pPr>
        <w:contextualSpacing/>
        <w:rPr>
          <w:rFonts w:ascii="Times New Roman" w:hAnsi="Times New Roman" w:cs="Times New Roman"/>
          <w:sz w:val="24"/>
          <w:szCs w:val="24"/>
        </w:rPr>
      </w:pPr>
      <w:r>
        <w:rPr>
          <w:rFonts w:ascii="Times New Roman" w:hAnsi="Times New Roman" w:cs="Times New Roman"/>
          <w:sz w:val="24"/>
          <w:szCs w:val="24"/>
        </w:rPr>
        <w:t>As a starting point, staff envisions several potential forms that this mechanism could take:</w:t>
      </w:r>
    </w:p>
    <w:p w14:paraId="1550D5C1" w14:textId="77777777" w:rsidR="00003AA9" w:rsidRPr="00003AA9" w:rsidRDefault="00003AA9" w:rsidP="00003AA9">
      <w:pPr>
        <w:pStyle w:val="ListParagraph"/>
        <w:numPr>
          <w:ilvl w:val="0"/>
          <w:numId w:val="4"/>
        </w:numPr>
        <w:rPr>
          <w:rFonts w:ascii="Times New Roman" w:hAnsi="Times New Roman" w:cs="Times New Roman"/>
          <w:i/>
          <w:sz w:val="24"/>
          <w:szCs w:val="24"/>
        </w:rPr>
      </w:pPr>
      <w:r>
        <w:rPr>
          <w:rFonts w:ascii="Times New Roman" w:hAnsi="Times New Roman" w:cs="Times New Roman"/>
          <w:sz w:val="24"/>
          <w:szCs w:val="24"/>
        </w:rPr>
        <w:lastRenderedPageBreak/>
        <w:t>Developing a proxy value of energy storage’s ancillary benefits based on the rates for those services in established ancillary markets.</w:t>
      </w:r>
    </w:p>
    <w:p w14:paraId="1550D5C2" w14:textId="77777777" w:rsidR="00003AA9" w:rsidRPr="00C42B07" w:rsidRDefault="00C42B07" w:rsidP="00003AA9">
      <w:pPr>
        <w:pStyle w:val="ListParagraph"/>
        <w:numPr>
          <w:ilvl w:val="0"/>
          <w:numId w:val="4"/>
        </w:numPr>
        <w:rPr>
          <w:rFonts w:ascii="Times New Roman" w:hAnsi="Times New Roman" w:cs="Times New Roman"/>
          <w:i/>
          <w:sz w:val="24"/>
          <w:szCs w:val="24"/>
        </w:rPr>
      </w:pPr>
      <w:r>
        <w:rPr>
          <w:rFonts w:ascii="Times New Roman" w:hAnsi="Times New Roman" w:cs="Times New Roman"/>
          <w:sz w:val="24"/>
          <w:szCs w:val="24"/>
        </w:rPr>
        <w:t>Identifying the ancillary services that utilities must recognize in their planning and directing the utilities to determine the value of each service on their individual systems</w:t>
      </w:r>
      <w:r w:rsidR="00B35752">
        <w:rPr>
          <w:rFonts w:ascii="Times New Roman" w:hAnsi="Times New Roman" w:cs="Times New Roman"/>
          <w:sz w:val="24"/>
          <w:szCs w:val="24"/>
        </w:rPr>
        <w:t xml:space="preserve"> based on how the utility currently provides that service</w:t>
      </w:r>
      <w:r>
        <w:rPr>
          <w:rFonts w:ascii="Times New Roman" w:hAnsi="Times New Roman" w:cs="Times New Roman"/>
          <w:sz w:val="24"/>
          <w:szCs w:val="24"/>
        </w:rPr>
        <w:t xml:space="preserve">. </w:t>
      </w:r>
      <w:r w:rsidR="00B35752">
        <w:rPr>
          <w:rFonts w:ascii="Times New Roman" w:hAnsi="Times New Roman" w:cs="Times New Roman"/>
          <w:sz w:val="24"/>
          <w:szCs w:val="24"/>
        </w:rPr>
        <w:t xml:space="preserve">Those values could then be inputs for a use case approach like the one developed by </w:t>
      </w:r>
      <w:r>
        <w:rPr>
          <w:rFonts w:ascii="Times New Roman" w:hAnsi="Times New Roman" w:cs="Times New Roman"/>
          <w:sz w:val="24"/>
          <w:szCs w:val="24"/>
        </w:rPr>
        <w:t>CPUC staff.</w:t>
      </w:r>
    </w:p>
    <w:p w14:paraId="1550D5C3" w14:textId="77777777" w:rsidR="00C42B07" w:rsidRPr="00003AA9" w:rsidRDefault="00C42B07" w:rsidP="00003AA9">
      <w:pPr>
        <w:pStyle w:val="ListParagraph"/>
        <w:numPr>
          <w:ilvl w:val="0"/>
          <w:numId w:val="4"/>
        </w:numPr>
        <w:rPr>
          <w:rFonts w:ascii="Times New Roman" w:hAnsi="Times New Roman" w:cs="Times New Roman"/>
          <w:i/>
          <w:sz w:val="24"/>
          <w:szCs w:val="24"/>
        </w:rPr>
      </w:pPr>
      <w:r>
        <w:rPr>
          <w:rFonts w:ascii="Times New Roman" w:hAnsi="Times New Roman" w:cs="Times New Roman"/>
          <w:sz w:val="24"/>
          <w:szCs w:val="24"/>
        </w:rPr>
        <w:t>Requiring the utilities to file an “Avoided Ancillary Services Cost” ta</w:t>
      </w:r>
      <w:r w:rsidR="00EA520D">
        <w:rPr>
          <w:rFonts w:ascii="Times New Roman" w:hAnsi="Times New Roman" w:cs="Times New Roman"/>
          <w:sz w:val="24"/>
          <w:szCs w:val="24"/>
        </w:rPr>
        <w:t>riff that identifies how much it</w:t>
      </w:r>
      <w:r>
        <w:rPr>
          <w:rFonts w:ascii="Times New Roman" w:hAnsi="Times New Roman" w:cs="Times New Roman"/>
          <w:sz w:val="24"/>
          <w:szCs w:val="24"/>
        </w:rPr>
        <w:t xml:space="preserve"> costs the utility to</w:t>
      </w:r>
      <w:r w:rsidR="00EA520D">
        <w:rPr>
          <w:rFonts w:ascii="Times New Roman" w:hAnsi="Times New Roman" w:cs="Times New Roman"/>
          <w:sz w:val="24"/>
          <w:szCs w:val="24"/>
        </w:rPr>
        <w:t xml:space="preserve"> provide each service</w:t>
      </w:r>
      <w:r>
        <w:rPr>
          <w:rFonts w:ascii="Times New Roman" w:hAnsi="Times New Roman" w:cs="Times New Roman"/>
          <w:sz w:val="24"/>
          <w:szCs w:val="24"/>
        </w:rPr>
        <w:t>. Those costs would be</w:t>
      </w:r>
      <w:r w:rsidR="00EA520D">
        <w:rPr>
          <w:rFonts w:ascii="Times New Roman" w:hAnsi="Times New Roman" w:cs="Times New Roman"/>
          <w:sz w:val="24"/>
          <w:szCs w:val="24"/>
        </w:rPr>
        <w:t xml:space="preserve"> used as planning inputs and to set the </w:t>
      </w:r>
      <w:r>
        <w:rPr>
          <w:rFonts w:ascii="Times New Roman" w:hAnsi="Times New Roman" w:cs="Times New Roman"/>
          <w:sz w:val="24"/>
          <w:szCs w:val="24"/>
        </w:rPr>
        <w:t>compensation for independent energy storage projects that interconnect with the utility.</w:t>
      </w:r>
    </w:p>
    <w:p w14:paraId="1550D5C4" w14:textId="77777777" w:rsidR="00F12556" w:rsidRDefault="009F0E61">
      <w:pPr>
        <w:contextualSpacing/>
        <w:rPr>
          <w:rFonts w:ascii="Times New Roman" w:hAnsi="Times New Roman" w:cs="Times New Roman"/>
          <w:i/>
          <w:sz w:val="24"/>
          <w:szCs w:val="24"/>
        </w:rPr>
      </w:pPr>
      <w:r>
        <w:rPr>
          <w:rFonts w:ascii="Times New Roman" w:hAnsi="Times New Roman" w:cs="Times New Roman"/>
          <w:i/>
          <w:sz w:val="24"/>
          <w:szCs w:val="24"/>
        </w:rPr>
        <w:t>Timing</w:t>
      </w:r>
    </w:p>
    <w:p w14:paraId="1550D5C5" w14:textId="77777777" w:rsidR="00267B6E" w:rsidRDefault="00267B6E">
      <w:pPr>
        <w:contextualSpacing/>
        <w:rPr>
          <w:rFonts w:ascii="Times New Roman" w:hAnsi="Times New Roman" w:cs="Times New Roman"/>
          <w:sz w:val="24"/>
          <w:szCs w:val="24"/>
        </w:rPr>
      </w:pPr>
    </w:p>
    <w:p w14:paraId="1550D5C6" w14:textId="77777777" w:rsidR="00294054" w:rsidRDefault="00EA520D">
      <w:pPr>
        <w:contextualSpacing/>
        <w:rPr>
          <w:rFonts w:ascii="Times New Roman" w:hAnsi="Times New Roman" w:cs="Times New Roman"/>
          <w:sz w:val="24"/>
          <w:szCs w:val="24"/>
        </w:rPr>
      </w:pPr>
      <w:r>
        <w:rPr>
          <w:rFonts w:ascii="Times New Roman" w:hAnsi="Times New Roman" w:cs="Times New Roman"/>
          <w:sz w:val="24"/>
          <w:szCs w:val="24"/>
        </w:rPr>
        <w:t xml:space="preserve">As the energy storage industry rapidly expands, it is important for Washington’s utilities to be prepared to recognize when projects become cost effective. </w:t>
      </w:r>
      <w:r w:rsidR="00294054">
        <w:rPr>
          <w:rFonts w:ascii="Times New Roman" w:hAnsi="Times New Roman" w:cs="Times New Roman"/>
          <w:sz w:val="24"/>
          <w:szCs w:val="24"/>
        </w:rPr>
        <w:t>By 2019, the U.S. energy storage industry is expected to be about 20 times larger than it was in 2014, going from 61.9 MW installed in 2014 to a projected total of more than 800 MW in 2019.</w:t>
      </w:r>
      <w:r w:rsidR="00294054">
        <w:rPr>
          <w:rStyle w:val="FootnoteReference"/>
          <w:rFonts w:ascii="Times New Roman" w:hAnsi="Times New Roman" w:cs="Times New Roman"/>
          <w:sz w:val="24"/>
          <w:szCs w:val="24"/>
        </w:rPr>
        <w:footnoteReference w:id="32"/>
      </w:r>
      <w:r w:rsidR="00294054">
        <w:rPr>
          <w:rFonts w:ascii="Times New Roman" w:hAnsi="Times New Roman" w:cs="Times New Roman"/>
          <w:sz w:val="24"/>
          <w:szCs w:val="24"/>
        </w:rPr>
        <w:t xml:space="preserve"> As the industry experiences this rapid expansion, development opportunities for Washington utilities are certain to increase</w:t>
      </w:r>
      <w:r w:rsidR="00C11DCE">
        <w:rPr>
          <w:rFonts w:ascii="Times New Roman" w:hAnsi="Times New Roman" w:cs="Times New Roman"/>
          <w:sz w:val="24"/>
          <w:szCs w:val="24"/>
        </w:rPr>
        <w:t>, and it is important that the investor-owned utilities be prepared to recognize and identify cost-effective opportunities as they arise.</w:t>
      </w:r>
      <w:r w:rsidR="00294054">
        <w:rPr>
          <w:rFonts w:ascii="Times New Roman" w:hAnsi="Times New Roman" w:cs="Times New Roman"/>
          <w:sz w:val="24"/>
          <w:szCs w:val="24"/>
        </w:rPr>
        <w:t xml:space="preserve"> </w:t>
      </w:r>
    </w:p>
    <w:p w14:paraId="1550D5C7" w14:textId="77777777" w:rsidR="00294054" w:rsidRDefault="00294054">
      <w:pPr>
        <w:contextualSpacing/>
        <w:rPr>
          <w:rFonts w:ascii="Times New Roman" w:hAnsi="Times New Roman" w:cs="Times New Roman"/>
          <w:sz w:val="24"/>
          <w:szCs w:val="24"/>
        </w:rPr>
      </w:pPr>
    </w:p>
    <w:p w14:paraId="1550D5C8" w14:textId="77777777" w:rsidR="00294054" w:rsidRDefault="00294054">
      <w:pPr>
        <w:contextualSpacing/>
        <w:rPr>
          <w:rFonts w:ascii="Times New Roman" w:hAnsi="Times New Roman" w:cs="Times New Roman"/>
          <w:sz w:val="24"/>
          <w:szCs w:val="24"/>
        </w:rPr>
      </w:pPr>
      <w:r>
        <w:rPr>
          <w:rFonts w:ascii="Times New Roman" w:hAnsi="Times New Roman" w:cs="Times New Roman"/>
          <w:sz w:val="24"/>
          <w:szCs w:val="24"/>
        </w:rPr>
        <w:t xml:space="preserve">In fact, a number of large energy storage opportunities have already been identified in the Pacific Northwest. The Pacific Northwest National Laboratory has identified </w:t>
      </w:r>
      <w:r w:rsidR="00EA520D">
        <w:rPr>
          <w:rFonts w:ascii="Times New Roman" w:hAnsi="Times New Roman" w:cs="Times New Roman"/>
          <w:sz w:val="24"/>
          <w:szCs w:val="24"/>
        </w:rPr>
        <w:t>a viable site</w:t>
      </w:r>
      <w:r>
        <w:rPr>
          <w:rFonts w:ascii="Times New Roman" w:hAnsi="Times New Roman" w:cs="Times New Roman"/>
          <w:sz w:val="24"/>
          <w:szCs w:val="24"/>
        </w:rPr>
        <w:t xml:space="preserve"> for compressed air energy storage near Yakima,</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50538F">
        <w:rPr>
          <w:rFonts w:ascii="Times New Roman" w:hAnsi="Times New Roman" w:cs="Times New Roman"/>
          <w:sz w:val="24"/>
          <w:szCs w:val="24"/>
        </w:rPr>
        <w:t xml:space="preserve">EDF Renewables is planning a large pumped hydro storage project in </w:t>
      </w:r>
      <w:r w:rsidR="00B35752">
        <w:rPr>
          <w:rFonts w:ascii="Times New Roman" w:hAnsi="Times New Roman" w:cs="Times New Roman"/>
          <w:sz w:val="24"/>
          <w:szCs w:val="24"/>
        </w:rPr>
        <w:t xml:space="preserve">Pacific Power’s service territory in </w:t>
      </w:r>
      <w:r w:rsidR="0050538F">
        <w:rPr>
          <w:rFonts w:ascii="Times New Roman" w:hAnsi="Times New Roman" w:cs="Times New Roman"/>
          <w:sz w:val="24"/>
          <w:szCs w:val="24"/>
        </w:rPr>
        <w:t>southern Oregon,</w:t>
      </w:r>
      <w:r w:rsidR="0050538F">
        <w:rPr>
          <w:rStyle w:val="FootnoteReference"/>
          <w:rFonts w:ascii="Times New Roman" w:hAnsi="Times New Roman" w:cs="Times New Roman"/>
          <w:sz w:val="24"/>
          <w:szCs w:val="24"/>
        </w:rPr>
        <w:footnoteReference w:id="34"/>
      </w:r>
      <w:r w:rsidR="0050538F">
        <w:rPr>
          <w:rFonts w:ascii="Times New Roman" w:hAnsi="Times New Roman" w:cs="Times New Roman"/>
          <w:sz w:val="24"/>
          <w:szCs w:val="24"/>
        </w:rPr>
        <w:t xml:space="preserve"> and Klickitat PUD is looking for partners on an ideally </w:t>
      </w:r>
      <w:proofErr w:type="spellStart"/>
      <w:r w:rsidR="0050538F">
        <w:rPr>
          <w:rFonts w:ascii="Times New Roman" w:hAnsi="Times New Roman" w:cs="Times New Roman"/>
          <w:sz w:val="24"/>
          <w:szCs w:val="24"/>
        </w:rPr>
        <w:t>sited</w:t>
      </w:r>
      <w:proofErr w:type="spellEnd"/>
      <w:r w:rsidR="0050538F">
        <w:rPr>
          <w:rFonts w:ascii="Times New Roman" w:hAnsi="Times New Roman" w:cs="Times New Roman"/>
          <w:sz w:val="24"/>
          <w:szCs w:val="24"/>
        </w:rPr>
        <w:t xml:space="preserve"> pumped hydro storage project.</w:t>
      </w:r>
      <w:r w:rsidR="0050538F">
        <w:rPr>
          <w:rStyle w:val="FootnoteReference"/>
          <w:rFonts w:ascii="Times New Roman" w:hAnsi="Times New Roman" w:cs="Times New Roman"/>
          <w:sz w:val="24"/>
          <w:szCs w:val="24"/>
        </w:rPr>
        <w:footnoteReference w:id="35"/>
      </w:r>
      <w:r w:rsidR="0050538F">
        <w:rPr>
          <w:rFonts w:ascii="Times New Roman" w:hAnsi="Times New Roman" w:cs="Times New Roman"/>
          <w:sz w:val="24"/>
          <w:szCs w:val="24"/>
        </w:rPr>
        <w:t xml:space="preserve"> Washington’s Clean Energy Fund, which last year allocated almost $15 million for energy storage projects in the state, has </w:t>
      </w:r>
      <w:r w:rsidR="009F0E61">
        <w:rPr>
          <w:rFonts w:ascii="Times New Roman" w:hAnsi="Times New Roman" w:cs="Times New Roman"/>
          <w:sz w:val="24"/>
          <w:szCs w:val="24"/>
        </w:rPr>
        <w:t>created a cottage energy storage industry in Washington.</w:t>
      </w:r>
      <w:r w:rsidR="009F0E61">
        <w:rPr>
          <w:rStyle w:val="FootnoteReference"/>
          <w:rFonts w:ascii="Times New Roman" w:hAnsi="Times New Roman" w:cs="Times New Roman"/>
          <w:sz w:val="24"/>
          <w:szCs w:val="24"/>
        </w:rPr>
        <w:footnoteReference w:id="36"/>
      </w:r>
      <w:r w:rsidR="009F0E61">
        <w:rPr>
          <w:rFonts w:ascii="Times New Roman" w:hAnsi="Times New Roman" w:cs="Times New Roman"/>
          <w:sz w:val="24"/>
          <w:szCs w:val="24"/>
        </w:rPr>
        <w:t xml:space="preserve"> </w:t>
      </w:r>
      <w:r w:rsidR="006E6927">
        <w:rPr>
          <w:rFonts w:ascii="Times New Roman" w:hAnsi="Times New Roman" w:cs="Times New Roman"/>
          <w:sz w:val="24"/>
          <w:szCs w:val="24"/>
        </w:rPr>
        <w:t>That developing infrastructure, combined with the opportunity for major projects in the near future, is a significant opportunity for the utilities to embrace, and its growth would generate significant economic benefits for the state.</w:t>
      </w:r>
    </w:p>
    <w:p w14:paraId="1550D5C9" w14:textId="77777777" w:rsidR="00294054" w:rsidRDefault="00294054">
      <w:pPr>
        <w:contextualSpacing/>
        <w:rPr>
          <w:rFonts w:ascii="Times New Roman" w:hAnsi="Times New Roman" w:cs="Times New Roman"/>
          <w:sz w:val="24"/>
          <w:szCs w:val="24"/>
        </w:rPr>
      </w:pPr>
    </w:p>
    <w:p w14:paraId="1550D5CA" w14:textId="77777777" w:rsidR="00394796" w:rsidRDefault="00394796" w:rsidP="00394796">
      <w:pPr>
        <w:contextualSpacing/>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1550D5CB" w14:textId="77777777" w:rsidR="00394796" w:rsidRDefault="00394796" w:rsidP="00394796">
      <w:pPr>
        <w:contextualSpacing/>
        <w:rPr>
          <w:rFonts w:ascii="Times New Roman" w:hAnsi="Times New Roman" w:cs="Times New Roman"/>
          <w:b/>
          <w:sz w:val="24"/>
          <w:szCs w:val="24"/>
        </w:rPr>
      </w:pPr>
    </w:p>
    <w:p w14:paraId="1550D5CC" w14:textId="77777777" w:rsidR="0048171D" w:rsidRPr="0048171D" w:rsidRDefault="0048171D" w:rsidP="00CA093C">
      <w:pPr>
        <w:contextualSpacing/>
        <w:rPr>
          <w:rFonts w:ascii="Times New Roman" w:hAnsi="Times New Roman" w:cs="Times New Roman"/>
          <w:sz w:val="24"/>
          <w:szCs w:val="24"/>
        </w:rPr>
      </w:pPr>
      <w:r>
        <w:rPr>
          <w:rFonts w:ascii="Times New Roman" w:hAnsi="Times New Roman" w:cs="Times New Roman"/>
          <w:sz w:val="24"/>
          <w:szCs w:val="24"/>
        </w:rPr>
        <w:t xml:space="preserve">The rapid development of energy storage projects in markets that have adopted a means of compensating those projects for the grid services they provide clearly demonstrates that the largest impediment to energy storage is market failure. </w:t>
      </w:r>
      <w:r w:rsidR="006E6927">
        <w:rPr>
          <w:rFonts w:ascii="Times New Roman" w:hAnsi="Times New Roman" w:cs="Times New Roman"/>
          <w:sz w:val="24"/>
          <w:szCs w:val="24"/>
        </w:rPr>
        <w:t>Simply put, where energy storage’s benefits are recognized</w:t>
      </w:r>
      <w:r>
        <w:rPr>
          <w:rFonts w:ascii="Times New Roman" w:hAnsi="Times New Roman" w:cs="Times New Roman"/>
          <w:sz w:val="24"/>
          <w:szCs w:val="24"/>
        </w:rPr>
        <w:t xml:space="preserve">, it thrives. Where </w:t>
      </w:r>
      <w:r w:rsidR="006E6927">
        <w:rPr>
          <w:rFonts w:ascii="Times New Roman" w:hAnsi="Times New Roman" w:cs="Times New Roman"/>
          <w:sz w:val="24"/>
          <w:szCs w:val="24"/>
        </w:rPr>
        <w:t xml:space="preserve">they are not, </w:t>
      </w:r>
      <w:r>
        <w:rPr>
          <w:rFonts w:ascii="Times New Roman" w:hAnsi="Times New Roman" w:cs="Times New Roman"/>
          <w:sz w:val="24"/>
          <w:szCs w:val="24"/>
        </w:rPr>
        <w:t xml:space="preserve">development is slow or nonexistent. By developing a proxy method for ensuring that the full value of energy storage is reflected in utility planning, the commission can ensure that </w:t>
      </w:r>
      <w:r w:rsidR="006E6927">
        <w:rPr>
          <w:rFonts w:ascii="Times New Roman" w:hAnsi="Times New Roman" w:cs="Times New Roman"/>
          <w:sz w:val="24"/>
          <w:szCs w:val="24"/>
        </w:rPr>
        <w:t xml:space="preserve">cost-effective </w:t>
      </w:r>
      <w:r>
        <w:rPr>
          <w:rFonts w:ascii="Times New Roman" w:hAnsi="Times New Roman" w:cs="Times New Roman"/>
          <w:sz w:val="24"/>
          <w:szCs w:val="24"/>
        </w:rPr>
        <w:t>energy storage projects will be developed in Washington, thereby allowing utilities and ratepayers here to harness the benefits that energy storage is already providing in organized markets.</w:t>
      </w:r>
    </w:p>
    <w:p w14:paraId="1550D5CD" w14:textId="77777777" w:rsidR="0048171D" w:rsidRDefault="0048171D" w:rsidP="00CA093C">
      <w:pPr>
        <w:contextualSpacing/>
        <w:rPr>
          <w:rFonts w:ascii="Times New Roman" w:hAnsi="Times New Roman" w:cs="Times New Roman"/>
          <w:sz w:val="24"/>
          <w:szCs w:val="24"/>
        </w:rPr>
      </w:pPr>
    </w:p>
    <w:p w14:paraId="1550D5CE" w14:textId="77777777" w:rsidR="00CA093C" w:rsidRPr="009E3898" w:rsidRDefault="00CA093C" w:rsidP="00CA093C">
      <w:pPr>
        <w:contextualSpacing/>
        <w:rPr>
          <w:rFonts w:ascii="Times New Roman" w:hAnsi="Times New Roman" w:cs="Times New Roman"/>
          <w:sz w:val="24"/>
          <w:szCs w:val="24"/>
        </w:rPr>
      </w:pPr>
      <w:r>
        <w:rPr>
          <w:rFonts w:ascii="Times New Roman" w:hAnsi="Times New Roman" w:cs="Times New Roman"/>
          <w:sz w:val="24"/>
          <w:szCs w:val="24"/>
        </w:rPr>
        <w:t>Washington’s inv</w:t>
      </w:r>
      <w:r w:rsidR="006E6927">
        <w:rPr>
          <w:rFonts w:ascii="Times New Roman" w:hAnsi="Times New Roman" w:cs="Times New Roman"/>
          <w:sz w:val="24"/>
          <w:szCs w:val="24"/>
        </w:rPr>
        <w:t>estor-owned utilities operate within</w:t>
      </w:r>
      <w:r>
        <w:rPr>
          <w:rFonts w:ascii="Times New Roman" w:hAnsi="Times New Roman" w:cs="Times New Roman"/>
          <w:sz w:val="24"/>
          <w:szCs w:val="24"/>
        </w:rPr>
        <w:t xml:space="preserve"> a smaller footprint than those organized markets, but are otherwise indistinguishable from those larger entities. They all must constantly maintain a delicate balance between load and resources; they all must ensure reliability at all times. If the creation of ancillary services markets enabled the organized markets to capture the benefits of energy storage and improve the efficiency of their systems, then it is reasonable to argue that the creation of a reasonable proxy to those ancillary services markets will allow utilities operating outside of an organized market to capture those benefits as well.</w:t>
      </w:r>
    </w:p>
    <w:p w14:paraId="1550D5CF" w14:textId="77777777" w:rsidR="00CA093C" w:rsidRDefault="00CA093C" w:rsidP="00394796">
      <w:pPr>
        <w:contextualSpacing/>
        <w:rPr>
          <w:rFonts w:ascii="Times New Roman" w:hAnsi="Times New Roman" w:cs="Times New Roman"/>
          <w:sz w:val="24"/>
          <w:szCs w:val="24"/>
        </w:rPr>
      </w:pPr>
    </w:p>
    <w:p w14:paraId="1550D5D0" w14:textId="77777777" w:rsidR="00394796" w:rsidRDefault="00394796" w:rsidP="00394796">
      <w:pPr>
        <w:contextualSpacing/>
        <w:rPr>
          <w:rFonts w:ascii="Times New Roman" w:hAnsi="Times New Roman" w:cs="Times New Roman"/>
          <w:sz w:val="24"/>
          <w:szCs w:val="24"/>
        </w:rPr>
      </w:pPr>
      <w:r>
        <w:rPr>
          <w:rFonts w:ascii="Times New Roman" w:hAnsi="Times New Roman" w:cs="Times New Roman"/>
          <w:sz w:val="24"/>
          <w:szCs w:val="24"/>
        </w:rPr>
        <w:t>While there is still much inquiry to be done before recommending a specific approach, staff has outlined a starting point and believes the issue is ripe for broader discussion with the utilities and other stakeholders. Staff is confident that the issue can be clearly framed for a workshop setting, allowing for the robust discussion that will be necessary to identify existing barriers, consider possible solutions, and inform the proposed policy statement.</w:t>
      </w:r>
    </w:p>
    <w:p w14:paraId="1550D5D1" w14:textId="77777777" w:rsidR="00394796" w:rsidRPr="00394796" w:rsidRDefault="00394796">
      <w:pPr>
        <w:contextualSpacing/>
        <w:rPr>
          <w:rFonts w:ascii="Times New Roman" w:hAnsi="Times New Roman" w:cs="Times New Roman"/>
          <w:sz w:val="24"/>
          <w:szCs w:val="24"/>
        </w:rPr>
      </w:pPr>
    </w:p>
    <w:p w14:paraId="1550D5D2" w14:textId="77777777" w:rsidR="00D50E61" w:rsidRPr="00D50E61" w:rsidRDefault="00D50E61">
      <w:pPr>
        <w:contextualSpacing/>
        <w:rPr>
          <w:rFonts w:ascii="Times New Roman" w:hAnsi="Times New Roman" w:cs="Times New Roman"/>
          <w:sz w:val="24"/>
          <w:szCs w:val="24"/>
        </w:rPr>
      </w:pPr>
    </w:p>
    <w:p w14:paraId="1550D5D3" w14:textId="77777777" w:rsidR="008F5D31" w:rsidRDefault="008F5D31">
      <w:pPr>
        <w:contextualSpacing/>
        <w:rPr>
          <w:rFonts w:ascii="Times New Roman" w:hAnsi="Times New Roman" w:cs="Times New Roman"/>
          <w:sz w:val="24"/>
          <w:szCs w:val="24"/>
        </w:rPr>
      </w:pPr>
    </w:p>
    <w:p w14:paraId="1550D5D4" w14:textId="77777777" w:rsidR="008F5D31" w:rsidRDefault="008F5D31">
      <w:pPr>
        <w:contextualSpacing/>
        <w:rPr>
          <w:rFonts w:ascii="Times New Roman" w:hAnsi="Times New Roman" w:cs="Times New Roman"/>
          <w:sz w:val="24"/>
          <w:szCs w:val="24"/>
        </w:rPr>
      </w:pPr>
    </w:p>
    <w:sectPr w:rsidR="008F5D31" w:rsidSect="004F19FE">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A655E" w14:textId="77777777" w:rsidR="00374E85" w:rsidRDefault="00374E85" w:rsidP="00C31F01">
      <w:pPr>
        <w:spacing w:after="0" w:line="240" w:lineRule="auto"/>
      </w:pPr>
      <w:r>
        <w:separator/>
      </w:r>
    </w:p>
  </w:endnote>
  <w:endnote w:type="continuationSeparator" w:id="0">
    <w:p w14:paraId="0B8E55E5" w14:textId="77777777" w:rsidR="00374E85" w:rsidRDefault="00374E85" w:rsidP="00C3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762475"/>
      <w:docPartObj>
        <w:docPartGallery w:val="Page Numbers (Bottom of Page)"/>
        <w:docPartUnique/>
      </w:docPartObj>
    </w:sdtPr>
    <w:sdtEndPr>
      <w:rPr>
        <w:noProof/>
      </w:rPr>
    </w:sdtEndPr>
    <w:sdtContent>
      <w:p w14:paraId="084E5C53" w14:textId="34D083CC" w:rsidR="00064C7D" w:rsidRDefault="00064C7D">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3779C294" w14:textId="77777777" w:rsidR="00064C7D" w:rsidRDefault="00064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2FAE5" w14:textId="77777777" w:rsidR="00374E85" w:rsidRDefault="00374E85" w:rsidP="00C31F01">
      <w:pPr>
        <w:spacing w:after="0" w:line="240" w:lineRule="auto"/>
      </w:pPr>
      <w:r>
        <w:separator/>
      </w:r>
    </w:p>
  </w:footnote>
  <w:footnote w:type="continuationSeparator" w:id="0">
    <w:p w14:paraId="2C4F578B" w14:textId="77777777" w:rsidR="00374E85" w:rsidRDefault="00374E85" w:rsidP="00C31F01">
      <w:pPr>
        <w:spacing w:after="0" w:line="240" w:lineRule="auto"/>
      </w:pPr>
      <w:r>
        <w:continuationSeparator/>
      </w:r>
    </w:p>
  </w:footnote>
  <w:footnote w:id="1">
    <w:p w14:paraId="1550D5DB" w14:textId="77777777" w:rsidR="00E415DB" w:rsidRPr="00B35752" w:rsidRDefault="00E415DB">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Jaffe, Sam, </w:t>
      </w:r>
      <w:r w:rsidR="00FA3A62" w:rsidRPr="00B35752">
        <w:rPr>
          <w:rFonts w:ascii="Times New Roman" w:hAnsi="Times New Roman" w:cs="Times New Roman"/>
          <w:sz w:val="22"/>
          <w:szCs w:val="22"/>
        </w:rPr>
        <w:t xml:space="preserve">2015. </w:t>
      </w:r>
      <w:r w:rsidRPr="00B35752">
        <w:rPr>
          <w:rFonts w:ascii="Times New Roman" w:hAnsi="Times New Roman" w:cs="Times New Roman"/>
          <w:sz w:val="22"/>
          <w:szCs w:val="22"/>
        </w:rPr>
        <w:t>“2015: A Turning Point for Batteries,” Navigant Research Blog</w:t>
      </w:r>
      <w:r w:rsidR="00FA3A62" w:rsidRPr="00B35752">
        <w:rPr>
          <w:rFonts w:ascii="Times New Roman" w:hAnsi="Times New Roman" w:cs="Times New Roman"/>
          <w:sz w:val="22"/>
          <w:szCs w:val="22"/>
        </w:rPr>
        <w:t xml:space="preserve">. </w:t>
      </w:r>
      <w:r w:rsidRPr="00B35752">
        <w:rPr>
          <w:rFonts w:ascii="Times New Roman" w:hAnsi="Times New Roman" w:cs="Times New Roman"/>
          <w:sz w:val="22"/>
          <w:szCs w:val="22"/>
        </w:rPr>
        <w:t xml:space="preserve">Accessed March 9, 2015. </w:t>
      </w:r>
      <w:hyperlink r:id="rId1" w:history="1">
        <w:r w:rsidRPr="00B35752">
          <w:rPr>
            <w:rStyle w:val="Hyperlink"/>
            <w:rFonts w:ascii="Times New Roman" w:hAnsi="Times New Roman" w:cs="Times New Roman"/>
            <w:sz w:val="22"/>
            <w:szCs w:val="22"/>
          </w:rPr>
          <w:t>https://www.navigantresearch.com/tag/energy-storage</w:t>
        </w:r>
      </w:hyperlink>
      <w:r w:rsidRPr="00B35752">
        <w:rPr>
          <w:rFonts w:ascii="Times New Roman" w:hAnsi="Times New Roman" w:cs="Times New Roman"/>
          <w:sz w:val="22"/>
          <w:szCs w:val="22"/>
        </w:rPr>
        <w:t xml:space="preserve"> </w:t>
      </w:r>
    </w:p>
  </w:footnote>
  <w:footnote w:id="2">
    <w:p w14:paraId="1550D5DC" w14:textId="77777777" w:rsidR="00E415DB" w:rsidRPr="00B35752" w:rsidRDefault="00E415DB">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McKinsey &amp; Company, </w:t>
      </w:r>
      <w:r w:rsidR="00FA3A62" w:rsidRPr="00B35752">
        <w:rPr>
          <w:rFonts w:ascii="Times New Roman" w:hAnsi="Times New Roman" w:cs="Times New Roman"/>
          <w:sz w:val="22"/>
          <w:szCs w:val="22"/>
        </w:rPr>
        <w:t xml:space="preserve">2012. </w:t>
      </w:r>
      <w:r w:rsidRPr="00B35752">
        <w:rPr>
          <w:rFonts w:ascii="Times New Roman" w:hAnsi="Times New Roman" w:cs="Times New Roman"/>
          <w:sz w:val="22"/>
          <w:szCs w:val="22"/>
        </w:rPr>
        <w:t>“Battery Technology Charges Ahead.”</w:t>
      </w:r>
      <w:r w:rsidR="00FA3A62" w:rsidRPr="00B35752">
        <w:rPr>
          <w:rFonts w:ascii="Times New Roman" w:hAnsi="Times New Roman" w:cs="Times New Roman"/>
          <w:sz w:val="22"/>
          <w:szCs w:val="22"/>
        </w:rPr>
        <w:t xml:space="preserve"> </w:t>
      </w:r>
      <w:r w:rsidRPr="00B35752">
        <w:rPr>
          <w:rFonts w:ascii="Times New Roman" w:hAnsi="Times New Roman" w:cs="Times New Roman"/>
          <w:sz w:val="22"/>
          <w:szCs w:val="22"/>
        </w:rPr>
        <w:t xml:space="preserve">Accessed March 9, 2015. </w:t>
      </w:r>
      <w:hyperlink r:id="rId2" w:history="1">
        <w:r w:rsidRPr="00B35752">
          <w:rPr>
            <w:rStyle w:val="Hyperlink"/>
            <w:rFonts w:ascii="Times New Roman" w:hAnsi="Times New Roman" w:cs="Times New Roman"/>
            <w:sz w:val="22"/>
            <w:szCs w:val="22"/>
          </w:rPr>
          <w:t>http://www.mckinsey.com/insights/energy_resources_materials/battery_technology_charges_ahead</w:t>
        </w:r>
      </w:hyperlink>
      <w:r w:rsidRPr="00B35752">
        <w:rPr>
          <w:rFonts w:ascii="Times New Roman" w:hAnsi="Times New Roman" w:cs="Times New Roman"/>
          <w:sz w:val="22"/>
          <w:szCs w:val="22"/>
        </w:rPr>
        <w:t xml:space="preserve"> </w:t>
      </w:r>
    </w:p>
  </w:footnote>
  <w:footnote w:id="3">
    <w:p w14:paraId="1550D5DD" w14:textId="77777777" w:rsidR="00E415DB" w:rsidRPr="00B35752" w:rsidRDefault="00E415DB">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00FA3A62" w:rsidRPr="00B35752">
        <w:rPr>
          <w:rFonts w:ascii="Times New Roman" w:hAnsi="Times New Roman" w:cs="Times New Roman"/>
          <w:sz w:val="22"/>
          <w:szCs w:val="22"/>
        </w:rPr>
        <w:t xml:space="preserve"> Eller, Alex. 2015.</w:t>
      </w:r>
      <w:r w:rsidRPr="00B35752">
        <w:rPr>
          <w:rFonts w:ascii="Times New Roman" w:hAnsi="Times New Roman" w:cs="Times New Roman"/>
          <w:sz w:val="22"/>
          <w:szCs w:val="22"/>
        </w:rPr>
        <w:t xml:space="preserve"> “Vanadium Batteries Await Breakthrough,” Navigant Research Blog. Accessed March 9, 2015. </w:t>
      </w:r>
      <w:hyperlink r:id="rId3" w:history="1">
        <w:r w:rsidRPr="00B35752">
          <w:rPr>
            <w:rStyle w:val="Hyperlink"/>
            <w:rFonts w:ascii="Times New Roman" w:hAnsi="Times New Roman" w:cs="Times New Roman"/>
            <w:sz w:val="22"/>
            <w:szCs w:val="22"/>
          </w:rPr>
          <w:t>https://www.navigantresearch.com/tag/energy-storage</w:t>
        </w:r>
      </w:hyperlink>
      <w:r w:rsidRPr="00B35752">
        <w:rPr>
          <w:rFonts w:ascii="Times New Roman" w:hAnsi="Times New Roman" w:cs="Times New Roman"/>
          <w:sz w:val="22"/>
          <w:szCs w:val="22"/>
        </w:rPr>
        <w:t xml:space="preserve"> </w:t>
      </w:r>
    </w:p>
  </w:footnote>
  <w:footnote w:id="4">
    <w:p w14:paraId="1550D5DE" w14:textId="77777777" w:rsidR="00FA3A62" w:rsidRPr="00B35752" w:rsidRDefault="00FA3A62">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proofErr w:type="spellStart"/>
      <w:r w:rsidRPr="00B35752">
        <w:rPr>
          <w:rFonts w:ascii="Times New Roman" w:hAnsi="Times New Roman" w:cs="Times New Roman"/>
          <w:sz w:val="22"/>
          <w:szCs w:val="22"/>
        </w:rPr>
        <w:t>Ci</w:t>
      </w:r>
      <w:r w:rsidR="00C700EB" w:rsidRPr="00B35752">
        <w:rPr>
          <w:rFonts w:ascii="Times New Roman" w:hAnsi="Times New Roman" w:cs="Times New Roman"/>
          <w:sz w:val="22"/>
          <w:szCs w:val="22"/>
        </w:rPr>
        <w:t>t</w:t>
      </w:r>
      <w:r w:rsidRPr="00B35752">
        <w:rPr>
          <w:rFonts w:ascii="Times New Roman" w:hAnsi="Times New Roman" w:cs="Times New Roman"/>
          <w:sz w:val="22"/>
          <w:szCs w:val="22"/>
        </w:rPr>
        <w:t>iGroup</w:t>
      </w:r>
      <w:proofErr w:type="spellEnd"/>
      <w:r w:rsidRPr="00B35752">
        <w:rPr>
          <w:rFonts w:ascii="Times New Roman" w:hAnsi="Times New Roman" w:cs="Times New Roman"/>
          <w:sz w:val="22"/>
          <w:szCs w:val="22"/>
        </w:rPr>
        <w:t>, 2015. “Investment Themes i</w:t>
      </w:r>
      <w:r w:rsidR="007E5D1C" w:rsidRPr="00B35752">
        <w:rPr>
          <w:rFonts w:ascii="Times New Roman" w:hAnsi="Times New Roman" w:cs="Times New Roman"/>
          <w:sz w:val="22"/>
          <w:szCs w:val="22"/>
        </w:rPr>
        <w:t>n 2015: Dealing with Divergence,” page 53.</w:t>
      </w:r>
    </w:p>
  </w:footnote>
  <w:footnote w:id="5">
    <w:p w14:paraId="1550D5DF" w14:textId="77777777" w:rsidR="007E5D1C" w:rsidRPr="00B35752" w:rsidRDefault="007E5D1C">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r w:rsidRPr="00B35752">
        <w:rPr>
          <w:rFonts w:ascii="Times New Roman" w:hAnsi="Times New Roman" w:cs="Times New Roman"/>
          <w:i/>
          <w:sz w:val="22"/>
          <w:szCs w:val="22"/>
        </w:rPr>
        <w:t>Id.</w:t>
      </w:r>
      <w:r w:rsidRPr="00B35752">
        <w:rPr>
          <w:rFonts w:ascii="Times New Roman" w:hAnsi="Times New Roman" w:cs="Times New Roman"/>
          <w:sz w:val="22"/>
          <w:szCs w:val="22"/>
        </w:rPr>
        <w:t>, page 52.</w:t>
      </w:r>
    </w:p>
  </w:footnote>
  <w:footnote w:id="6">
    <w:p w14:paraId="1550D5E0" w14:textId="77777777" w:rsidR="00A5365A" w:rsidRPr="00B35752" w:rsidRDefault="00A5365A">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Energystorageexchange.org.</w:t>
      </w:r>
    </w:p>
  </w:footnote>
  <w:footnote w:id="7">
    <w:p w14:paraId="1550D5E1" w14:textId="77777777" w:rsidR="00A5365A" w:rsidRPr="00B35752" w:rsidRDefault="00A5365A">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This is particularly true of the energy storage projects being sponsored by investor-owned utilities, all of which received substantial funding from the federal or state government.</w:t>
      </w:r>
    </w:p>
  </w:footnote>
  <w:footnote w:id="8">
    <w:p w14:paraId="1550D5E2" w14:textId="77777777" w:rsidR="001F76D8" w:rsidRPr="00B35752" w:rsidRDefault="001F76D8" w:rsidP="001F76D8">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See Puget Sound Energy 2013 Integrated Resource Plan at page 5-26; Avista 2013 Integrated Resource Plan at page 6-10.</w:t>
      </w:r>
    </w:p>
  </w:footnote>
  <w:footnote w:id="9">
    <w:p w14:paraId="1550D5E3" w14:textId="77777777" w:rsidR="001F76D8" w:rsidRPr="00B35752" w:rsidRDefault="001F76D8" w:rsidP="001F76D8">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PacifiCorp 2013 Integrated Resource Plan at pages 139-140.</w:t>
      </w:r>
    </w:p>
  </w:footnote>
  <w:footnote w:id="10">
    <w:p w14:paraId="1550D5E4" w14:textId="77777777" w:rsidR="001F76D8" w:rsidRPr="00B35752" w:rsidRDefault="001F76D8">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Docket UE-</w:t>
      </w:r>
      <w:r w:rsidR="008A00DB" w:rsidRPr="00B35752">
        <w:rPr>
          <w:rFonts w:ascii="Times New Roman" w:hAnsi="Times New Roman" w:cs="Times New Roman"/>
          <w:sz w:val="22"/>
          <w:szCs w:val="22"/>
        </w:rPr>
        <w:t xml:space="preserve">120767, Acknowledgment Letter, Attachment </w:t>
      </w:r>
      <w:proofErr w:type="gramStart"/>
      <w:r w:rsidR="008A00DB" w:rsidRPr="00B35752">
        <w:rPr>
          <w:rFonts w:ascii="Times New Roman" w:hAnsi="Times New Roman" w:cs="Times New Roman"/>
          <w:sz w:val="22"/>
          <w:szCs w:val="22"/>
        </w:rPr>
        <w:t>A</w:t>
      </w:r>
      <w:proofErr w:type="gramEnd"/>
      <w:r w:rsidR="008A00DB" w:rsidRPr="00B35752">
        <w:rPr>
          <w:rFonts w:ascii="Times New Roman" w:hAnsi="Times New Roman" w:cs="Times New Roman"/>
          <w:sz w:val="22"/>
          <w:szCs w:val="22"/>
        </w:rPr>
        <w:t xml:space="preserve">, page 6. (Feb. 6, 2014). </w:t>
      </w:r>
    </w:p>
  </w:footnote>
  <w:footnote w:id="11">
    <w:p w14:paraId="1550D5E5" w14:textId="77777777" w:rsidR="00D962A5" w:rsidRPr="00B35752" w:rsidRDefault="00D962A5" w:rsidP="00D962A5">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r w:rsidR="00732A69" w:rsidRPr="00B35752">
        <w:rPr>
          <w:rFonts w:ascii="Times New Roman" w:hAnsi="Times New Roman" w:cs="Times New Roman"/>
          <w:sz w:val="22"/>
          <w:szCs w:val="22"/>
        </w:rPr>
        <w:t>PacifiCorp’s 2014 Wind Integration Study identifies an integration cost of $3.06 per MWh of wind generation. PSE’s wind integration costs are available in the company’s 2013 PCORC (UE-130617) on page 10 of the confidential direct testimony of Matthew D. Rarity.</w:t>
      </w:r>
    </w:p>
  </w:footnote>
  <w:footnote w:id="12">
    <w:p w14:paraId="1550D5E6" w14:textId="77777777" w:rsidR="00E021A4" w:rsidRPr="00B35752" w:rsidRDefault="00E021A4">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Staff analyzed each utility’s future compliance need based the incremental RPS targets in statute, the utility’s projected load growth, and the utility’s existing eligible resources, accounting for resource banking</w:t>
      </w:r>
      <w:r w:rsidR="00D962A5" w:rsidRPr="00B35752">
        <w:rPr>
          <w:rFonts w:ascii="Times New Roman" w:hAnsi="Times New Roman" w:cs="Times New Roman"/>
          <w:sz w:val="22"/>
          <w:szCs w:val="22"/>
        </w:rPr>
        <w:t xml:space="preserve"> provisions</w:t>
      </w:r>
      <w:r w:rsidRPr="00B35752">
        <w:rPr>
          <w:rFonts w:ascii="Times New Roman" w:hAnsi="Times New Roman" w:cs="Times New Roman"/>
          <w:sz w:val="22"/>
          <w:szCs w:val="22"/>
        </w:rPr>
        <w:t>. Th</w:t>
      </w:r>
      <w:r w:rsidR="000C0DC8" w:rsidRPr="00B35752">
        <w:rPr>
          <w:rFonts w:ascii="Times New Roman" w:hAnsi="Times New Roman" w:cs="Times New Roman"/>
          <w:sz w:val="22"/>
          <w:szCs w:val="22"/>
        </w:rPr>
        <w:t>is analysis showed that PSE will</w:t>
      </w:r>
      <w:r w:rsidRPr="00B35752">
        <w:rPr>
          <w:rFonts w:ascii="Times New Roman" w:hAnsi="Times New Roman" w:cs="Times New Roman"/>
          <w:sz w:val="22"/>
          <w:szCs w:val="22"/>
        </w:rPr>
        <w:t xml:space="preserve"> need to add an additional eligible resource no later than 2023. </w:t>
      </w:r>
      <w:r w:rsidR="008A6F77" w:rsidRPr="00B35752">
        <w:rPr>
          <w:rFonts w:ascii="Times New Roman" w:hAnsi="Times New Roman" w:cs="Times New Roman"/>
          <w:sz w:val="22"/>
          <w:szCs w:val="22"/>
        </w:rPr>
        <w:t>PacifiCorp has determined that it will meet RPS requirements by purchasing renewable energy credits (RECs) from third parties</w:t>
      </w:r>
      <w:r w:rsidR="00CC6E4E" w:rsidRPr="00B35752">
        <w:rPr>
          <w:rFonts w:ascii="Times New Roman" w:hAnsi="Times New Roman" w:cs="Times New Roman"/>
          <w:sz w:val="22"/>
          <w:szCs w:val="22"/>
        </w:rPr>
        <w:t xml:space="preserve"> in the short and mid-term, but </w:t>
      </w:r>
      <w:r w:rsidR="00344225" w:rsidRPr="00B35752">
        <w:rPr>
          <w:rFonts w:ascii="Times New Roman" w:hAnsi="Times New Roman" w:cs="Times New Roman"/>
          <w:sz w:val="22"/>
          <w:szCs w:val="22"/>
        </w:rPr>
        <w:t>changing market conditions could result in the company needing to acquire additional resources</w:t>
      </w:r>
      <w:r w:rsidR="008A6F77" w:rsidRPr="00B35752">
        <w:rPr>
          <w:rFonts w:ascii="Times New Roman" w:hAnsi="Times New Roman" w:cs="Times New Roman"/>
          <w:sz w:val="22"/>
          <w:szCs w:val="22"/>
        </w:rPr>
        <w:t>.</w:t>
      </w:r>
      <w:r w:rsidR="000747E1" w:rsidRPr="00B35752">
        <w:rPr>
          <w:rFonts w:ascii="Times New Roman" w:hAnsi="Times New Roman" w:cs="Times New Roman"/>
          <w:sz w:val="22"/>
          <w:szCs w:val="22"/>
        </w:rPr>
        <w:t xml:space="preserve"> Avista, which will be able to claim its Kettle Falls biomass facility beginning in 2016, will not require an additional resource for RPS</w:t>
      </w:r>
      <w:r w:rsidR="00617017" w:rsidRPr="00B35752">
        <w:rPr>
          <w:rFonts w:ascii="Times New Roman" w:hAnsi="Times New Roman" w:cs="Times New Roman"/>
          <w:sz w:val="22"/>
          <w:szCs w:val="22"/>
        </w:rPr>
        <w:t xml:space="preserve"> compliance until the </w:t>
      </w:r>
      <w:r w:rsidR="005825FA" w:rsidRPr="00B35752">
        <w:rPr>
          <w:rFonts w:ascii="Times New Roman" w:hAnsi="Times New Roman" w:cs="Times New Roman"/>
          <w:sz w:val="22"/>
          <w:szCs w:val="22"/>
        </w:rPr>
        <w:t>2030s.</w:t>
      </w:r>
    </w:p>
  </w:footnote>
  <w:footnote w:id="13">
    <w:p w14:paraId="1550D5E7" w14:textId="77777777" w:rsidR="003B79C3" w:rsidRPr="00B35752" w:rsidRDefault="003B79C3">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Energy Storage Association, 2015. “Energy Storage for Renewables Integration: A Burgeoning Market.” Accessed March 19. </w:t>
      </w:r>
      <w:hyperlink r:id="rId4" w:history="1">
        <w:r w:rsidRPr="00B35752">
          <w:rPr>
            <w:rStyle w:val="Hyperlink"/>
            <w:rFonts w:ascii="Times New Roman" w:hAnsi="Times New Roman" w:cs="Times New Roman"/>
            <w:sz w:val="22"/>
            <w:szCs w:val="22"/>
          </w:rPr>
          <w:t>http://energystorage.org/news/esa-news/energy-storage-renewables-integration-burgeoning-market</w:t>
        </w:r>
      </w:hyperlink>
      <w:r w:rsidRPr="00B35752">
        <w:rPr>
          <w:rFonts w:ascii="Times New Roman" w:hAnsi="Times New Roman" w:cs="Times New Roman"/>
          <w:sz w:val="22"/>
          <w:szCs w:val="22"/>
        </w:rPr>
        <w:t xml:space="preserve">. </w:t>
      </w:r>
    </w:p>
  </w:footnote>
  <w:footnote w:id="14">
    <w:p w14:paraId="1550D5E8" w14:textId="77777777" w:rsidR="003B79C3" w:rsidRPr="00B35752" w:rsidRDefault="003B79C3">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National Renewable Energy Laboratory, 2015. “Transmission Grid Integration: Energy Storage.” Accessed March 19. </w:t>
      </w:r>
      <w:hyperlink r:id="rId5" w:history="1">
        <w:r w:rsidRPr="00B35752">
          <w:rPr>
            <w:rStyle w:val="Hyperlink"/>
            <w:rFonts w:ascii="Times New Roman" w:hAnsi="Times New Roman" w:cs="Times New Roman"/>
            <w:sz w:val="22"/>
            <w:szCs w:val="22"/>
          </w:rPr>
          <w:t>http://www.nrel.gov/electricity/transmission/energy_storage.html</w:t>
        </w:r>
      </w:hyperlink>
      <w:r w:rsidRPr="00B35752">
        <w:rPr>
          <w:rFonts w:ascii="Times New Roman" w:hAnsi="Times New Roman" w:cs="Times New Roman"/>
          <w:sz w:val="22"/>
          <w:szCs w:val="22"/>
        </w:rPr>
        <w:t xml:space="preserve">. </w:t>
      </w:r>
    </w:p>
  </w:footnote>
  <w:footnote w:id="15">
    <w:p w14:paraId="1550D5E9" w14:textId="77777777" w:rsidR="006F5282" w:rsidRPr="00B35752" w:rsidRDefault="006F5282">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75 FERC </w:t>
      </w:r>
      <w:r w:rsidR="003417BB" w:rsidRPr="00B35752">
        <w:rPr>
          <w:rFonts w:ascii="Times New Roman" w:hAnsi="Times New Roman" w:cs="Times New Roman"/>
          <w:sz w:val="22"/>
          <w:szCs w:val="22"/>
        </w:rPr>
        <w:t xml:space="preserve">¶ </w:t>
      </w:r>
      <w:r w:rsidRPr="00B35752">
        <w:rPr>
          <w:rFonts w:ascii="Times New Roman" w:hAnsi="Times New Roman" w:cs="Times New Roman"/>
          <w:sz w:val="22"/>
          <w:szCs w:val="22"/>
        </w:rPr>
        <w:t>61,080;</w:t>
      </w:r>
      <w:r w:rsidR="008C6FFB" w:rsidRPr="00B35752">
        <w:rPr>
          <w:rFonts w:ascii="Times New Roman" w:hAnsi="Times New Roman" w:cs="Times New Roman"/>
          <w:sz w:val="22"/>
          <w:szCs w:val="22"/>
        </w:rPr>
        <w:t xml:space="preserve"> Order 888 at page 206</w:t>
      </w:r>
      <w:r w:rsidRPr="00B35752">
        <w:rPr>
          <w:rFonts w:ascii="Times New Roman" w:hAnsi="Times New Roman" w:cs="Times New Roman"/>
          <w:sz w:val="22"/>
          <w:szCs w:val="22"/>
        </w:rPr>
        <w:t>.</w:t>
      </w:r>
    </w:p>
  </w:footnote>
  <w:footnote w:id="16">
    <w:p w14:paraId="1550D5EA" w14:textId="77777777" w:rsidR="00E372F6" w:rsidRPr="00B35752" w:rsidRDefault="00E372F6">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r w:rsidRPr="00B35752">
        <w:rPr>
          <w:rFonts w:ascii="Times New Roman" w:hAnsi="Times New Roman" w:cs="Times New Roman"/>
          <w:i/>
          <w:sz w:val="22"/>
          <w:szCs w:val="22"/>
        </w:rPr>
        <w:t xml:space="preserve">Id., </w:t>
      </w:r>
      <w:r w:rsidRPr="00B35752">
        <w:rPr>
          <w:rFonts w:ascii="Times New Roman" w:hAnsi="Times New Roman" w:cs="Times New Roman"/>
          <w:sz w:val="22"/>
          <w:szCs w:val="22"/>
        </w:rPr>
        <w:t>at pages 200-201.</w:t>
      </w:r>
    </w:p>
  </w:footnote>
  <w:footnote w:id="17">
    <w:p w14:paraId="1550D5EB" w14:textId="77777777" w:rsidR="004F549D" w:rsidRPr="00B35752" w:rsidRDefault="004F549D">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137 FERC </w:t>
      </w:r>
      <w:r w:rsidR="003417BB" w:rsidRPr="00B35752">
        <w:rPr>
          <w:rFonts w:ascii="Times New Roman" w:hAnsi="Times New Roman" w:cs="Times New Roman"/>
          <w:sz w:val="22"/>
          <w:szCs w:val="22"/>
        </w:rPr>
        <w:t>¶ 61,064; Order 755</w:t>
      </w:r>
      <w:r w:rsidRPr="00B35752">
        <w:rPr>
          <w:rFonts w:ascii="Times New Roman" w:hAnsi="Times New Roman" w:cs="Times New Roman"/>
          <w:sz w:val="22"/>
          <w:szCs w:val="22"/>
        </w:rPr>
        <w:t xml:space="preserve"> at pages 10-11.</w:t>
      </w:r>
    </w:p>
  </w:footnote>
  <w:footnote w:id="18">
    <w:p w14:paraId="1550D5EC" w14:textId="77777777" w:rsidR="006A4709" w:rsidRPr="00B35752" w:rsidRDefault="006A4709">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r w:rsidRPr="00B35752">
        <w:rPr>
          <w:rFonts w:ascii="Times New Roman" w:hAnsi="Times New Roman" w:cs="Times New Roman"/>
          <w:i/>
          <w:sz w:val="22"/>
          <w:szCs w:val="22"/>
        </w:rPr>
        <w:t xml:space="preserve">Id., </w:t>
      </w:r>
      <w:r w:rsidRPr="00B35752">
        <w:rPr>
          <w:rFonts w:ascii="Times New Roman" w:hAnsi="Times New Roman" w:cs="Times New Roman"/>
          <w:sz w:val="22"/>
          <w:szCs w:val="22"/>
        </w:rPr>
        <w:t>page 2, footnote 4.</w:t>
      </w:r>
    </w:p>
  </w:footnote>
  <w:footnote w:id="19">
    <w:p w14:paraId="1550D5ED" w14:textId="77777777" w:rsidR="005036C8" w:rsidRPr="00B35752" w:rsidRDefault="005036C8">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r w:rsidRPr="00B35752">
        <w:rPr>
          <w:rFonts w:ascii="Times New Roman" w:hAnsi="Times New Roman" w:cs="Times New Roman"/>
          <w:i/>
          <w:sz w:val="22"/>
          <w:szCs w:val="22"/>
        </w:rPr>
        <w:t>Id.</w:t>
      </w:r>
      <w:r w:rsidRPr="00B35752">
        <w:rPr>
          <w:rFonts w:ascii="Times New Roman" w:hAnsi="Times New Roman" w:cs="Times New Roman"/>
          <w:sz w:val="22"/>
          <w:szCs w:val="22"/>
        </w:rPr>
        <w:t>, pages 15-16.</w:t>
      </w:r>
    </w:p>
  </w:footnote>
  <w:footnote w:id="20">
    <w:p w14:paraId="1550D5EE" w14:textId="77777777" w:rsidR="006A4709" w:rsidRPr="00B35752" w:rsidRDefault="006A4709">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r w:rsidRPr="00B35752">
        <w:rPr>
          <w:rFonts w:ascii="Times New Roman" w:hAnsi="Times New Roman" w:cs="Times New Roman"/>
          <w:i/>
          <w:sz w:val="22"/>
          <w:szCs w:val="22"/>
        </w:rPr>
        <w:t xml:space="preserve">Id., </w:t>
      </w:r>
      <w:r w:rsidRPr="00B35752">
        <w:rPr>
          <w:rFonts w:ascii="Times New Roman" w:hAnsi="Times New Roman" w:cs="Times New Roman"/>
          <w:sz w:val="22"/>
          <w:szCs w:val="22"/>
        </w:rPr>
        <w:t>page 12.</w:t>
      </w:r>
    </w:p>
  </w:footnote>
  <w:footnote w:id="21">
    <w:p w14:paraId="1550D5EF" w14:textId="77777777" w:rsidR="003B317E" w:rsidRPr="00B35752" w:rsidRDefault="003B317E" w:rsidP="003B317E">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Wolff, Eric. 2015. “Better Grids through Batteries, or how Performance-based Regulation Saves PJM Money,” </w:t>
      </w:r>
      <w:r w:rsidRPr="00B35752">
        <w:rPr>
          <w:rFonts w:ascii="Times New Roman" w:hAnsi="Times New Roman" w:cs="Times New Roman"/>
          <w:i/>
          <w:sz w:val="22"/>
          <w:szCs w:val="22"/>
        </w:rPr>
        <w:t>SNL</w:t>
      </w:r>
      <w:r w:rsidRPr="00B35752">
        <w:rPr>
          <w:rFonts w:ascii="Times New Roman" w:hAnsi="Times New Roman" w:cs="Times New Roman"/>
          <w:sz w:val="22"/>
          <w:szCs w:val="22"/>
        </w:rPr>
        <w:t>, May 2.</w:t>
      </w:r>
    </w:p>
  </w:footnote>
  <w:footnote w:id="22">
    <w:p w14:paraId="1550D5F0" w14:textId="77777777" w:rsidR="00E12497" w:rsidRPr="00B35752" w:rsidRDefault="00E12497">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r w:rsidR="00B62FD8" w:rsidRPr="00B35752">
        <w:rPr>
          <w:rFonts w:ascii="Times New Roman" w:hAnsi="Times New Roman" w:cs="Times New Roman"/>
          <w:sz w:val="22"/>
          <w:szCs w:val="22"/>
        </w:rPr>
        <w:t>Energy Storage Association</w:t>
      </w:r>
      <w:r w:rsidR="00CE5DE2" w:rsidRPr="00B35752">
        <w:rPr>
          <w:rFonts w:ascii="Times New Roman" w:hAnsi="Times New Roman" w:cs="Times New Roman"/>
          <w:sz w:val="22"/>
          <w:szCs w:val="22"/>
        </w:rPr>
        <w:t xml:space="preserve">, 2015. “U.S. Energy Storage Market to Grow 250% in 2015.” Accessed March 11, 2015. </w:t>
      </w:r>
      <w:hyperlink r:id="rId6" w:history="1">
        <w:r w:rsidR="00CE5DE2" w:rsidRPr="00B35752">
          <w:rPr>
            <w:rStyle w:val="Hyperlink"/>
            <w:rFonts w:ascii="Times New Roman" w:hAnsi="Times New Roman" w:cs="Times New Roman"/>
            <w:sz w:val="22"/>
            <w:szCs w:val="22"/>
          </w:rPr>
          <w:t>http://energystorage.org/news/esa-news/us-energy-storage-market-grow-250-2015-0</w:t>
        </w:r>
      </w:hyperlink>
      <w:r w:rsidR="00CE5DE2" w:rsidRPr="00B35752">
        <w:rPr>
          <w:rFonts w:ascii="Times New Roman" w:hAnsi="Times New Roman" w:cs="Times New Roman"/>
          <w:sz w:val="22"/>
          <w:szCs w:val="22"/>
        </w:rPr>
        <w:t xml:space="preserve"> </w:t>
      </w:r>
    </w:p>
  </w:footnote>
  <w:footnote w:id="23">
    <w:p w14:paraId="1550D5F1" w14:textId="77777777" w:rsidR="00805EBE" w:rsidRPr="00B35752" w:rsidRDefault="00805EBE">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hyperlink r:id="rId7" w:history="1">
        <w:r w:rsidRPr="00B35752">
          <w:rPr>
            <w:rStyle w:val="Hyperlink"/>
            <w:rFonts w:ascii="Times New Roman" w:hAnsi="Times New Roman" w:cs="Times New Roman"/>
            <w:sz w:val="22"/>
            <w:szCs w:val="22"/>
          </w:rPr>
          <w:t>www.energystorageexchange.org</w:t>
        </w:r>
      </w:hyperlink>
      <w:r w:rsidRPr="00B35752">
        <w:rPr>
          <w:rFonts w:ascii="Times New Roman" w:hAnsi="Times New Roman" w:cs="Times New Roman"/>
          <w:sz w:val="22"/>
          <w:szCs w:val="22"/>
        </w:rPr>
        <w:t xml:space="preserve"> </w:t>
      </w:r>
    </w:p>
  </w:footnote>
  <w:footnote w:id="24">
    <w:p w14:paraId="1550D5F2" w14:textId="77777777" w:rsidR="009504DE" w:rsidRPr="00B35752" w:rsidRDefault="009504DE">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Based on staff’s analysis of all projects labeled “announced” or “under construction” on energystorageexchange.org. </w:t>
      </w:r>
    </w:p>
  </w:footnote>
  <w:footnote w:id="25">
    <w:p w14:paraId="1550D5F3" w14:textId="77777777" w:rsidR="003417BB" w:rsidRPr="00B35752" w:rsidRDefault="003417BB">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144 FERC ¶ 61,056; Order 784 at page 5.</w:t>
      </w:r>
    </w:p>
  </w:footnote>
  <w:footnote w:id="26">
    <w:p w14:paraId="1550D5F4" w14:textId="77777777" w:rsidR="008B29B1" w:rsidRPr="00B35752" w:rsidRDefault="008B29B1">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009504DE" w:rsidRPr="00B35752">
        <w:rPr>
          <w:rFonts w:ascii="Times New Roman" w:hAnsi="Times New Roman" w:cs="Times New Roman"/>
          <w:sz w:val="22"/>
          <w:szCs w:val="22"/>
        </w:rPr>
        <w:t xml:space="preserve"> See Stanton, Tom, 2014. “Envisioning State Regulatory Roles in the Provision of Energy Storage,” National Regulatory Research Institute.</w:t>
      </w:r>
    </w:p>
  </w:footnote>
  <w:footnote w:id="27">
    <w:p w14:paraId="1550D5F5" w14:textId="77777777" w:rsidR="004A2797" w:rsidRPr="00B35752" w:rsidRDefault="004A2797">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New York Department of Public Service Staff, “Reforming the Energy Vision: NYS Department of Public Service Staff Report and Proposal,” April 24, 2014, pg. 12.</w:t>
      </w:r>
    </w:p>
  </w:footnote>
  <w:footnote w:id="28">
    <w:p w14:paraId="1550D5F6" w14:textId="77777777" w:rsidR="002D7CE7" w:rsidRPr="00B35752" w:rsidRDefault="002D7CE7">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r w:rsidRPr="00B35752">
        <w:rPr>
          <w:rFonts w:ascii="Times New Roman" w:hAnsi="Times New Roman" w:cs="Times New Roman"/>
          <w:i/>
          <w:sz w:val="22"/>
          <w:szCs w:val="22"/>
        </w:rPr>
        <w:t>Id.,</w:t>
      </w:r>
      <w:r w:rsidRPr="00B35752">
        <w:rPr>
          <w:rFonts w:ascii="Times New Roman" w:hAnsi="Times New Roman" w:cs="Times New Roman"/>
          <w:sz w:val="22"/>
          <w:szCs w:val="22"/>
        </w:rPr>
        <w:t xml:space="preserve"> page 14.</w:t>
      </w:r>
    </w:p>
  </w:footnote>
  <w:footnote w:id="29">
    <w:p w14:paraId="1550D5F7" w14:textId="77777777" w:rsidR="007175BC" w:rsidRPr="00B35752" w:rsidRDefault="007175BC">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California Public Utilities Code, Section 2836(a</w:t>
      </w:r>
      <w:proofErr w:type="gramStart"/>
      <w:r w:rsidRPr="00B35752">
        <w:rPr>
          <w:rFonts w:ascii="Times New Roman" w:hAnsi="Times New Roman" w:cs="Times New Roman"/>
          <w:sz w:val="22"/>
          <w:szCs w:val="22"/>
        </w:rPr>
        <w:t>)(</w:t>
      </w:r>
      <w:proofErr w:type="gramEnd"/>
      <w:r w:rsidRPr="00B35752">
        <w:rPr>
          <w:rFonts w:ascii="Times New Roman" w:hAnsi="Times New Roman" w:cs="Times New Roman"/>
          <w:sz w:val="22"/>
          <w:szCs w:val="22"/>
        </w:rPr>
        <w:t>1).</w:t>
      </w:r>
    </w:p>
  </w:footnote>
  <w:footnote w:id="30">
    <w:p w14:paraId="1550D5F8" w14:textId="77777777" w:rsidR="007175BC" w:rsidRPr="00B35752" w:rsidRDefault="007175BC">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California Public Utilities Commission, Decision 13-10-040 (Oct. 17, 2013), page 7. </w:t>
      </w:r>
    </w:p>
  </w:footnote>
  <w:footnote w:id="31">
    <w:p w14:paraId="1550D5F9" w14:textId="77777777" w:rsidR="00B35752" w:rsidRPr="00B35752" w:rsidRDefault="00B35752">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proofErr w:type="spellStart"/>
      <w:r w:rsidRPr="00B35752">
        <w:rPr>
          <w:rFonts w:ascii="Times New Roman" w:hAnsi="Times New Roman" w:cs="Times New Roman"/>
          <w:sz w:val="22"/>
          <w:szCs w:val="22"/>
        </w:rPr>
        <w:t>Cordner</w:t>
      </w:r>
      <w:proofErr w:type="spellEnd"/>
      <w:r w:rsidRPr="00B35752">
        <w:rPr>
          <w:rFonts w:ascii="Times New Roman" w:hAnsi="Times New Roman" w:cs="Times New Roman"/>
          <w:sz w:val="22"/>
          <w:szCs w:val="22"/>
        </w:rPr>
        <w:t xml:space="preserve">, Christine. 2014. “Battery Energy Storage Makes Big Showing in </w:t>
      </w:r>
      <w:proofErr w:type="spellStart"/>
      <w:r w:rsidRPr="00B35752">
        <w:rPr>
          <w:rFonts w:ascii="Times New Roman" w:hAnsi="Times New Roman" w:cs="Times New Roman"/>
          <w:sz w:val="22"/>
          <w:szCs w:val="22"/>
        </w:rPr>
        <w:t>SoCalEd</w:t>
      </w:r>
      <w:proofErr w:type="spellEnd"/>
      <w:r w:rsidRPr="00B35752">
        <w:rPr>
          <w:rFonts w:ascii="Times New Roman" w:hAnsi="Times New Roman" w:cs="Times New Roman"/>
          <w:sz w:val="22"/>
          <w:szCs w:val="22"/>
        </w:rPr>
        <w:t xml:space="preserve"> Competitive Solicitation.” </w:t>
      </w:r>
      <w:r w:rsidRPr="00B35752">
        <w:rPr>
          <w:rFonts w:ascii="Times New Roman" w:hAnsi="Times New Roman" w:cs="Times New Roman"/>
          <w:i/>
          <w:sz w:val="22"/>
          <w:szCs w:val="22"/>
        </w:rPr>
        <w:t>SNL,</w:t>
      </w:r>
      <w:r w:rsidRPr="00B35752">
        <w:rPr>
          <w:rFonts w:ascii="Times New Roman" w:hAnsi="Times New Roman" w:cs="Times New Roman"/>
          <w:sz w:val="22"/>
          <w:szCs w:val="22"/>
        </w:rPr>
        <w:t xml:space="preserve"> Nov. 5.</w:t>
      </w:r>
    </w:p>
  </w:footnote>
  <w:footnote w:id="32">
    <w:p w14:paraId="1550D5FA" w14:textId="77777777" w:rsidR="00294054" w:rsidRPr="00B35752" w:rsidRDefault="00294054">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GTM Research and Energy Storage Association, 2015. “U.S. Energy Storage Monitor – 2014 Year in Review: Executive Summary,” page 13.</w:t>
      </w:r>
    </w:p>
  </w:footnote>
  <w:footnote w:id="33">
    <w:p w14:paraId="1550D5FB" w14:textId="77777777" w:rsidR="00294054" w:rsidRPr="00B35752" w:rsidRDefault="00294054">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r w:rsidR="00EA520D" w:rsidRPr="00B35752">
        <w:rPr>
          <w:rFonts w:ascii="Times New Roman" w:hAnsi="Times New Roman" w:cs="Times New Roman"/>
          <w:sz w:val="22"/>
          <w:szCs w:val="22"/>
        </w:rPr>
        <w:t>Pacific Northwest National Laboratory, 2014. “Compressed Air Energy Storage: Grid-Scale Technology for Renewables Integration in the Pacific Northwest.”</w:t>
      </w:r>
    </w:p>
  </w:footnote>
  <w:footnote w:id="34">
    <w:p w14:paraId="1550D5FC" w14:textId="77777777" w:rsidR="0050538F" w:rsidRPr="00B35752" w:rsidRDefault="0050538F">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r w:rsidR="00B35752">
        <w:rPr>
          <w:rFonts w:ascii="Times New Roman" w:hAnsi="Times New Roman" w:cs="Times New Roman"/>
          <w:sz w:val="22"/>
          <w:szCs w:val="22"/>
        </w:rPr>
        <w:t xml:space="preserve">EDF Renewable Energy, 2015. “Swan Lake North Pumped Storage Hydro.” Accessed March 19. </w:t>
      </w:r>
      <w:hyperlink r:id="rId8" w:history="1">
        <w:r w:rsidR="00B35752" w:rsidRPr="00CD45D0">
          <w:rPr>
            <w:rStyle w:val="Hyperlink"/>
            <w:rFonts w:ascii="Times New Roman" w:hAnsi="Times New Roman" w:cs="Times New Roman"/>
            <w:sz w:val="22"/>
            <w:szCs w:val="22"/>
          </w:rPr>
          <w:t>http://www.edf-re.com/employment.php</w:t>
        </w:r>
      </w:hyperlink>
      <w:r w:rsidR="00B35752">
        <w:rPr>
          <w:rFonts w:ascii="Times New Roman" w:hAnsi="Times New Roman" w:cs="Times New Roman"/>
          <w:sz w:val="22"/>
          <w:szCs w:val="22"/>
        </w:rPr>
        <w:t xml:space="preserve">. </w:t>
      </w:r>
    </w:p>
  </w:footnote>
  <w:footnote w:id="35">
    <w:p w14:paraId="1550D5FD" w14:textId="77777777" w:rsidR="0050538F" w:rsidRPr="00B35752" w:rsidRDefault="0050538F">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w:t>
      </w:r>
      <w:proofErr w:type="spellStart"/>
      <w:r w:rsidRPr="00B35752">
        <w:rPr>
          <w:rFonts w:ascii="Times New Roman" w:hAnsi="Times New Roman" w:cs="Times New Roman"/>
          <w:sz w:val="22"/>
          <w:szCs w:val="22"/>
        </w:rPr>
        <w:t>Prengman</w:t>
      </w:r>
      <w:proofErr w:type="spellEnd"/>
      <w:r w:rsidRPr="00B35752">
        <w:rPr>
          <w:rFonts w:ascii="Times New Roman" w:hAnsi="Times New Roman" w:cs="Times New Roman"/>
          <w:sz w:val="22"/>
          <w:szCs w:val="22"/>
        </w:rPr>
        <w:t xml:space="preserve">, Kate, 2015. “Klickitat PUD wants to build $2.5 billion power storage system near Goldendale,” </w:t>
      </w:r>
      <w:r w:rsidRPr="00B35752">
        <w:rPr>
          <w:rFonts w:ascii="Times New Roman" w:hAnsi="Times New Roman" w:cs="Times New Roman"/>
          <w:i/>
          <w:sz w:val="22"/>
          <w:szCs w:val="22"/>
        </w:rPr>
        <w:t>Yakima Herald</w:t>
      </w:r>
      <w:r w:rsidR="006E6927">
        <w:rPr>
          <w:rFonts w:ascii="Times New Roman" w:hAnsi="Times New Roman" w:cs="Times New Roman"/>
          <w:sz w:val="22"/>
          <w:szCs w:val="22"/>
        </w:rPr>
        <w:t>, Feb. 17</w:t>
      </w:r>
      <w:r w:rsidRPr="00B35752">
        <w:rPr>
          <w:rFonts w:ascii="Times New Roman" w:hAnsi="Times New Roman" w:cs="Times New Roman"/>
          <w:sz w:val="22"/>
          <w:szCs w:val="22"/>
        </w:rPr>
        <w:t xml:space="preserve">. </w:t>
      </w:r>
    </w:p>
  </w:footnote>
  <w:footnote w:id="36">
    <w:p w14:paraId="1550D5FE" w14:textId="77777777" w:rsidR="009F0E61" w:rsidRPr="00B35752" w:rsidRDefault="009F0E61">
      <w:pPr>
        <w:pStyle w:val="FootnoteText"/>
        <w:rPr>
          <w:rFonts w:ascii="Times New Roman" w:hAnsi="Times New Roman" w:cs="Times New Roman"/>
          <w:sz w:val="22"/>
          <w:szCs w:val="22"/>
        </w:rPr>
      </w:pPr>
      <w:r w:rsidRPr="00B35752">
        <w:rPr>
          <w:rStyle w:val="FootnoteReference"/>
          <w:rFonts w:ascii="Times New Roman" w:hAnsi="Times New Roman" w:cs="Times New Roman"/>
          <w:sz w:val="22"/>
          <w:szCs w:val="22"/>
        </w:rPr>
        <w:footnoteRef/>
      </w:r>
      <w:r w:rsidRPr="00B35752">
        <w:rPr>
          <w:rFonts w:ascii="Times New Roman" w:hAnsi="Times New Roman" w:cs="Times New Roman"/>
          <w:sz w:val="22"/>
          <w:szCs w:val="22"/>
        </w:rPr>
        <w:t xml:space="preserve"> St. John, Jeff. 2014. “Why Washington State’s $14.3M Storage Program is so Different from </w:t>
      </w:r>
      <w:proofErr w:type="gramStart"/>
      <w:r w:rsidRPr="00B35752">
        <w:rPr>
          <w:rFonts w:ascii="Times New Roman" w:hAnsi="Times New Roman" w:cs="Times New Roman"/>
          <w:sz w:val="22"/>
          <w:szCs w:val="22"/>
        </w:rPr>
        <w:t>Others</w:t>
      </w:r>
      <w:proofErr w:type="gramEnd"/>
      <w:r w:rsidRPr="00B35752">
        <w:rPr>
          <w:rFonts w:ascii="Times New Roman" w:hAnsi="Times New Roman" w:cs="Times New Roman"/>
          <w:sz w:val="22"/>
          <w:szCs w:val="22"/>
        </w:rPr>
        <w:t xml:space="preserve">,” </w:t>
      </w:r>
      <w:proofErr w:type="spellStart"/>
      <w:r w:rsidRPr="00B35752">
        <w:rPr>
          <w:rFonts w:ascii="Times New Roman" w:hAnsi="Times New Roman" w:cs="Times New Roman"/>
          <w:i/>
          <w:sz w:val="22"/>
          <w:szCs w:val="22"/>
        </w:rPr>
        <w:t>Greentech</w:t>
      </w:r>
      <w:proofErr w:type="spellEnd"/>
      <w:r w:rsidRPr="00B35752">
        <w:rPr>
          <w:rFonts w:ascii="Times New Roman" w:hAnsi="Times New Roman" w:cs="Times New Roman"/>
          <w:i/>
          <w:sz w:val="22"/>
          <w:szCs w:val="22"/>
        </w:rPr>
        <w:t xml:space="preserve"> Media</w:t>
      </w:r>
      <w:r w:rsidRPr="00B35752">
        <w:rPr>
          <w:rFonts w:ascii="Times New Roman" w:hAnsi="Times New Roman" w:cs="Times New Roman"/>
          <w:sz w:val="22"/>
          <w:szCs w:val="22"/>
        </w:rPr>
        <w:t xml:space="preserve">, July 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424D0"/>
    <w:multiLevelType w:val="hybridMultilevel"/>
    <w:tmpl w:val="9F2036DA"/>
    <w:lvl w:ilvl="0" w:tplc="CC161F4A">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90594"/>
    <w:multiLevelType w:val="hybridMultilevel"/>
    <w:tmpl w:val="B1547942"/>
    <w:lvl w:ilvl="0" w:tplc="E08871EA">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8019B"/>
    <w:multiLevelType w:val="hybridMultilevel"/>
    <w:tmpl w:val="62C24C4E"/>
    <w:lvl w:ilvl="0" w:tplc="DB889E8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9259E"/>
    <w:multiLevelType w:val="hybridMultilevel"/>
    <w:tmpl w:val="E5E04DE4"/>
    <w:lvl w:ilvl="0" w:tplc="7D4C73D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98"/>
    <w:rsid w:val="00003AA9"/>
    <w:rsid w:val="000112BF"/>
    <w:rsid w:val="00023A88"/>
    <w:rsid w:val="00031239"/>
    <w:rsid w:val="00064C7D"/>
    <w:rsid w:val="000747E1"/>
    <w:rsid w:val="00080459"/>
    <w:rsid w:val="000A7B2A"/>
    <w:rsid w:val="000B6E23"/>
    <w:rsid w:val="000C0DC8"/>
    <w:rsid w:val="000D2BD3"/>
    <w:rsid w:val="00106A95"/>
    <w:rsid w:val="001275C2"/>
    <w:rsid w:val="00157F00"/>
    <w:rsid w:val="00182543"/>
    <w:rsid w:val="00184DEF"/>
    <w:rsid w:val="00185699"/>
    <w:rsid w:val="001F40E0"/>
    <w:rsid w:val="001F76D8"/>
    <w:rsid w:val="00206EB1"/>
    <w:rsid w:val="002409DB"/>
    <w:rsid w:val="00260D7B"/>
    <w:rsid w:val="00267B6E"/>
    <w:rsid w:val="00271647"/>
    <w:rsid w:val="00294054"/>
    <w:rsid w:val="002D7CE7"/>
    <w:rsid w:val="002F74D9"/>
    <w:rsid w:val="0033200E"/>
    <w:rsid w:val="003341B9"/>
    <w:rsid w:val="00334248"/>
    <w:rsid w:val="003417BB"/>
    <w:rsid w:val="00344225"/>
    <w:rsid w:val="00374E85"/>
    <w:rsid w:val="00375340"/>
    <w:rsid w:val="00394796"/>
    <w:rsid w:val="003B317E"/>
    <w:rsid w:val="003B7776"/>
    <w:rsid w:val="003B79C3"/>
    <w:rsid w:val="003C5862"/>
    <w:rsid w:val="003D19F7"/>
    <w:rsid w:val="003F545F"/>
    <w:rsid w:val="0042622D"/>
    <w:rsid w:val="00435838"/>
    <w:rsid w:val="0048171D"/>
    <w:rsid w:val="004A2797"/>
    <w:rsid w:val="004C1EA4"/>
    <w:rsid w:val="004F19FE"/>
    <w:rsid w:val="004F549D"/>
    <w:rsid w:val="005036C8"/>
    <w:rsid w:val="0050538F"/>
    <w:rsid w:val="00517F38"/>
    <w:rsid w:val="005509FC"/>
    <w:rsid w:val="00580FFC"/>
    <w:rsid w:val="005825FA"/>
    <w:rsid w:val="005E6650"/>
    <w:rsid w:val="005F3656"/>
    <w:rsid w:val="00600F28"/>
    <w:rsid w:val="00604598"/>
    <w:rsid w:val="00612E74"/>
    <w:rsid w:val="00617017"/>
    <w:rsid w:val="0062265F"/>
    <w:rsid w:val="00647CB8"/>
    <w:rsid w:val="006541AA"/>
    <w:rsid w:val="00664596"/>
    <w:rsid w:val="006717D3"/>
    <w:rsid w:val="00672D34"/>
    <w:rsid w:val="00694FD3"/>
    <w:rsid w:val="006A25E1"/>
    <w:rsid w:val="006A374C"/>
    <w:rsid w:val="006A4709"/>
    <w:rsid w:val="006B2FCD"/>
    <w:rsid w:val="006D106E"/>
    <w:rsid w:val="006E6927"/>
    <w:rsid w:val="006F5282"/>
    <w:rsid w:val="00713550"/>
    <w:rsid w:val="00716658"/>
    <w:rsid w:val="007175BC"/>
    <w:rsid w:val="00732A69"/>
    <w:rsid w:val="0074047B"/>
    <w:rsid w:val="0074795F"/>
    <w:rsid w:val="007A75B8"/>
    <w:rsid w:val="007B2BBA"/>
    <w:rsid w:val="007E5D1C"/>
    <w:rsid w:val="00805EBE"/>
    <w:rsid w:val="008151A8"/>
    <w:rsid w:val="0082419D"/>
    <w:rsid w:val="008310C8"/>
    <w:rsid w:val="00832342"/>
    <w:rsid w:val="008530DA"/>
    <w:rsid w:val="00890A8A"/>
    <w:rsid w:val="008A00DB"/>
    <w:rsid w:val="008A6F77"/>
    <w:rsid w:val="008B29B1"/>
    <w:rsid w:val="008B79DC"/>
    <w:rsid w:val="008C6FFB"/>
    <w:rsid w:val="008F5D31"/>
    <w:rsid w:val="0090500A"/>
    <w:rsid w:val="00907DB3"/>
    <w:rsid w:val="00931275"/>
    <w:rsid w:val="00931C09"/>
    <w:rsid w:val="009504DE"/>
    <w:rsid w:val="0098757F"/>
    <w:rsid w:val="00991EB7"/>
    <w:rsid w:val="009A3671"/>
    <w:rsid w:val="009C2D56"/>
    <w:rsid w:val="009D6A55"/>
    <w:rsid w:val="009E3898"/>
    <w:rsid w:val="009F0E61"/>
    <w:rsid w:val="009F7E99"/>
    <w:rsid w:val="00A209D7"/>
    <w:rsid w:val="00A46EDA"/>
    <w:rsid w:val="00A5365A"/>
    <w:rsid w:val="00A56494"/>
    <w:rsid w:val="00A75449"/>
    <w:rsid w:val="00A8194F"/>
    <w:rsid w:val="00A920E6"/>
    <w:rsid w:val="00AA3394"/>
    <w:rsid w:val="00B3491C"/>
    <w:rsid w:val="00B35752"/>
    <w:rsid w:val="00B45232"/>
    <w:rsid w:val="00B62FD8"/>
    <w:rsid w:val="00B8299C"/>
    <w:rsid w:val="00B8709F"/>
    <w:rsid w:val="00B9311F"/>
    <w:rsid w:val="00B95E17"/>
    <w:rsid w:val="00BB5BFE"/>
    <w:rsid w:val="00BD6CAB"/>
    <w:rsid w:val="00C11DCE"/>
    <w:rsid w:val="00C12DC2"/>
    <w:rsid w:val="00C31F01"/>
    <w:rsid w:val="00C42B07"/>
    <w:rsid w:val="00C52214"/>
    <w:rsid w:val="00C534EA"/>
    <w:rsid w:val="00C54745"/>
    <w:rsid w:val="00C65EC6"/>
    <w:rsid w:val="00C700EB"/>
    <w:rsid w:val="00C71AA1"/>
    <w:rsid w:val="00C75FC7"/>
    <w:rsid w:val="00CA093C"/>
    <w:rsid w:val="00CC28F1"/>
    <w:rsid w:val="00CC6E4E"/>
    <w:rsid w:val="00CE5DE2"/>
    <w:rsid w:val="00CE6EF4"/>
    <w:rsid w:val="00CE75B2"/>
    <w:rsid w:val="00CF7DBF"/>
    <w:rsid w:val="00D13910"/>
    <w:rsid w:val="00D27E79"/>
    <w:rsid w:val="00D50E61"/>
    <w:rsid w:val="00D52EAE"/>
    <w:rsid w:val="00D934AC"/>
    <w:rsid w:val="00D962A5"/>
    <w:rsid w:val="00DA1C78"/>
    <w:rsid w:val="00DA2B65"/>
    <w:rsid w:val="00DE5867"/>
    <w:rsid w:val="00DF4FF8"/>
    <w:rsid w:val="00DF6B77"/>
    <w:rsid w:val="00E021A4"/>
    <w:rsid w:val="00E067CC"/>
    <w:rsid w:val="00E12497"/>
    <w:rsid w:val="00E27265"/>
    <w:rsid w:val="00E337BF"/>
    <w:rsid w:val="00E372F6"/>
    <w:rsid w:val="00E40E6A"/>
    <w:rsid w:val="00E415DB"/>
    <w:rsid w:val="00E54EC0"/>
    <w:rsid w:val="00E63421"/>
    <w:rsid w:val="00EA520D"/>
    <w:rsid w:val="00EB0B71"/>
    <w:rsid w:val="00EB46EF"/>
    <w:rsid w:val="00EE0B61"/>
    <w:rsid w:val="00EE2F4F"/>
    <w:rsid w:val="00EF72E0"/>
    <w:rsid w:val="00F031C2"/>
    <w:rsid w:val="00F072B8"/>
    <w:rsid w:val="00F12556"/>
    <w:rsid w:val="00F13F5E"/>
    <w:rsid w:val="00F270B2"/>
    <w:rsid w:val="00F648D7"/>
    <w:rsid w:val="00F7187D"/>
    <w:rsid w:val="00F83FC5"/>
    <w:rsid w:val="00FA3A62"/>
    <w:rsid w:val="00FA47E2"/>
    <w:rsid w:val="00FA7221"/>
    <w:rsid w:val="00FD4C47"/>
    <w:rsid w:val="00FD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D550"/>
  <w15:docId w15:val="{1EEDC3A8-02E3-4114-8C7B-F7698727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1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F01"/>
    <w:rPr>
      <w:sz w:val="20"/>
      <w:szCs w:val="20"/>
    </w:rPr>
  </w:style>
  <w:style w:type="character" w:styleId="FootnoteReference">
    <w:name w:val="footnote reference"/>
    <w:basedOn w:val="DefaultParagraphFont"/>
    <w:uiPriority w:val="99"/>
    <w:semiHidden/>
    <w:unhideWhenUsed/>
    <w:rsid w:val="00C31F01"/>
    <w:rPr>
      <w:vertAlign w:val="superscript"/>
    </w:rPr>
  </w:style>
  <w:style w:type="paragraph" w:styleId="ListParagraph">
    <w:name w:val="List Paragraph"/>
    <w:basedOn w:val="Normal"/>
    <w:uiPriority w:val="34"/>
    <w:qFormat/>
    <w:rsid w:val="00D934AC"/>
    <w:pPr>
      <w:ind w:left="720"/>
      <w:contextualSpacing/>
    </w:pPr>
  </w:style>
  <w:style w:type="character" w:styleId="Hyperlink">
    <w:name w:val="Hyperlink"/>
    <w:basedOn w:val="DefaultParagraphFont"/>
    <w:uiPriority w:val="99"/>
    <w:unhideWhenUsed/>
    <w:rsid w:val="00CF7DBF"/>
    <w:rPr>
      <w:color w:val="0000FF" w:themeColor="hyperlink"/>
      <w:u w:val="single"/>
    </w:rPr>
  </w:style>
  <w:style w:type="paragraph" w:styleId="NoSpacing">
    <w:name w:val="No Spacing"/>
    <w:link w:val="NoSpacingChar"/>
    <w:uiPriority w:val="1"/>
    <w:qFormat/>
    <w:rsid w:val="004F19FE"/>
    <w:pPr>
      <w:spacing w:after="0" w:line="240" w:lineRule="auto"/>
    </w:pPr>
    <w:rPr>
      <w:rFonts w:eastAsiaTheme="minorEastAsia"/>
    </w:rPr>
  </w:style>
  <w:style w:type="character" w:customStyle="1" w:styleId="NoSpacingChar">
    <w:name w:val="No Spacing Char"/>
    <w:basedOn w:val="DefaultParagraphFont"/>
    <w:link w:val="NoSpacing"/>
    <w:uiPriority w:val="1"/>
    <w:rsid w:val="004F19FE"/>
    <w:rPr>
      <w:rFonts w:eastAsiaTheme="minorEastAsia"/>
    </w:rPr>
  </w:style>
  <w:style w:type="paragraph" w:styleId="Header">
    <w:name w:val="header"/>
    <w:basedOn w:val="Normal"/>
    <w:link w:val="HeaderChar"/>
    <w:uiPriority w:val="99"/>
    <w:unhideWhenUsed/>
    <w:rsid w:val="00064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C7D"/>
  </w:style>
  <w:style w:type="paragraph" w:styleId="Footer">
    <w:name w:val="footer"/>
    <w:basedOn w:val="Normal"/>
    <w:link w:val="FooterChar"/>
    <w:uiPriority w:val="99"/>
    <w:unhideWhenUsed/>
    <w:rsid w:val="00064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1523">
      <w:bodyDiv w:val="1"/>
      <w:marLeft w:val="0"/>
      <w:marRight w:val="0"/>
      <w:marTop w:val="0"/>
      <w:marBottom w:val="0"/>
      <w:divBdr>
        <w:top w:val="none" w:sz="0" w:space="0" w:color="auto"/>
        <w:left w:val="none" w:sz="0" w:space="0" w:color="auto"/>
        <w:bottom w:val="none" w:sz="0" w:space="0" w:color="auto"/>
        <w:right w:val="none" w:sz="0" w:space="0" w:color="auto"/>
      </w:divBdr>
    </w:div>
    <w:div w:id="521482923">
      <w:bodyDiv w:val="1"/>
      <w:marLeft w:val="0"/>
      <w:marRight w:val="0"/>
      <w:marTop w:val="0"/>
      <w:marBottom w:val="0"/>
      <w:divBdr>
        <w:top w:val="none" w:sz="0" w:space="0" w:color="auto"/>
        <w:left w:val="none" w:sz="0" w:space="0" w:color="auto"/>
        <w:bottom w:val="none" w:sz="0" w:space="0" w:color="auto"/>
        <w:right w:val="none" w:sz="0" w:space="0" w:color="auto"/>
      </w:divBdr>
    </w:div>
    <w:div w:id="84975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df-re.com/employment.php" TargetMode="External"/><Relationship Id="rId3" Type="http://schemas.openxmlformats.org/officeDocument/2006/relationships/hyperlink" Target="https://www.navigantresearch.com/tag/energy-storage" TargetMode="External"/><Relationship Id="rId7" Type="http://schemas.openxmlformats.org/officeDocument/2006/relationships/hyperlink" Target="http://www.energystorageexchange.org" TargetMode="External"/><Relationship Id="rId2" Type="http://schemas.openxmlformats.org/officeDocument/2006/relationships/hyperlink" Target="http://www.mckinsey.com/insights/energy_resources_materials/battery_technology_charges_ahead" TargetMode="External"/><Relationship Id="rId1" Type="http://schemas.openxmlformats.org/officeDocument/2006/relationships/hyperlink" Target="https://www.navigantresearch.com/tag/energy-storage" TargetMode="External"/><Relationship Id="rId6" Type="http://schemas.openxmlformats.org/officeDocument/2006/relationships/hyperlink" Target="http://energystorage.org/news/esa-news/us-energy-storage-market-grow-250-2015-0" TargetMode="External"/><Relationship Id="rId5" Type="http://schemas.openxmlformats.org/officeDocument/2006/relationships/hyperlink" Target="http://www.nrel.gov/electricity/transmission/energy_storage.html" TargetMode="External"/><Relationship Id="rId4" Type="http://schemas.openxmlformats.org/officeDocument/2006/relationships/hyperlink" Target="http://energystorage.org/news/esa-news/energy-storage-renewables-integration-burgeoning-mark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515708CAFC4EC7B00A4356CFA44A8F"/>
        <w:category>
          <w:name w:val="General"/>
          <w:gallery w:val="placeholder"/>
        </w:category>
        <w:types>
          <w:type w:val="bbPlcHdr"/>
        </w:types>
        <w:behaviors>
          <w:behavior w:val="content"/>
        </w:behaviors>
        <w:guid w:val="{F1D0E5CD-D666-40C6-BF83-45110F05257A}"/>
      </w:docPartPr>
      <w:docPartBody>
        <w:p w:rsidR="007C05C8" w:rsidRDefault="002037F1" w:rsidP="002037F1">
          <w:pPr>
            <w:pStyle w:val="B5515708CAFC4EC7B00A4356CFA44A8F"/>
          </w:pPr>
          <w:r>
            <w:rPr>
              <w:color w:val="2E74B5" w:themeColor="accent1" w:themeShade="BF"/>
              <w:sz w:val="24"/>
              <w:szCs w:val="24"/>
            </w:rPr>
            <w:t>[Company name]</w:t>
          </w:r>
        </w:p>
      </w:docPartBody>
    </w:docPart>
    <w:docPart>
      <w:docPartPr>
        <w:name w:val="F30BC50CEBEB41CFA9BF3FDA72F6D41A"/>
        <w:category>
          <w:name w:val="General"/>
          <w:gallery w:val="placeholder"/>
        </w:category>
        <w:types>
          <w:type w:val="bbPlcHdr"/>
        </w:types>
        <w:behaviors>
          <w:behavior w:val="content"/>
        </w:behaviors>
        <w:guid w:val="{D1EE56D0-DB69-4E37-8928-7C596CC9F65A}"/>
      </w:docPartPr>
      <w:docPartBody>
        <w:p w:rsidR="007C05C8" w:rsidRDefault="002037F1" w:rsidP="002037F1">
          <w:pPr>
            <w:pStyle w:val="F30BC50CEBEB41CFA9BF3FDA72F6D41A"/>
          </w:pPr>
          <w:r>
            <w:rPr>
              <w:rFonts w:asciiTheme="majorHAnsi" w:eastAsiaTheme="majorEastAsia" w:hAnsiTheme="majorHAnsi" w:cstheme="majorBidi"/>
              <w:color w:val="5B9BD5" w:themeColor="accent1"/>
              <w:sz w:val="88"/>
              <w:szCs w:val="88"/>
            </w:rPr>
            <w:t>[Document title]</w:t>
          </w:r>
        </w:p>
      </w:docPartBody>
    </w:docPart>
    <w:docPart>
      <w:docPartPr>
        <w:name w:val="4351FDEFF9A34D188EF5D5EFA289E275"/>
        <w:category>
          <w:name w:val="General"/>
          <w:gallery w:val="placeholder"/>
        </w:category>
        <w:types>
          <w:type w:val="bbPlcHdr"/>
        </w:types>
        <w:behaviors>
          <w:behavior w:val="content"/>
        </w:behaviors>
        <w:guid w:val="{C8B0F1F3-9459-4A8B-8919-E0E8F29E38D7}"/>
      </w:docPartPr>
      <w:docPartBody>
        <w:p w:rsidR="007C05C8" w:rsidRDefault="002037F1" w:rsidP="002037F1">
          <w:pPr>
            <w:pStyle w:val="4351FDEFF9A34D188EF5D5EFA289E275"/>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F1"/>
    <w:rsid w:val="002037F1"/>
    <w:rsid w:val="005D0E3B"/>
    <w:rsid w:val="007C05C8"/>
    <w:rsid w:val="00D2740A"/>
    <w:rsid w:val="00D5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515708CAFC4EC7B00A4356CFA44A8F">
    <w:name w:val="B5515708CAFC4EC7B00A4356CFA44A8F"/>
    <w:rsid w:val="002037F1"/>
  </w:style>
  <w:style w:type="paragraph" w:customStyle="1" w:styleId="F30BC50CEBEB41CFA9BF3FDA72F6D41A">
    <w:name w:val="F30BC50CEBEB41CFA9BF3FDA72F6D41A"/>
    <w:rsid w:val="002037F1"/>
  </w:style>
  <w:style w:type="paragraph" w:customStyle="1" w:styleId="4351FDEFF9A34D188EF5D5EFA289E275">
    <w:name w:val="4351FDEFF9A34D188EF5D5EFA289E275"/>
    <w:rsid w:val="002037F1"/>
  </w:style>
  <w:style w:type="paragraph" w:customStyle="1" w:styleId="DE6F0EB580454CE4A641843C2F9B6097">
    <w:name w:val="DE6F0EB580454CE4A641843C2F9B6097"/>
    <w:rsid w:val="002037F1"/>
  </w:style>
  <w:style w:type="paragraph" w:customStyle="1" w:styleId="D27733994AE243CEA279EC7813B5FAEF">
    <w:name w:val="D27733994AE243CEA279EC7813B5FAEF"/>
    <w:rsid w:val="00203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2015-05-18T07:00:00+00:00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2765F-C931-46B6-AA6F-A9B2CB563EB8}"/>
</file>

<file path=customXml/itemProps2.xml><?xml version="1.0" encoding="utf-8"?>
<ds:datastoreItem xmlns:ds="http://schemas.openxmlformats.org/officeDocument/2006/customXml" ds:itemID="{F2ACA7DC-039F-4582-A4A4-6C1760FEBE72}"/>
</file>

<file path=customXml/itemProps3.xml><?xml version="1.0" encoding="utf-8"?>
<ds:datastoreItem xmlns:ds="http://schemas.openxmlformats.org/officeDocument/2006/customXml" ds:itemID="{23D00273-2314-4114-B239-39B7C08142F8}"/>
</file>

<file path=customXml/itemProps4.xml><?xml version="1.0" encoding="utf-8"?>
<ds:datastoreItem xmlns:ds="http://schemas.openxmlformats.org/officeDocument/2006/customXml" ds:itemID="{FB92DE18-16F3-4BE5-8020-EB129090F0F2}"/>
</file>

<file path=customXml/itemProps5.xml><?xml version="1.0" encoding="utf-8"?>
<ds:datastoreItem xmlns:ds="http://schemas.openxmlformats.org/officeDocument/2006/customXml" ds:itemID="{B906CC3F-3384-44A9-B2AE-F00576C7BDFC}"/>
</file>

<file path=docProps/app.xml><?xml version="1.0" encoding="utf-8"?>
<Properties xmlns="http://schemas.openxmlformats.org/officeDocument/2006/extended-properties" xmlns:vt="http://schemas.openxmlformats.org/officeDocument/2006/docPropsVTypes">
  <Template>Normal</Template>
  <TotalTime>0</TotalTime>
  <Pages>12</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Modeling Energy Storage</vt:lpstr>
    </vt:vector>
  </TitlesOfParts>
  <Company>Washington Utilities and Transportation Commission Staff</Company>
  <LinksUpToDate>false</LinksUpToDate>
  <CharactersWithSpaces>26280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Energy Storage</dc:title>
  <dc:subject>Challenges and Opportunities for Washington Utilities</dc:subject>
  <dc:creator>Twitch</dc:creator>
  <cp:lastModifiedBy>Twitchell, Jeremy (UTC)</cp:lastModifiedBy>
  <cp:revision>2</cp:revision>
  <dcterms:created xsi:type="dcterms:W3CDTF">2015-08-19T18:04:00Z</dcterms:created>
  <dcterms:modified xsi:type="dcterms:W3CDTF">2015-08-19T18:04:00Z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0x0101006E56B4D1795A2E4DB2F0B01679ED314A0025F265E5B3AF5A498F041FB34EEA8E7E</vt:lpwstr>
  </property>
  <property fmtid="{D5CDD505-2E9C-101B-9397-08002B2CF9AE}" pid="3" name="_docset_NoMedatataSyncRequired">
    <vt:lpwstr>False</vt:lpwstr>
  </property>
</Properties>
</file>