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39" w:rsidRDefault="008A2E3E" w:rsidP="00D76529">
      <w:pPr>
        <w:rPr>
          <w:rFonts w:ascii="Arial" w:hAnsi="Arial"/>
          <w:i/>
          <w:sz w:val="18"/>
        </w:rPr>
      </w:pPr>
      <w:r>
        <w:rPr>
          <w:noProof/>
          <w:szCs w:val="24"/>
        </w:rPr>
        <w:drawing>
          <wp:anchor distT="0" distB="0" distL="114300" distR="114300" simplePos="0" relativeHeight="251657728" behindDoc="0" locked="0" layoutInCell="1" allowOverlap="1">
            <wp:simplePos x="0" y="0"/>
            <wp:positionH relativeFrom="column">
              <wp:posOffset>15240</wp:posOffset>
            </wp:positionH>
            <wp:positionV relativeFrom="paragraph">
              <wp:posOffset>-423545</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017F39" w:rsidRDefault="00017F39" w:rsidP="00D76529">
      <w:pPr>
        <w:rPr>
          <w:rFonts w:ascii="Arial" w:hAnsi="Arial"/>
          <w:i/>
          <w:sz w:val="18"/>
        </w:rPr>
      </w:pPr>
    </w:p>
    <w:p w:rsidR="00017F39" w:rsidRDefault="00017F39" w:rsidP="00D76529">
      <w:pPr>
        <w:rPr>
          <w:rFonts w:ascii="Arial" w:hAnsi="Arial"/>
          <w:i/>
          <w:sz w:val="18"/>
        </w:rPr>
      </w:pPr>
    </w:p>
    <w:p w:rsidR="00017F39" w:rsidRPr="009C591C" w:rsidRDefault="00017F39" w:rsidP="00D76529">
      <w:pPr>
        <w:rPr>
          <w:sz w:val="24"/>
          <w:szCs w:val="24"/>
        </w:rPr>
      </w:pPr>
    </w:p>
    <w:p w:rsidR="00064019" w:rsidRDefault="00064019">
      <w:pPr>
        <w:pStyle w:val="Heading1"/>
        <w:rPr>
          <w:szCs w:val="24"/>
        </w:rPr>
      </w:pPr>
    </w:p>
    <w:p w:rsidR="00064019" w:rsidRDefault="00064019">
      <w:pPr>
        <w:pStyle w:val="Heading1"/>
        <w:rPr>
          <w:szCs w:val="24"/>
        </w:rPr>
      </w:pPr>
    </w:p>
    <w:p w:rsidR="00017F39" w:rsidRPr="004F4FE7" w:rsidRDefault="00D83F76">
      <w:pPr>
        <w:pStyle w:val="Heading1"/>
        <w:rPr>
          <w:b/>
          <w:szCs w:val="24"/>
        </w:rPr>
      </w:pPr>
      <w:r>
        <w:rPr>
          <w:szCs w:val="24"/>
        </w:rPr>
        <w:t>May 1</w:t>
      </w:r>
      <w:r w:rsidR="00017F39" w:rsidRPr="004F4FE7">
        <w:rPr>
          <w:szCs w:val="24"/>
        </w:rPr>
        <w:t>, 201</w:t>
      </w:r>
      <w:r w:rsidR="00A37C98">
        <w:rPr>
          <w:szCs w:val="24"/>
        </w:rPr>
        <w:t>5</w:t>
      </w:r>
    </w:p>
    <w:p w:rsidR="00017F39" w:rsidRPr="004F4FE7" w:rsidRDefault="00017F39" w:rsidP="00D76529">
      <w:pPr>
        <w:rPr>
          <w:sz w:val="24"/>
          <w:szCs w:val="24"/>
        </w:rPr>
      </w:pPr>
    </w:p>
    <w:p w:rsidR="00017F39" w:rsidRPr="004F4FE7" w:rsidRDefault="00017F39">
      <w:pPr>
        <w:rPr>
          <w:sz w:val="24"/>
          <w:szCs w:val="24"/>
        </w:rPr>
      </w:pPr>
    </w:p>
    <w:p w:rsidR="00103255" w:rsidRPr="004F4FE7" w:rsidRDefault="00103255" w:rsidP="00103255">
      <w:pPr>
        <w:rPr>
          <w:sz w:val="24"/>
          <w:szCs w:val="24"/>
        </w:rPr>
      </w:pPr>
      <w:r w:rsidRPr="004F4FE7">
        <w:rPr>
          <w:sz w:val="24"/>
          <w:szCs w:val="24"/>
        </w:rPr>
        <w:t xml:space="preserve">Mr. Steven V. King </w:t>
      </w:r>
    </w:p>
    <w:p w:rsidR="00103255" w:rsidRPr="004F4FE7" w:rsidRDefault="00103255" w:rsidP="00103255">
      <w:pPr>
        <w:rPr>
          <w:sz w:val="24"/>
          <w:szCs w:val="24"/>
        </w:rPr>
      </w:pPr>
      <w:r w:rsidRPr="004F4FE7">
        <w:rPr>
          <w:sz w:val="24"/>
          <w:szCs w:val="24"/>
        </w:rPr>
        <w:t xml:space="preserve">Executive Director and Secretary </w:t>
      </w:r>
    </w:p>
    <w:p w:rsidR="00103255" w:rsidRPr="004F4FE7" w:rsidRDefault="00103255" w:rsidP="00103255">
      <w:pPr>
        <w:rPr>
          <w:sz w:val="24"/>
          <w:szCs w:val="24"/>
        </w:rPr>
      </w:pPr>
      <w:r w:rsidRPr="004F4FE7">
        <w:rPr>
          <w:sz w:val="24"/>
          <w:szCs w:val="24"/>
        </w:rPr>
        <w:t xml:space="preserve">Washington Utilities and Transportation Commission </w:t>
      </w:r>
    </w:p>
    <w:p w:rsidR="00103255" w:rsidRPr="004F4FE7" w:rsidRDefault="00103255" w:rsidP="00103255">
      <w:pPr>
        <w:rPr>
          <w:sz w:val="24"/>
          <w:szCs w:val="24"/>
        </w:rPr>
      </w:pPr>
      <w:r w:rsidRPr="004F4FE7">
        <w:rPr>
          <w:sz w:val="24"/>
          <w:szCs w:val="24"/>
        </w:rPr>
        <w:t>P.O. Box 47250</w:t>
      </w:r>
    </w:p>
    <w:p w:rsidR="00017F39" w:rsidRPr="004F4FE7" w:rsidRDefault="00103255" w:rsidP="00103255">
      <w:pPr>
        <w:rPr>
          <w:sz w:val="24"/>
          <w:szCs w:val="24"/>
        </w:rPr>
      </w:pPr>
      <w:r w:rsidRPr="004F4FE7">
        <w:rPr>
          <w:sz w:val="24"/>
          <w:szCs w:val="24"/>
        </w:rPr>
        <w:t>Olympia, Washington 98504-7250</w:t>
      </w:r>
    </w:p>
    <w:p w:rsidR="00103255" w:rsidRDefault="00103255" w:rsidP="00103255">
      <w:pPr>
        <w:rPr>
          <w:sz w:val="24"/>
          <w:szCs w:val="24"/>
        </w:rPr>
      </w:pPr>
    </w:p>
    <w:p w:rsidR="004F4FE7" w:rsidRPr="004F4FE7" w:rsidRDefault="004F4FE7" w:rsidP="00103255">
      <w:pPr>
        <w:rPr>
          <w:sz w:val="24"/>
          <w:szCs w:val="24"/>
        </w:rPr>
      </w:pPr>
    </w:p>
    <w:p w:rsidR="0058472A" w:rsidRPr="0012097E" w:rsidRDefault="00017F39" w:rsidP="0058472A">
      <w:pPr>
        <w:rPr>
          <w:b/>
          <w:sz w:val="24"/>
          <w:szCs w:val="24"/>
        </w:rPr>
      </w:pPr>
      <w:r w:rsidRPr="00DA1018">
        <w:rPr>
          <w:b/>
          <w:sz w:val="24"/>
          <w:szCs w:val="24"/>
        </w:rPr>
        <w:t>RE:</w:t>
      </w:r>
      <w:r w:rsidRPr="004F4FE7">
        <w:rPr>
          <w:sz w:val="24"/>
          <w:szCs w:val="24"/>
        </w:rPr>
        <w:t xml:space="preserve"> </w:t>
      </w:r>
      <w:r w:rsidRPr="004F4FE7">
        <w:rPr>
          <w:sz w:val="24"/>
          <w:szCs w:val="24"/>
        </w:rPr>
        <w:tab/>
      </w:r>
      <w:r w:rsidR="0058472A" w:rsidRPr="0012097E">
        <w:rPr>
          <w:b/>
          <w:sz w:val="24"/>
          <w:szCs w:val="24"/>
        </w:rPr>
        <w:t>Advice No. 201</w:t>
      </w:r>
      <w:r w:rsidR="0058472A">
        <w:rPr>
          <w:b/>
          <w:sz w:val="24"/>
          <w:szCs w:val="24"/>
        </w:rPr>
        <w:t>5</w:t>
      </w:r>
      <w:r w:rsidR="0058472A" w:rsidRPr="0012097E">
        <w:rPr>
          <w:b/>
          <w:sz w:val="24"/>
          <w:szCs w:val="24"/>
        </w:rPr>
        <w:t>-</w:t>
      </w:r>
      <w:r w:rsidR="0058472A">
        <w:rPr>
          <w:b/>
          <w:sz w:val="24"/>
          <w:szCs w:val="24"/>
        </w:rPr>
        <w:t>10</w:t>
      </w:r>
    </w:p>
    <w:p w:rsidR="0058472A" w:rsidRDefault="0058472A" w:rsidP="0058472A">
      <w:pPr>
        <w:ind w:firstLine="720"/>
        <w:outlineLvl w:val="0"/>
        <w:rPr>
          <w:b/>
          <w:sz w:val="24"/>
          <w:szCs w:val="24"/>
        </w:rPr>
      </w:pPr>
      <w:r>
        <w:rPr>
          <w:b/>
          <w:sz w:val="24"/>
          <w:szCs w:val="24"/>
        </w:rPr>
        <w:t>Natural Gas</w:t>
      </w:r>
      <w:r w:rsidRPr="0012097E">
        <w:rPr>
          <w:b/>
          <w:sz w:val="24"/>
          <w:szCs w:val="24"/>
        </w:rPr>
        <w:t xml:space="preserve"> Tariff Filing - Filed Electronically</w:t>
      </w:r>
    </w:p>
    <w:p w:rsidR="004506DD" w:rsidRPr="00DA1018" w:rsidRDefault="004506DD" w:rsidP="00A80A02">
      <w:pPr>
        <w:rPr>
          <w:b/>
          <w:sz w:val="24"/>
          <w:szCs w:val="24"/>
        </w:rPr>
      </w:pPr>
    </w:p>
    <w:p w:rsidR="00017F39" w:rsidRPr="004F4FE7" w:rsidRDefault="00017F39">
      <w:pPr>
        <w:rPr>
          <w:sz w:val="24"/>
          <w:szCs w:val="24"/>
        </w:rPr>
      </w:pPr>
      <w:bookmarkStart w:id="0" w:name="_GoBack"/>
      <w:bookmarkEnd w:id="0"/>
    </w:p>
    <w:p w:rsidR="00017F39" w:rsidRPr="004F4FE7" w:rsidRDefault="00017F39">
      <w:pPr>
        <w:rPr>
          <w:sz w:val="24"/>
          <w:szCs w:val="24"/>
        </w:rPr>
      </w:pPr>
      <w:r w:rsidRPr="004F4FE7">
        <w:rPr>
          <w:sz w:val="24"/>
          <w:szCs w:val="24"/>
        </w:rPr>
        <w:t xml:space="preserve">Dear Mr. </w:t>
      </w:r>
      <w:r w:rsidR="00103255" w:rsidRPr="004F4FE7">
        <w:rPr>
          <w:sz w:val="24"/>
          <w:szCs w:val="24"/>
        </w:rPr>
        <w:t>King</w:t>
      </w:r>
      <w:r w:rsidRPr="004F4FE7">
        <w:rPr>
          <w:sz w:val="24"/>
          <w:szCs w:val="24"/>
        </w:rPr>
        <w:t>:</w:t>
      </w:r>
    </w:p>
    <w:p w:rsidR="00017F39" w:rsidRPr="004F4FE7" w:rsidRDefault="00017F39">
      <w:pPr>
        <w:rPr>
          <w:sz w:val="24"/>
          <w:szCs w:val="24"/>
        </w:rPr>
      </w:pPr>
    </w:p>
    <w:p w:rsidR="00A961B7" w:rsidRPr="0012097E" w:rsidRDefault="00A961B7" w:rsidP="00A961B7">
      <w:pPr>
        <w:rPr>
          <w:snapToGrid w:val="0"/>
          <w:sz w:val="24"/>
          <w:szCs w:val="24"/>
        </w:rPr>
      </w:pPr>
      <w:r w:rsidRPr="0012097E">
        <w:rPr>
          <w:color w:val="000000"/>
          <w:sz w:val="24"/>
          <w:szCs w:val="24"/>
        </w:rPr>
        <w:t>Puget Sound Energy, Inc. (“PSE”) hereby submits proposed revisi</w:t>
      </w:r>
      <w:r>
        <w:rPr>
          <w:color w:val="000000"/>
          <w:sz w:val="24"/>
          <w:szCs w:val="24"/>
        </w:rPr>
        <w:t>ons to rates under its natural gas Schedule 140, Property Tax Tracker</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Pr>
          <w:snapToGrid w:val="0"/>
          <w:sz w:val="24"/>
          <w:szCs w:val="24"/>
        </w:rPr>
        <w:t>natural gas tariff sheet:</w:t>
      </w:r>
    </w:p>
    <w:p w:rsidR="00017F39" w:rsidRPr="005A18AF" w:rsidRDefault="00017F39" w:rsidP="00A80A02">
      <w:pPr>
        <w:rPr>
          <w:sz w:val="21"/>
          <w:szCs w:val="21"/>
        </w:rPr>
      </w:pPr>
    </w:p>
    <w:p w:rsidR="00A37C98" w:rsidRDefault="00A37C98" w:rsidP="00A37C98">
      <w:pPr>
        <w:ind w:left="720" w:hanging="450"/>
        <w:outlineLvl w:val="0"/>
        <w:rPr>
          <w:sz w:val="24"/>
          <w:szCs w:val="24"/>
        </w:rPr>
      </w:pPr>
      <w:r>
        <w:rPr>
          <w:sz w:val="24"/>
          <w:szCs w:val="24"/>
          <w:u w:val="single"/>
        </w:rPr>
        <w:t>WN U-2, (Natural Gas</w:t>
      </w:r>
      <w:r w:rsidRPr="00AD5167">
        <w:rPr>
          <w:sz w:val="24"/>
          <w:szCs w:val="24"/>
          <w:u w:val="single"/>
        </w:rPr>
        <w:t xml:space="preserve"> Tariff)</w:t>
      </w:r>
      <w:r w:rsidRPr="00AD5167">
        <w:rPr>
          <w:sz w:val="24"/>
          <w:szCs w:val="24"/>
        </w:rPr>
        <w:t>:</w:t>
      </w:r>
    </w:p>
    <w:p w:rsidR="00A37C98" w:rsidRDefault="00A37C98" w:rsidP="00A37C98">
      <w:pPr>
        <w:pStyle w:val="BodyText"/>
        <w:ind w:left="720" w:hanging="450"/>
        <w:outlineLvl w:val="0"/>
        <w:rPr>
          <w:szCs w:val="24"/>
        </w:rPr>
      </w:pPr>
      <w:r>
        <w:rPr>
          <w:szCs w:val="24"/>
        </w:rPr>
        <w:t>2</w:t>
      </w:r>
      <w:r w:rsidRPr="005F4D38">
        <w:rPr>
          <w:szCs w:val="24"/>
          <w:vertAlign w:val="superscript"/>
        </w:rPr>
        <w:t>nd</w:t>
      </w:r>
      <w:r>
        <w:rPr>
          <w:szCs w:val="24"/>
        </w:rPr>
        <w:t xml:space="preserve"> Revision of Sheet No. 1140-B   - Property Tax Tracker (Continued)</w:t>
      </w:r>
    </w:p>
    <w:p w:rsidR="00851F5A" w:rsidRDefault="00851F5A" w:rsidP="00A37C98">
      <w:pPr>
        <w:pStyle w:val="BodyText"/>
        <w:ind w:left="720" w:hanging="450"/>
        <w:outlineLvl w:val="0"/>
        <w:rPr>
          <w:szCs w:val="24"/>
        </w:rPr>
      </w:pPr>
    </w:p>
    <w:p w:rsidR="00E00CDD" w:rsidRDefault="00851F5A" w:rsidP="002A706D">
      <w:pPr>
        <w:pStyle w:val="BodyText"/>
        <w:tabs>
          <w:tab w:val="left" w:pos="2340"/>
        </w:tabs>
        <w:ind w:right="-90"/>
        <w:rPr>
          <w:szCs w:val="24"/>
        </w:rPr>
      </w:pPr>
      <w:r>
        <w:rPr>
          <w:szCs w:val="24"/>
        </w:rPr>
        <w:t xml:space="preserve">The </w:t>
      </w:r>
      <w:r w:rsidRPr="00C529B8">
        <w:rPr>
          <w:szCs w:val="24"/>
        </w:rPr>
        <w:t>purpose of this filing is to implement changes to ra</w:t>
      </w:r>
      <w:r>
        <w:rPr>
          <w:szCs w:val="24"/>
        </w:rPr>
        <w:t xml:space="preserve">tes under the established Property Tax Tracker, as provided in </w:t>
      </w:r>
      <w:r>
        <w:rPr>
          <w:snapToGrid w:val="0"/>
          <w:szCs w:val="24"/>
        </w:rPr>
        <w:t xml:space="preserve">the Commission’s Order 07 (Final Order Granting Petition) </w:t>
      </w:r>
      <w:r w:rsidRPr="00C529B8">
        <w:rPr>
          <w:snapToGrid w:val="0"/>
          <w:szCs w:val="24"/>
        </w:rPr>
        <w:t>in Dock</w:t>
      </w:r>
      <w:r>
        <w:rPr>
          <w:snapToGrid w:val="0"/>
          <w:szCs w:val="24"/>
        </w:rPr>
        <w:t xml:space="preserve">et Nos. UE-121697 and UG-121705 (consolidated) which was combined with the Commission’s Order 07 (Final Order Authorizing Rates) in Docket Nos. UE-130137 and UG-130138 (consolidated) (“Order 07”).  </w:t>
      </w:r>
      <w:r>
        <w:rPr>
          <w:szCs w:val="24"/>
        </w:rPr>
        <w:t>Schedule 140 includes a mechanism for adjusting rates, both up and down; to pass through the cost of property taxes that PSE actually pays.</w:t>
      </w:r>
      <w:r>
        <w:rPr>
          <w:snapToGrid w:val="0"/>
          <w:szCs w:val="24"/>
        </w:rPr>
        <w:t xml:space="preserve">  </w:t>
      </w:r>
      <w:r>
        <w:rPr>
          <w:szCs w:val="24"/>
        </w:rPr>
        <w:t>Work papers supporting this filing are enclosed.</w:t>
      </w:r>
    </w:p>
    <w:p w:rsidR="006C0851" w:rsidRDefault="00851F5A" w:rsidP="002A706D">
      <w:pPr>
        <w:pStyle w:val="BodyText"/>
        <w:tabs>
          <w:tab w:val="left" w:pos="2340"/>
        </w:tabs>
        <w:ind w:right="-90"/>
        <w:rPr>
          <w:snapToGrid w:val="0"/>
          <w:sz w:val="20"/>
        </w:rPr>
      </w:pPr>
      <w:r>
        <w:rPr>
          <w:szCs w:val="24"/>
        </w:rPr>
        <w:t xml:space="preserve">  </w:t>
      </w:r>
    </w:p>
    <w:p w:rsidR="00A37C98" w:rsidRDefault="00A37C98" w:rsidP="00A37C98">
      <w:pPr>
        <w:rPr>
          <w:sz w:val="24"/>
          <w:szCs w:val="24"/>
        </w:rPr>
      </w:pPr>
      <w:r>
        <w:rPr>
          <w:sz w:val="24"/>
          <w:szCs w:val="24"/>
        </w:rPr>
        <w:t xml:space="preserve">The cover letter in PSE’s initial filing </w:t>
      </w:r>
      <w:r w:rsidR="00851F5A">
        <w:rPr>
          <w:sz w:val="24"/>
          <w:szCs w:val="24"/>
        </w:rPr>
        <w:t xml:space="preserve">(dated March 26, 2015) </w:t>
      </w:r>
      <w:r>
        <w:rPr>
          <w:sz w:val="24"/>
          <w:szCs w:val="24"/>
        </w:rPr>
        <w:t>in Docket No. UG-150490 included a description of the verbal agreement between PSE and Commission Staff to adjust the timing of the filing in the Property Tax Tracker.  That adjustment included an initial filing a minimum of 30 days prior to the May 1 effective date that reflected an estimate of the current year taxes followed by a subsequent filing that would be made as close to April 15</w:t>
      </w:r>
      <w:r w:rsidRPr="00664232">
        <w:rPr>
          <w:sz w:val="24"/>
          <w:szCs w:val="24"/>
          <w:vertAlign w:val="superscript"/>
        </w:rPr>
        <w:t>th</w:t>
      </w:r>
      <w:r>
        <w:rPr>
          <w:sz w:val="24"/>
          <w:szCs w:val="24"/>
        </w:rPr>
        <w:t xml:space="preserve"> as possible that would update the current year estimates to actual amounts.</w:t>
      </w:r>
    </w:p>
    <w:p w:rsidR="00A37C98" w:rsidRDefault="00A37C98" w:rsidP="00A37C98">
      <w:pPr>
        <w:rPr>
          <w:sz w:val="24"/>
          <w:szCs w:val="24"/>
        </w:rPr>
      </w:pPr>
    </w:p>
    <w:p w:rsidR="00A76378" w:rsidRDefault="00A37C98" w:rsidP="00A37C98">
      <w:pPr>
        <w:rPr>
          <w:sz w:val="24"/>
          <w:szCs w:val="24"/>
        </w:rPr>
      </w:pPr>
      <w:r>
        <w:rPr>
          <w:sz w:val="24"/>
          <w:szCs w:val="24"/>
        </w:rPr>
        <w:t xml:space="preserve">As mentioned in the cover letter for the initial filing, PSE’s existing Schedule 140 </w:t>
      </w:r>
      <w:r w:rsidR="002F7EDC">
        <w:rPr>
          <w:sz w:val="24"/>
          <w:szCs w:val="24"/>
        </w:rPr>
        <w:t xml:space="preserve">(Sheet 1140-A, Section 3, paragraph 5) </w:t>
      </w:r>
      <w:r>
        <w:rPr>
          <w:sz w:val="24"/>
          <w:szCs w:val="24"/>
        </w:rPr>
        <w:t>includes a provision that provides that if a rate change under the mechanism results in an amount that is less than one percent greater or less than the prior year’s assessed property taxes, this annual filing would take the form of a letter stating that no change in rates under Sch</w:t>
      </w:r>
      <w:r w:rsidR="003539B9">
        <w:rPr>
          <w:sz w:val="24"/>
          <w:szCs w:val="24"/>
        </w:rPr>
        <w:t xml:space="preserve">edule 140 would be submitted.  </w:t>
      </w:r>
      <w:r w:rsidR="0036492D">
        <w:rPr>
          <w:sz w:val="24"/>
          <w:szCs w:val="24"/>
        </w:rPr>
        <w:t xml:space="preserve">In its final </w:t>
      </w:r>
      <w:r w:rsidR="00C13C31">
        <w:rPr>
          <w:sz w:val="24"/>
          <w:szCs w:val="24"/>
        </w:rPr>
        <w:t>April 15, 2015</w:t>
      </w:r>
      <w:r w:rsidR="00AE3C6A">
        <w:rPr>
          <w:sz w:val="24"/>
          <w:szCs w:val="24"/>
        </w:rPr>
        <w:t>,</w:t>
      </w:r>
      <w:r w:rsidR="00C13C31">
        <w:rPr>
          <w:sz w:val="24"/>
          <w:szCs w:val="24"/>
        </w:rPr>
        <w:t xml:space="preserve"> </w:t>
      </w:r>
      <w:r w:rsidR="0036492D">
        <w:rPr>
          <w:sz w:val="24"/>
          <w:szCs w:val="24"/>
        </w:rPr>
        <w:t xml:space="preserve">filing updated with </w:t>
      </w:r>
      <w:r w:rsidR="0036492D">
        <w:rPr>
          <w:sz w:val="24"/>
          <w:szCs w:val="24"/>
        </w:rPr>
        <w:lastRenderedPageBreak/>
        <w:t xml:space="preserve">actual tax payments, PSE </w:t>
      </w:r>
      <w:r w:rsidR="00C13C31">
        <w:rPr>
          <w:sz w:val="24"/>
          <w:szCs w:val="24"/>
        </w:rPr>
        <w:t>incorrectly concluded that</w:t>
      </w:r>
      <w:r w:rsidR="0036492D">
        <w:rPr>
          <w:sz w:val="24"/>
          <w:szCs w:val="24"/>
        </w:rPr>
        <w:t xml:space="preserve"> the update did not result in </w:t>
      </w:r>
      <w:r w:rsidR="007C0CE2">
        <w:rPr>
          <w:sz w:val="24"/>
          <w:szCs w:val="24"/>
        </w:rPr>
        <w:t>a rate change</w:t>
      </w:r>
      <w:r w:rsidR="0036492D">
        <w:rPr>
          <w:sz w:val="24"/>
          <w:szCs w:val="24"/>
        </w:rPr>
        <w:t xml:space="preserve"> greater tha</w:t>
      </w:r>
      <w:r w:rsidR="00A76378">
        <w:rPr>
          <w:sz w:val="24"/>
          <w:szCs w:val="24"/>
        </w:rPr>
        <w:t xml:space="preserve">n the one percent </w:t>
      </w:r>
      <w:r w:rsidR="007C0CE2">
        <w:rPr>
          <w:sz w:val="24"/>
          <w:szCs w:val="24"/>
        </w:rPr>
        <w:t xml:space="preserve">of prior year Schedule 140 revenue requirement </w:t>
      </w:r>
      <w:r w:rsidR="00A76378">
        <w:rPr>
          <w:sz w:val="24"/>
          <w:szCs w:val="24"/>
        </w:rPr>
        <w:t>threshold</w:t>
      </w:r>
      <w:r w:rsidR="007C0CE2">
        <w:rPr>
          <w:sz w:val="24"/>
          <w:szCs w:val="24"/>
        </w:rPr>
        <w:t xml:space="preserve"> and on that conclusion requested that the filing be withdrawn.  Unfortunately</w:t>
      </w:r>
      <w:r w:rsidR="00A76378">
        <w:rPr>
          <w:sz w:val="24"/>
          <w:szCs w:val="24"/>
        </w:rPr>
        <w:t xml:space="preserve">, however, </w:t>
      </w:r>
      <w:r w:rsidR="007C0CE2">
        <w:rPr>
          <w:sz w:val="24"/>
          <w:szCs w:val="24"/>
        </w:rPr>
        <w:t>the Schedule 140 revenue requirement</w:t>
      </w:r>
      <w:r w:rsidR="0036492D">
        <w:rPr>
          <w:sz w:val="24"/>
          <w:szCs w:val="24"/>
        </w:rPr>
        <w:t xml:space="preserve"> did in fact decrease by </w:t>
      </w:r>
      <w:r w:rsidR="00A76378">
        <w:rPr>
          <w:sz w:val="24"/>
          <w:szCs w:val="24"/>
        </w:rPr>
        <w:t>5.09</w:t>
      </w:r>
      <w:r w:rsidR="00AD7256">
        <w:rPr>
          <w:sz w:val="24"/>
          <w:szCs w:val="24"/>
        </w:rPr>
        <w:t xml:space="preserve"> percent</w:t>
      </w:r>
      <w:r w:rsidR="007C0CE2">
        <w:rPr>
          <w:sz w:val="24"/>
          <w:szCs w:val="24"/>
        </w:rPr>
        <w:t xml:space="preserve"> and PSE should have </w:t>
      </w:r>
      <w:r w:rsidR="00AE3C6A">
        <w:rPr>
          <w:sz w:val="24"/>
          <w:szCs w:val="24"/>
        </w:rPr>
        <w:t xml:space="preserve">requested that rates be </w:t>
      </w:r>
      <w:r w:rsidR="007C0CE2">
        <w:rPr>
          <w:sz w:val="24"/>
          <w:szCs w:val="24"/>
        </w:rPr>
        <w:t>changed at that time</w:t>
      </w:r>
      <w:r w:rsidR="00A76378">
        <w:rPr>
          <w:sz w:val="24"/>
          <w:szCs w:val="24"/>
        </w:rPr>
        <w:t>.</w:t>
      </w:r>
    </w:p>
    <w:p w:rsidR="00A76378" w:rsidRDefault="00A76378" w:rsidP="00A37C98">
      <w:pPr>
        <w:rPr>
          <w:sz w:val="24"/>
          <w:szCs w:val="24"/>
        </w:rPr>
      </w:pPr>
    </w:p>
    <w:p w:rsidR="00A76378" w:rsidRDefault="00A76378" w:rsidP="00A37C98">
      <w:pPr>
        <w:rPr>
          <w:sz w:val="24"/>
          <w:szCs w:val="24"/>
        </w:rPr>
      </w:pPr>
      <w:r>
        <w:rPr>
          <w:sz w:val="24"/>
          <w:szCs w:val="24"/>
        </w:rPr>
        <w:t xml:space="preserve">In discussions with Commission Staff, it was agreed that </w:t>
      </w:r>
      <w:r w:rsidR="000A3DEF">
        <w:rPr>
          <w:sz w:val="24"/>
          <w:szCs w:val="24"/>
        </w:rPr>
        <w:t xml:space="preserve">the </w:t>
      </w:r>
      <w:r>
        <w:rPr>
          <w:sz w:val="24"/>
          <w:szCs w:val="24"/>
        </w:rPr>
        <w:t xml:space="preserve">best action would be to file </w:t>
      </w:r>
      <w:r w:rsidR="00C13C31">
        <w:rPr>
          <w:sz w:val="24"/>
          <w:szCs w:val="24"/>
        </w:rPr>
        <w:t>for a tariff rate change</w:t>
      </w:r>
      <w:r w:rsidR="007C0CE2">
        <w:rPr>
          <w:sz w:val="24"/>
          <w:szCs w:val="24"/>
        </w:rPr>
        <w:t xml:space="preserve"> to take effect on June 1, 2015</w:t>
      </w:r>
      <w:r w:rsidR="00AE3C6A">
        <w:rPr>
          <w:sz w:val="24"/>
          <w:szCs w:val="24"/>
        </w:rPr>
        <w:t>,</w:t>
      </w:r>
      <w:r w:rsidR="00C13C31">
        <w:rPr>
          <w:sz w:val="24"/>
          <w:szCs w:val="24"/>
        </w:rPr>
        <w:t xml:space="preserve"> using</w:t>
      </w:r>
      <w:r>
        <w:rPr>
          <w:sz w:val="24"/>
          <w:szCs w:val="24"/>
        </w:rPr>
        <w:t xml:space="preserve"> the final work</w:t>
      </w:r>
      <w:r w:rsidR="00AE3C6A">
        <w:rPr>
          <w:sz w:val="24"/>
          <w:szCs w:val="24"/>
        </w:rPr>
        <w:t xml:space="preserve"> </w:t>
      </w:r>
      <w:r>
        <w:rPr>
          <w:sz w:val="24"/>
          <w:szCs w:val="24"/>
        </w:rPr>
        <w:t>papers which were submitted April 15, 2015</w:t>
      </w:r>
      <w:r w:rsidR="00AE3C6A">
        <w:rPr>
          <w:sz w:val="24"/>
          <w:szCs w:val="24"/>
        </w:rPr>
        <w:t>,</w:t>
      </w:r>
      <w:r>
        <w:rPr>
          <w:sz w:val="24"/>
          <w:szCs w:val="24"/>
        </w:rPr>
        <w:t xml:space="preserve"> and</w:t>
      </w:r>
      <w:r w:rsidR="00AD7256">
        <w:rPr>
          <w:sz w:val="24"/>
          <w:szCs w:val="24"/>
        </w:rPr>
        <w:t xml:space="preserve"> which depicted the 5.09 percent</w:t>
      </w:r>
      <w:r>
        <w:rPr>
          <w:sz w:val="24"/>
          <w:szCs w:val="24"/>
        </w:rPr>
        <w:t xml:space="preserve"> decrease</w:t>
      </w:r>
      <w:r w:rsidR="00AE3C6A">
        <w:rPr>
          <w:sz w:val="24"/>
          <w:szCs w:val="24"/>
        </w:rPr>
        <w:t xml:space="preserve"> in </w:t>
      </w:r>
      <w:r w:rsidR="00851F5A">
        <w:rPr>
          <w:sz w:val="24"/>
          <w:szCs w:val="24"/>
        </w:rPr>
        <w:t xml:space="preserve">natural gas </w:t>
      </w:r>
      <w:r w:rsidR="00AE3C6A">
        <w:rPr>
          <w:sz w:val="24"/>
          <w:szCs w:val="24"/>
        </w:rPr>
        <w:t>Schedule 140 revenue requirement</w:t>
      </w:r>
      <w:r w:rsidR="00C13C31">
        <w:rPr>
          <w:sz w:val="24"/>
          <w:szCs w:val="24"/>
        </w:rPr>
        <w:t>.</w:t>
      </w:r>
      <w:r>
        <w:rPr>
          <w:sz w:val="24"/>
          <w:szCs w:val="24"/>
        </w:rPr>
        <w:t xml:space="preserve">  </w:t>
      </w:r>
      <w:r w:rsidR="00731CAE">
        <w:rPr>
          <w:sz w:val="24"/>
          <w:szCs w:val="24"/>
        </w:rPr>
        <w:t>Current rates would stand for the month of May 2015</w:t>
      </w:r>
      <w:r w:rsidR="00AE3C6A">
        <w:rPr>
          <w:sz w:val="24"/>
          <w:szCs w:val="24"/>
        </w:rPr>
        <w:t>,</w:t>
      </w:r>
      <w:r w:rsidR="00731CAE">
        <w:rPr>
          <w:sz w:val="24"/>
          <w:szCs w:val="24"/>
        </w:rPr>
        <w:t xml:space="preserve"> and any difference attributed to the </w:t>
      </w:r>
      <w:r w:rsidR="007C0CE2">
        <w:rPr>
          <w:sz w:val="24"/>
          <w:szCs w:val="24"/>
        </w:rPr>
        <w:t>lack of a</w:t>
      </w:r>
      <w:r w:rsidR="00731CAE">
        <w:rPr>
          <w:sz w:val="24"/>
          <w:szCs w:val="24"/>
        </w:rPr>
        <w:t xml:space="preserve"> rate </w:t>
      </w:r>
      <w:r w:rsidR="007C0CE2">
        <w:rPr>
          <w:sz w:val="24"/>
          <w:szCs w:val="24"/>
        </w:rPr>
        <w:t xml:space="preserve">change </w:t>
      </w:r>
      <w:r w:rsidR="00731CAE">
        <w:rPr>
          <w:sz w:val="24"/>
          <w:szCs w:val="24"/>
        </w:rPr>
        <w:t>during May would be trued up in next year’s update</w:t>
      </w:r>
      <w:r w:rsidR="00851F5A">
        <w:rPr>
          <w:sz w:val="24"/>
          <w:szCs w:val="24"/>
        </w:rPr>
        <w:t xml:space="preserve"> of Schedule 140</w:t>
      </w:r>
      <w:r w:rsidR="00731CAE">
        <w:rPr>
          <w:sz w:val="24"/>
          <w:szCs w:val="24"/>
        </w:rPr>
        <w:t xml:space="preserve">.  </w:t>
      </w:r>
      <w:r>
        <w:rPr>
          <w:sz w:val="24"/>
          <w:szCs w:val="24"/>
        </w:rPr>
        <w:t xml:space="preserve">   </w:t>
      </w:r>
    </w:p>
    <w:p w:rsidR="00A37C98" w:rsidRDefault="00A76378" w:rsidP="00A37C98">
      <w:pPr>
        <w:rPr>
          <w:sz w:val="24"/>
          <w:szCs w:val="24"/>
        </w:rPr>
      </w:pPr>
      <w:r>
        <w:rPr>
          <w:sz w:val="24"/>
          <w:szCs w:val="24"/>
        </w:rPr>
        <w:t xml:space="preserve">  </w:t>
      </w:r>
    </w:p>
    <w:p w:rsidR="00165AEB" w:rsidRDefault="00CD312C" w:rsidP="00103255">
      <w:pPr>
        <w:rPr>
          <w:snapToGrid w:val="0"/>
          <w:sz w:val="24"/>
          <w:szCs w:val="24"/>
        </w:rPr>
      </w:pPr>
      <w:r w:rsidRPr="004F4FE7">
        <w:rPr>
          <w:snapToGrid w:val="0"/>
          <w:sz w:val="24"/>
          <w:szCs w:val="24"/>
        </w:rPr>
        <w:t xml:space="preserve">PSE respectfully requests </w:t>
      </w:r>
      <w:r w:rsidR="00AE3C6A">
        <w:rPr>
          <w:snapToGrid w:val="0"/>
          <w:sz w:val="24"/>
          <w:szCs w:val="24"/>
        </w:rPr>
        <w:t xml:space="preserve">that the </w:t>
      </w:r>
      <w:r w:rsidR="00AD4707">
        <w:rPr>
          <w:snapToGrid w:val="0"/>
          <w:sz w:val="24"/>
          <w:szCs w:val="24"/>
        </w:rPr>
        <w:t xml:space="preserve">new </w:t>
      </w:r>
      <w:r w:rsidR="002F7EDC">
        <w:rPr>
          <w:snapToGrid w:val="0"/>
          <w:sz w:val="24"/>
          <w:szCs w:val="24"/>
        </w:rPr>
        <w:t xml:space="preserve">rates </w:t>
      </w:r>
      <w:r w:rsidR="00AE3C6A">
        <w:rPr>
          <w:snapToGrid w:val="0"/>
          <w:sz w:val="24"/>
          <w:szCs w:val="24"/>
        </w:rPr>
        <w:t xml:space="preserve">submitted in this filing of </w:t>
      </w:r>
      <w:r w:rsidR="002F7EDC">
        <w:rPr>
          <w:snapToGrid w:val="0"/>
          <w:sz w:val="24"/>
          <w:szCs w:val="24"/>
        </w:rPr>
        <w:t xml:space="preserve">Schedule 140 be </w:t>
      </w:r>
      <w:r w:rsidR="00556894">
        <w:rPr>
          <w:snapToGrid w:val="0"/>
          <w:sz w:val="24"/>
          <w:szCs w:val="24"/>
        </w:rPr>
        <w:t xml:space="preserve">approved </w:t>
      </w:r>
      <w:r w:rsidR="00556894" w:rsidRPr="00D7763B">
        <w:rPr>
          <w:snapToGrid w:val="0"/>
          <w:sz w:val="24"/>
          <w:szCs w:val="24"/>
        </w:rPr>
        <w:t xml:space="preserve">to reflect </w:t>
      </w:r>
      <w:r w:rsidR="00AD7256" w:rsidRPr="00D7763B">
        <w:rPr>
          <w:snapToGrid w:val="0"/>
          <w:sz w:val="24"/>
          <w:szCs w:val="24"/>
        </w:rPr>
        <w:t>a decrease to customers’ overall bill</w:t>
      </w:r>
      <w:r w:rsidR="001E60DC" w:rsidRPr="00D7763B">
        <w:rPr>
          <w:snapToGrid w:val="0"/>
          <w:sz w:val="24"/>
          <w:szCs w:val="24"/>
        </w:rPr>
        <w:t>s</w:t>
      </w:r>
      <w:r w:rsidR="00AD7256" w:rsidRPr="00D7763B">
        <w:rPr>
          <w:snapToGrid w:val="0"/>
          <w:sz w:val="24"/>
          <w:szCs w:val="24"/>
        </w:rPr>
        <w:t xml:space="preserve"> by </w:t>
      </w:r>
      <w:r w:rsidR="00A70F8C" w:rsidRPr="00D7763B">
        <w:rPr>
          <w:snapToGrid w:val="0"/>
          <w:sz w:val="24"/>
          <w:szCs w:val="24"/>
        </w:rPr>
        <w:t>0</w:t>
      </w:r>
      <w:r w:rsidR="00AD7256" w:rsidRPr="00D7763B">
        <w:rPr>
          <w:snapToGrid w:val="0"/>
          <w:sz w:val="24"/>
          <w:szCs w:val="24"/>
        </w:rPr>
        <w:t>.2 percent</w:t>
      </w:r>
      <w:r w:rsidR="009A1B34" w:rsidRPr="00D7763B">
        <w:rPr>
          <w:snapToGrid w:val="0"/>
          <w:sz w:val="24"/>
          <w:szCs w:val="24"/>
        </w:rPr>
        <w:t xml:space="preserve"> </w:t>
      </w:r>
      <w:r w:rsidR="000B7164" w:rsidRPr="00D7763B">
        <w:rPr>
          <w:snapToGrid w:val="0"/>
          <w:sz w:val="24"/>
          <w:szCs w:val="24"/>
        </w:rPr>
        <w:t>a</w:t>
      </w:r>
      <w:r w:rsidR="000B7164">
        <w:rPr>
          <w:snapToGrid w:val="0"/>
          <w:sz w:val="24"/>
          <w:szCs w:val="24"/>
        </w:rPr>
        <w:t xml:space="preserve">nd </w:t>
      </w:r>
      <w:r w:rsidR="00315735">
        <w:rPr>
          <w:snapToGrid w:val="0"/>
          <w:sz w:val="24"/>
          <w:szCs w:val="24"/>
        </w:rPr>
        <w:t xml:space="preserve">be allowed to become </w:t>
      </w:r>
      <w:r w:rsidR="00AD4707">
        <w:rPr>
          <w:snapToGrid w:val="0"/>
          <w:sz w:val="24"/>
          <w:szCs w:val="24"/>
        </w:rPr>
        <w:t xml:space="preserve">effective </w:t>
      </w:r>
      <w:r w:rsidR="00315735">
        <w:rPr>
          <w:snapToGrid w:val="0"/>
          <w:sz w:val="24"/>
          <w:szCs w:val="24"/>
        </w:rPr>
        <w:t xml:space="preserve">on </w:t>
      </w:r>
      <w:r w:rsidR="00AD4707">
        <w:rPr>
          <w:snapToGrid w:val="0"/>
          <w:sz w:val="24"/>
          <w:szCs w:val="24"/>
        </w:rPr>
        <w:t>June 1, 2015</w:t>
      </w:r>
      <w:r w:rsidR="002F7EDC">
        <w:rPr>
          <w:snapToGrid w:val="0"/>
          <w:sz w:val="24"/>
          <w:szCs w:val="24"/>
        </w:rPr>
        <w:t>.</w:t>
      </w:r>
      <w:r w:rsidR="00180B24">
        <w:rPr>
          <w:snapToGrid w:val="0"/>
          <w:sz w:val="24"/>
          <w:szCs w:val="24"/>
        </w:rPr>
        <w:t xml:space="preserve">  A typical resident</w:t>
      </w:r>
      <w:r w:rsidR="005A1619">
        <w:rPr>
          <w:snapToGrid w:val="0"/>
          <w:sz w:val="24"/>
          <w:szCs w:val="24"/>
        </w:rPr>
        <w:t>ial customer</w:t>
      </w:r>
      <w:r w:rsidR="00180B24">
        <w:rPr>
          <w:snapToGrid w:val="0"/>
          <w:sz w:val="24"/>
          <w:szCs w:val="24"/>
        </w:rPr>
        <w:t xml:space="preserve"> using 68 therms per month would experience a decrease of $</w:t>
      </w:r>
      <w:r w:rsidR="00B037BB">
        <w:rPr>
          <w:snapToGrid w:val="0"/>
          <w:sz w:val="24"/>
          <w:szCs w:val="24"/>
        </w:rPr>
        <w:t>0</w:t>
      </w:r>
      <w:r w:rsidR="00180B24">
        <w:rPr>
          <w:snapToGrid w:val="0"/>
          <w:sz w:val="24"/>
          <w:szCs w:val="24"/>
        </w:rPr>
        <w:t>.</w:t>
      </w:r>
      <w:r w:rsidR="005A1619">
        <w:rPr>
          <w:snapToGrid w:val="0"/>
          <w:sz w:val="24"/>
          <w:szCs w:val="24"/>
        </w:rPr>
        <w:t>16</w:t>
      </w:r>
      <w:r w:rsidR="00180B24">
        <w:rPr>
          <w:snapToGrid w:val="0"/>
          <w:sz w:val="24"/>
          <w:szCs w:val="24"/>
        </w:rPr>
        <w:t xml:space="preserve"> in their monthly bill. </w:t>
      </w:r>
    </w:p>
    <w:p w:rsidR="00D7763B" w:rsidRDefault="00D7763B" w:rsidP="00103255">
      <w:pPr>
        <w:rPr>
          <w:snapToGrid w:val="0"/>
          <w:sz w:val="24"/>
          <w:szCs w:val="24"/>
        </w:rPr>
      </w:pPr>
    </w:p>
    <w:p w:rsidR="00165AEB" w:rsidRPr="009162FE" w:rsidRDefault="00165AEB" w:rsidP="009162FE">
      <w:pPr>
        <w:pStyle w:val="BodyText"/>
        <w:rPr>
          <w:szCs w:val="24"/>
        </w:rPr>
      </w:pPr>
      <w:r w:rsidRPr="00C529B8">
        <w:rPr>
          <w:szCs w:val="24"/>
        </w:rPr>
        <w:t>The tariff sheet described herei</w:t>
      </w:r>
      <w:r>
        <w:rPr>
          <w:szCs w:val="24"/>
        </w:rPr>
        <w:t xml:space="preserve">n reflects an issue date of </w:t>
      </w:r>
      <w:r w:rsidR="00D83F76">
        <w:rPr>
          <w:szCs w:val="24"/>
        </w:rPr>
        <w:t>May 1</w:t>
      </w:r>
      <w:r>
        <w:rPr>
          <w:szCs w:val="24"/>
        </w:rPr>
        <w:t>, 2015,</w:t>
      </w:r>
      <w:r w:rsidRPr="00C529B8">
        <w:rPr>
          <w:szCs w:val="24"/>
        </w:rPr>
        <w:t xml:space="preserve"> and </w:t>
      </w:r>
      <w:r>
        <w:rPr>
          <w:szCs w:val="24"/>
        </w:rPr>
        <w:t>an effective date of June 1, 2015</w:t>
      </w:r>
      <w:r w:rsidRPr="00C529B8">
        <w:rPr>
          <w:szCs w:val="24"/>
        </w:rPr>
        <w:t xml:space="preserve">. </w:t>
      </w:r>
      <w:r>
        <w:rPr>
          <w:szCs w:val="24"/>
        </w:rPr>
        <w:t xml:space="preserve"> This filing represents a decrease in rates </w:t>
      </w:r>
      <w:r w:rsidR="00851F5A">
        <w:rPr>
          <w:szCs w:val="24"/>
        </w:rPr>
        <w:t>to most customers therefore</w:t>
      </w:r>
      <w:r>
        <w:rPr>
          <w:szCs w:val="24"/>
        </w:rPr>
        <w:t xml:space="preserve"> no notice is required under the provisions of WAC 480-90-194</w:t>
      </w:r>
      <w:r w:rsidR="00851F5A">
        <w:rPr>
          <w:szCs w:val="24"/>
        </w:rPr>
        <w:t xml:space="preserve"> for most customers</w:t>
      </w:r>
      <w:r>
        <w:rPr>
          <w:szCs w:val="24"/>
        </w:rPr>
        <w:t xml:space="preserve">.  </w:t>
      </w:r>
      <w:r w:rsidR="00851F5A">
        <w:rPr>
          <w:szCs w:val="24"/>
        </w:rPr>
        <w:t xml:space="preserve">Customers receiving service under Schedule Nos. 87 and </w:t>
      </w:r>
      <w:proofErr w:type="spellStart"/>
      <w:r w:rsidR="00851F5A">
        <w:rPr>
          <w:szCs w:val="24"/>
        </w:rPr>
        <w:t>87T</w:t>
      </w:r>
      <w:proofErr w:type="spellEnd"/>
      <w:r w:rsidR="00851F5A">
        <w:rPr>
          <w:szCs w:val="24"/>
        </w:rPr>
        <w:t xml:space="preserve"> will see an increase and will be provided notice pursuant to WAC 480-90-194(1) through a notice to each individual customer.  </w:t>
      </w:r>
      <w:r w:rsidRPr="00C529B8">
        <w:rPr>
          <w:szCs w:val="24"/>
        </w:rPr>
        <w:t xml:space="preserve">Posting of proposed tariff changes, </w:t>
      </w:r>
      <w:r>
        <w:rPr>
          <w:szCs w:val="24"/>
        </w:rPr>
        <w:t>as required by WAC 480-90</w:t>
      </w:r>
      <w:r w:rsidRPr="00C529B8">
        <w:rPr>
          <w:szCs w:val="24"/>
        </w:rPr>
        <w:t>-193, is being made by posting the proposed tariff sheet on the PSE web site immediately prior to or coincident with the date of this transmittal letter</w:t>
      </w:r>
      <w:r>
        <w:rPr>
          <w:szCs w:val="24"/>
        </w:rPr>
        <w:t>.</w:t>
      </w:r>
      <w:r w:rsidRPr="004C7D2B">
        <w:rPr>
          <w:szCs w:val="24"/>
        </w:rPr>
        <w:t xml:space="preserve"> </w:t>
      </w:r>
    </w:p>
    <w:p w:rsidR="002F7EDC" w:rsidRPr="002F7EDC" w:rsidRDefault="002F7EDC" w:rsidP="00103255">
      <w:pPr>
        <w:rPr>
          <w:snapToGrid w:val="0"/>
          <w:sz w:val="24"/>
          <w:szCs w:val="24"/>
        </w:rPr>
      </w:pPr>
    </w:p>
    <w:p w:rsidR="00103255" w:rsidRPr="004F4FE7" w:rsidRDefault="00103255" w:rsidP="00103255">
      <w:pPr>
        <w:rPr>
          <w:sz w:val="24"/>
          <w:szCs w:val="24"/>
        </w:rPr>
      </w:pPr>
      <w:r w:rsidRPr="004F4FE7">
        <w:rPr>
          <w:sz w:val="24"/>
          <w:szCs w:val="24"/>
        </w:rPr>
        <w:t xml:space="preserve">Please contact </w:t>
      </w:r>
      <w:r w:rsidR="00315735">
        <w:rPr>
          <w:sz w:val="24"/>
          <w:szCs w:val="24"/>
        </w:rPr>
        <w:t>Mr. Lynn Logen</w:t>
      </w:r>
      <w:r w:rsidR="00747B2F">
        <w:rPr>
          <w:sz w:val="24"/>
          <w:szCs w:val="24"/>
        </w:rPr>
        <w:t xml:space="preserve"> </w:t>
      </w:r>
      <w:r w:rsidRPr="004F4FE7">
        <w:rPr>
          <w:sz w:val="24"/>
          <w:szCs w:val="24"/>
        </w:rPr>
        <w:t xml:space="preserve">at (425) </w:t>
      </w:r>
      <w:r w:rsidR="00315735">
        <w:rPr>
          <w:sz w:val="24"/>
          <w:szCs w:val="24"/>
        </w:rPr>
        <w:t>462-3872</w:t>
      </w:r>
      <w:r w:rsidRPr="004F4FE7">
        <w:rPr>
          <w:sz w:val="24"/>
          <w:szCs w:val="24"/>
        </w:rPr>
        <w:t xml:space="preserve"> </w:t>
      </w:r>
      <w:r w:rsidR="004F540D">
        <w:rPr>
          <w:sz w:val="24"/>
          <w:szCs w:val="24"/>
        </w:rPr>
        <w:t>f</w:t>
      </w:r>
      <w:r w:rsidRPr="004F4FE7">
        <w:rPr>
          <w:sz w:val="24"/>
          <w:szCs w:val="24"/>
        </w:rPr>
        <w:t>or additional information about this filing.  If you have any other questions please co</w:t>
      </w:r>
      <w:r w:rsidR="00E06B6C" w:rsidRPr="004F4FE7">
        <w:rPr>
          <w:sz w:val="24"/>
          <w:szCs w:val="24"/>
        </w:rPr>
        <w:t>ntact me at (425) 456</w:t>
      </w:r>
      <w:r w:rsidR="00E06B6C" w:rsidRPr="004F4FE7">
        <w:rPr>
          <w:sz w:val="24"/>
          <w:szCs w:val="24"/>
        </w:rPr>
        <w:noBreakHyphen/>
        <w:t>2110.</w:t>
      </w:r>
    </w:p>
    <w:p w:rsidR="00103255" w:rsidRPr="004F4FE7" w:rsidRDefault="00103255" w:rsidP="00103255">
      <w:pPr>
        <w:rPr>
          <w:sz w:val="24"/>
          <w:szCs w:val="24"/>
        </w:rPr>
      </w:pP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Sincerely,</w:t>
      </w:r>
    </w:p>
    <w:p w:rsidR="00103255" w:rsidRPr="004F4FE7" w:rsidRDefault="00103255" w:rsidP="00103255">
      <w:pPr>
        <w:rPr>
          <w:sz w:val="24"/>
          <w:szCs w:val="24"/>
        </w:rPr>
      </w:pPr>
    </w:p>
    <w:p w:rsidR="00103255" w:rsidRDefault="00103255" w:rsidP="00103255">
      <w:pPr>
        <w:rPr>
          <w:sz w:val="24"/>
          <w:szCs w:val="24"/>
        </w:rPr>
      </w:pPr>
    </w:p>
    <w:p w:rsidR="002F7EDC" w:rsidRPr="004F4FE7" w:rsidRDefault="002F7EDC" w:rsidP="00103255">
      <w:pPr>
        <w:rPr>
          <w:sz w:val="24"/>
          <w:szCs w:val="24"/>
        </w:rPr>
      </w:pPr>
    </w:p>
    <w:p w:rsidR="00103255" w:rsidRPr="004F4FE7" w:rsidRDefault="00103255" w:rsidP="00103255">
      <w:pPr>
        <w:rPr>
          <w:sz w:val="24"/>
          <w:szCs w:val="24"/>
        </w:rPr>
      </w:pP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Ken Johnson</w:t>
      </w: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Director, State Regulatory Affairs</w:t>
      </w:r>
      <w:r w:rsidRPr="004F4FE7">
        <w:rPr>
          <w:sz w:val="24"/>
          <w:szCs w:val="24"/>
        </w:rPr>
        <w:tab/>
      </w:r>
      <w:r w:rsidRPr="004F4FE7">
        <w:rPr>
          <w:sz w:val="24"/>
          <w:szCs w:val="24"/>
        </w:rPr>
        <w:tab/>
      </w:r>
      <w:r w:rsidRPr="004F4FE7">
        <w:rPr>
          <w:sz w:val="24"/>
          <w:szCs w:val="24"/>
        </w:rPr>
        <w:tab/>
      </w:r>
      <w:r w:rsidRPr="004F4FE7">
        <w:rPr>
          <w:sz w:val="24"/>
          <w:szCs w:val="24"/>
        </w:rPr>
        <w:tab/>
      </w:r>
    </w:p>
    <w:p w:rsidR="00017F39" w:rsidRPr="004F4FE7" w:rsidRDefault="00017F39">
      <w:pPr>
        <w:rPr>
          <w:sz w:val="24"/>
          <w:szCs w:val="24"/>
        </w:rPr>
      </w:pPr>
    </w:p>
    <w:p w:rsidR="00017F39" w:rsidRPr="004F4FE7" w:rsidRDefault="00017F39">
      <w:pPr>
        <w:rPr>
          <w:sz w:val="24"/>
          <w:szCs w:val="24"/>
        </w:rPr>
      </w:pPr>
    </w:p>
    <w:p w:rsidR="00017F39" w:rsidRPr="004F4FE7" w:rsidRDefault="00017F39">
      <w:pPr>
        <w:rPr>
          <w:sz w:val="24"/>
          <w:szCs w:val="24"/>
        </w:rPr>
      </w:pPr>
      <w:r w:rsidRPr="004F4FE7">
        <w:rPr>
          <w:sz w:val="24"/>
          <w:szCs w:val="24"/>
        </w:rPr>
        <w:t>cc:</w:t>
      </w:r>
      <w:r w:rsidRPr="004F4FE7">
        <w:rPr>
          <w:sz w:val="24"/>
          <w:szCs w:val="24"/>
        </w:rPr>
        <w:tab/>
        <w:t>Simon J. ffitch, Public Counsel</w:t>
      </w:r>
    </w:p>
    <w:p w:rsidR="00017F39" w:rsidRPr="004F4FE7" w:rsidRDefault="00017F39" w:rsidP="004978DB">
      <w:pPr>
        <w:ind w:firstLine="720"/>
        <w:rPr>
          <w:sz w:val="24"/>
          <w:szCs w:val="24"/>
        </w:rPr>
      </w:pPr>
      <w:r w:rsidRPr="004F4FE7">
        <w:rPr>
          <w:sz w:val="24"/>
          <w:szCs w:val="24"/>
        </w:rPr>
        <w:t>Sheree Carson, Perkins Coie</w:t>
      </w:r>
    </w:p>
    <w:sectPr w:rsidR="00017F39" w:rsidRPr="004F4FE7" w:rsidSect="00376556">
      <w:headerReference w:type="default" r:id="rId10"/>
      <w:pgSz w:w="12240" w:h="15840" w:code="1"/>
      <w:pgMar w:top="1440" w:right="1440" w:bottom="1008"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FF" w:rsidRDefault="00A867FF">
      <w:r>
        <w:separator/>
      </w:r>
    </w:p>
  </w:endnote>
  <w:endnote w:type="continuationSeparator" w:id="0">
    <w:p w:rsidR="00A867FF" w:rsidRDefault="00A8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FF" w:rsidRDefault="00A867FF">
      <w:r>
        <w:separator/>
      </w:r>
    </w:p>
  </w:footnote>
  <w:footnote w:type="continuationSeparator" w:id="0">
    <w:p w:rsidR="00A867FF" w:rsidRDefault="00A8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rsidP="000C579D">
    <w:pPr>
      <w:pStyle w:val="Header"/>
      <w:rPr>
        <w:sz w:val="24"/>
        <w:szCs w:val="24"/>
      </w:rPr>
    </w:pPr>
  </w:p>
  <w:p w:rsidR="00376556" w:rsidRDefault="00376556" w:rsidP="000C579D">
    <w:pPr>
      <w:pStyle w:val="Header"/>
      <w:rPr>
        <w:sz w:val="24"/>
        <w:szCs w:val="24"/>
      </w:rPr>
    </w:pPr>
  </w:p>
  <w:p w:rsidR="00314147" w:rsidRPr="000C579D" w:rsidRDefault="00314147" w:rsidP="000C579D">
    <w:pPr>
      <w:pStyle w:val="Header"/>
      <w:rPr>
        <w:rStyle w:val="PageNumber"/>
        <w:sz w:val="24"/>
      </w:rPr>
    </w:pPr>
    <w:r w:rsidRPr="00103255">
      <w:rPr>
        <w:sz w:val="24"/>
        <w:szCs w:val="24"/>
      </w:rPr>
      <w:t>Mr. Steven V. King</w:t>
    </w:r>
    <w:r w:rsidRPr="000C579D">
      <w:rPr>
        <w:rStyle w:val="PageNumber"/>
        <w:sz w:val="24"/>
      </w:rPr>
      <w:t xml:space="preserve"> </w:t>
    </w:r>
    <w:r w:rsidRPr="000C579D">
      <w:rPr>
        <w:rStyle w:val="PageNumber"/>
        <w:sz w:val="24"/>
      </w:rPr>
      <w:tab/>
      <w:t xml:space="preserve">Page </w:t>
    </w:r>
    <w:r w:rsidR="005811D4" w:rsidRPr="005811D4">
      <w:rPr>
        <w:rStyle w:val="PageNumber"/>
        <w:sz w:val="24"/>
      </w:rPr>
      <w:fldChar w:fldCharType="begin"/>
    </w:r>
    <w:r w:rsidR="005811D4" w:rsidRPr="005811D4">
      <w:rPr>
        <w:rStyle w:val="PageNumber"/>
        <w:sz w:val="24"/>
      </w:rPr>
      <w:instrText xml:space="preserve"> PAGE   \* MERGEFORMAT </w:instrText>
    </w:r>
    <w:r w:rsidR="005811D4" w:rsidRPr="005811D4">
      <w:rPr>
        <w:rStyle w:val="PageNumber"/>
        <w:sz w:val="24"/>
      </w:rPr>
      <w:fldChar w:fldCharType="separate"/>
    </w:r>
    <w:r w:rsidR="00DA6166">
      <w:rPr>
        <w:rStyle w:val="PageNumber"/>
        <w:noProof/>
        <w:sz w:val="24"/>
      </w:rPr>
      <w:t>2</w:t>
    </w:r>
    <w:r w:rsidR="005811D4" w:rsidRPr="005811D4">
      <w:rPr>
        <w:rStyle w:val="PageNumber"/>
        <w:noProof/>
        <w:sz w:val="24"/>
      </w:rPr>
      <w:fldChar w:fldCharType="end"/>
    </w:r>
    <w:r w:rsidRPr="000C579D">
      <w:rPr>
        <w:rStyle w:val="PageNumber"/>
        <w:sz w:val="24"/>
      </w:rPr>
      <w:tab/>
    </w:r>
    <w:r w:rsidR="00D83F76">
      <w:rPr>
        <w:rStyle w:val="PageNumber"/>
        <w:sz w:val="24"/>
      </w:rPr>
      <w:t>May 1</w:t>
    </w:r>
    <w:r w:rsidR="00105F30">
      <w:rPr>
        <w:rStyle w:val="PageNumber"/>
        <w:sz w:val="24"/>
      </w:rPr>
      <w:t>,</w:t>
    </w:r>
    <w:r>
      <w:rPr>
        <w:rStyle w:val="PageNumber"/>
        <w:sz w:val="24"/>
      </w:rPr>
      <w:t xml:space="preserve"> 201</w:t>
    </w:r>
    <w:r w:rsidR="002F7EDC">
      <w:rPr>
        <w:rStyle w:val="PageNumber"/>
        <w:sz w:val="24"/>
      </w:rPr>
      <w:t>5</w:t>
    </w:r>
  </w:p>
  <w:p w:rsidR="00314147" w:rsidRDefault="00314147" w:rsidP="000C579D">
    <w:pPr>
      <w:pStyle w:val="Header"/>
      <w:rPr>
        <w:rStyle w:val="PageNumber"/>
        <w:sz w:val="24"/>
      </w:rPr>
    </w:pPr>
    <w:r>
      <w:rPr>
        <w:rStyle w:val="PageNumber"/>
        <w:sz w:val="24"/>
      </w:rPr>
      <w:t>Advice No. 201</w:t>
    </w:r>
    <w:r w:rsidR="002F7EDC">
      <w:rPr>
        <w:rStyle w:val="PageNumber"/>
        <w:sz w:val="24"/>
      </w:rPr>
      <w:t>5</w:t>
    </w:r>
    <w:r>
      <w:rPr>
        <w:rStyle w:val="PageNumber"/>
        <w:sz w:val="24"/>
      </w:rPr>
      <w:t>-</w:t>
    </w:r>
    <w:r w:rsidR="009162FE">
      <w:rPr>
        <w:rStyle w:val="PageNumber"/>
        <w:sz w:val="24"/>
      </w:rPr>
      <w:t>10</w:t>
    </w:r>
  </w:p>
  <w:p w:rsidR="00314147" w:rsidRDefault="00314147">
    <w:pPr>
      <w:pStyle w:val="Header"/>
      <w:rPr>
        <w:sz w:val="24"/>
      </w:rPr>
    </w:pPr>
  </w:p>
  <w:p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3A02"/>
    <w:multiLevelType w:val="hybridMultilevel"/>
    <w:tmpl w:val="54A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03E84"/>
    <w:rsid w:val="00006E07"/>
    <w:rsid w:val="00017F39"/>
    <w:rsid w:val="00020789"/>
    <w:rsid w:val="00020B15"/>
    <w:rsid w:val="00021D0A"/>
    <w:rsid w:val="000456C3"/>
    <w:rsid w:val="000460B4"/>
    <w:rsid w:val="0004694A"/>
    <w:rsid w:val="00046F59"/>
    <w:rsid w:val="00052EDD"/>
    <w:rsid w:val="00053055"/>
    <w:rsid w:val="00056B30"/>
    <w:rsid w:val="000629F9"/>
    <w:rsid w:val="00064019"/>
    <w:rsid w:val="000653D5"/>
    <w:rsid w:val="0007560E"/>
    <w:rsid w:val="00081542"/>
    <w:rsid w:val="00082DC1"/>
    <w:rsid w:val="00095A2F"/>
    <w:rsid w:val="000A320B"/>
    <w:rsid w:val="000A3DEF"/>
    <w:rsid w:val="000B0C4F"/>
    <w:rsid w:val="000B7164"/>
    <w:rsid w:val="000C28D0"/>
    <w:rsid w:val="000C579D"/>
    <w:rsid w:val="000C7AB3"/>
    <w:rsid w:val="000F797D"/>
    <w:rsid w:val="00103255"/>
    <w:rsid w:val="00105F30"/>
    <w:rsid w:val="00106F48"/>
    <w:rsid w:val="00122C28"/>
    <w:rsid w:val="00137D80"/>
    <w:rsid w:val="00161CB5"/>
    <w:rsid w:val="00165AEB"/>
    <w:rsid w:val="001733E9"/>
    <w:rsid w:val="00173B2E"/>
    <w:rsid w:val="00180B24"/>
    <w:rsid w:val="001839AA"/>
    <w:rsid w:val="001A7CDB"/>
    <w:rsid w:val="001B4D53"/>
    <w:rsid w:val="001C0716"/>
    <w:rsid w:val="001D3403"/>
    <w:rsid w:val="001E31F1"/>
    <w:rsid w:val="001E60DC"/>
    <w:rsid w:val="00200306"/>
    <w:rsid w:val="002148DB"/>
    <w:rsid w:val="002169EE"/>
    <w:rsid w:val="0022598F"/>
    <w:rsid w:val="00232F78"/>
    <w:rsid w:val="002524F3"/>
    <w:rsid w:val="002531D3"/>
    <w:rsid w:val="002642FC"/>
    <w:rsid w:val="00266D16"/>
    <w:rsid w:val="0027160A"/>
    <w:rsid w:val="00276759"/>
    <w:rsid w:val="00281C14"/>
    <w:rsid w:val="0028206E"/>
    <w:rsid w:val="00283D9C"/>
    <w:rsid w:val="00294B60"/>
    <w:rsid w:val="002A706D"/>
    <w:rsid w:val="002B79D5"/>
    <w:rsid w:val="002E48CF"/>
    <w:rsid w:val="002F1905"/>
    <w:rsid w:val="002F7EDC"/>
    <w:rsid w:val="003051D6"/>
    <w:rsid w:val="00314147"/>
    <w:rsid w:val="00315735"/>
    <w:rsid w:val="003162A0"/>
    <w:rsid w:val="00316E4A"/>
    <w:rsid w:val="0032578B"/>
    <w:rsid w:val="00330DED"/>
    <w:rsid w:val="0033619B"/>
    <w:rsid w:val="00351D73"/>
    <w:rsid w:val="003539B9"/>
    <w:rsid w:val="0036492D"/>
    <w:rsid w:val="00370080"/>
    <w:rsid w:val="00376556"/>
    <w:rsid w:val="00390B0E"/>
    <w:rsid w:val="00394C5D"/>
    <w:rsid w:val="003A7275"/>
    <w:rsid w:val="003C616C"/>
    <w:rsid w:val="003D4AA1"/>
    <w:rsid w:val="003D7F33"/>
    <w:rsid w:val="003E289E"/>
    <w:rsid w:val="003E4BBF"/>
    <w:rsid w:val="00402008"/>
    <w:rsid w:val="00430D06"/>
    <w:rsid w:val="00431778"/>
    <w:rsid w:val="004323B7"/>
    <w:rsid w:val="004506DD"/>
    <w:rsid w:val="0045080B"/>
    <w:rsid w:val="004968D5"/>
    <w:rsid w:val="004971C2"/>
    <w:rsid w:val="004978DB"/>
    <w:rsid w:val="004A2DA9"/>
    <w:rsid w:val="004B6732"/>
    <w:rsid w:val="004B7C4B"/>
    <w:rsid w:val="004C7549"/>
    <w:rsid w:val="004D7E70"/>
    <w:rsid w:val="004E2786"/>
    <w:rsid w:val="004E40D2"/>
    <w:rsid w:val="004F4FE7"/>
    <w:rsid w:val="004F540D"/>
    <w:rsid w:val="00505043"/>
    <w:rsid w:val="005442F0"/>
    <w:rsid w:val="005462D1"/>
    <w:rsid w:val="00556894"/>
    <w:rsid w:val="00563E7F"/>
    <w:rsid w:val="005722D6"/>
    <w:rsid w:val="005811D4"/>
    <w:rsid w:val="0058472A"/>
    <w:rsid w:val="00586E2F"/>
    <w:rsid w:val="00596D14"/>
    <w:rsid w:val="005A1619"/>
    <w:rsid w:val="005A18AF"/>
    <w:rsid w:val="005A5F45"/>
    <w:rsid w:val="005E7E93"/>
    <w:rsid w:val="005F01DF"/>
    <w:rsid w:val="0060077F"/>
    <w:rsid w:val="00605DDB"/>
    <w:rsid w:val="00606716"/>
    <w:rsid w:val="00611E71"/>
    <w:rsid w:val="0061339A"/>
    <w:rsid w:val="00615F7E"/>
    <w:rsid w:val="0062013C"/>
    <w:rsid w:val="00622515"/>
    <w:rsid w:val="006573F9"/>
    <w:rsid w:val="00684150"/>
    <w:rsid w:val="00692B78"/>
    <w:rsid w:val="006A3B21"/>
    <w:rsid w:val="006B2137"/>
    <w:rsid w:val="006B714F"/>
    <w:rsid w:val="006C0851"/>
    <w:rsid w:val="006C5884"/>
    <w:rsid w:val="006D2D2F"/>
    <w:rsid w:val="006D5F0F"/>
    <w:rsid w:val="006E2B31"/>
    <w:rsid w:val="006F0D54"/>
    <w:rsid w:val="006F57B6"/>
    <w:rsid w:val="00701486"/>
    <w:rsid w:val="00730265"/>
    <w:rsid w:val="00731CAE"/>
    <w:rsid w:val="00740596"/>
    <w:rsid w:val="007430AE"/>
    <w:rsid w:val="0074358D"/>
    <w:rsid w:val="00747B2F"/>
    <w:rsid w:val="00770612"/>
    <w:rsid w:val="00771F46"/>
    <w:rsid w:val="007A320F"/>
    <w:rsid w:val="007B6327"/>
    <w:rsid w:val="007C0CE2"/>
    <w:rsid w:val="007C4395"/>
    <w:rsid w:val="007D46E5"/>
    <w:rsid w:val="007F16AD"/>
    <w:rsid w:val="007F702F"/>
    <w:rsid w:val="008038A2"/>
    <w:rsid w:val="00804303"/>
    <w:rsid w:val="00815DCF"/>
    <w:rsid w:val="00821E6D"/>
    <w:rsid w:val="00825BE6"/>
    <w:rsid w:val="0083191B"/>
    <w:rsid w:val="00836C5C"/>
    <w:rsid w:val="00836CDD"/>
    <w:rsid w:val="00851F5A"/>
    <w:rsid w:val="0088162A"/>
    <w:rsid w:val="00881D7F"/>
    <w:rsid w:val="00887A9D"/>
    <w:rsid w:val="008A2E3E"/>
    <w:rsid w:val="008A65DE"/>
    <w:rsid w:val="008B631C"/>
    <w:rsid w:val="008E37AF"/>
    <w:rsid w:val="008F2CED"/>
    <w:rsid w:val="009119C3"/>
    <w:rsid w:val="009162FE"/>
    <w:rsid w:val="00934FBA"/>
    <w:rsid w:val="0094685B"/>
    <w:rsid w:val="00960EAE"/>
    <w:rsid w:val="00980AF8"/>
    <w:rsid w:val="00991CC2"/>
    <w:rsid w:val="009A1B34"/>
    <w:rsid w:val="009C4AE5"/>
    <w:rsid w:val="009C591C"/>
    <w:rsid w:val="009E51F6"/>
    <w:rsid w:val="009E5F63"/>
    <w:rsid w:val="009E6DB5"/>
    <w:rsid w:val="009F0F23"/>
    <w:rsid w:val="00A17B93"/>
    <w:rsid w:val="00A214A5"/>
    <w:rsid w:val="00A2417F"/>
    <w:rsid w:val="00A34AE7"/>
    <w:rsid w:val="00A35D4C"/>
    <w:rsid w:val="00A37C98"/>
    <w:rsid w:val="00A50460"/>
    <w:rsid w:val="00A52D64"/>
    <w:rsid w:val="00A70F8C"/>
    <w:rsid w:val="00A76378"/>
    <w:rsid w:val="00A80A02"/>
    <w:rsid w:val="00A867FF"/>
    <w:rsid w:val="00A9257F"/>
    <w:rsid w:val="00A93DEC"/>
    <w:rsid w:val="00A9455F"/>
    <w:rsid w:val="00A961B7"/>
    <w:rsid w:val="00AA35AA"/>
    <w:rsid w:val="00AC52B8"/>
    <w:rsid w:val="00AC6E13"/>
    <w:rsid w:val="00AC704B"/>
    <w:rsid w:val="00AD0AF4"/>
    <w:rsid w:val="00AD4707"/>
    <w:rsid w:val="00AD7256"/>
    <w:rsid w:val="00AE3C6A"/>
    <w:rsid w:val="00AF0A61"/>
    <w:rsid w:val="00AF118C"/>
    <w:rsid w:val="00B037BB"/>
    <w:rsid w:val="00B14DD4"/>
    <w:rsid w:val="00B2689E"/>
    <w:rsid w:val="00B44AD4"/>
    <w:rsid w:val="00B46726"/>
    <w:rsid w:val="00B63A5D"/>
    <w:rsid w:val="00B71AD3"/>
    <w:rsid w:val="00B87BDD"/>
    <w:rsid w:val="00B92731"/>
    <w:rsid w:val="00B9636B"/>
    <w:rsid w:val="00BB0B3F"/>
    <w:rsid w:val="00BB1A30"/>
    <w:rsid w:val="00BC0BDD"/>
    <w:rsid w:val="00BC6B20"/>
    <w:rsid w:val="00BD5030"/>
    <w:rsid w:val="00BE3E38"/>
    <w:rsid w:val="00C022E2"/>
    <w:rsid w:val="00C06304"/>
    <w:rsid w:val="00C11A9C"/>
    <w:rsid w:val="00C13C31"/>
    <w:rsid w:val="00C3236B"/>
    <w:rsid w:val="00C459DE"/>
    <w:rsid w:val="00C4648B"/>
    <w:rsid w:val="00C60CC1"/>
    <w:rsid w:val="00C71781"/>
    <w:rsid w:val="00C73EEC"/>
    <w:rsid w:val="00C90015"/>
    <w:rsid w:val="00C90C47"/>
    <w:rsid w:val="00CC0CAE"/>
    <w:rsid w:val="00CC6F2D"/>
    <w:rsid w:val="00CD312C"/>
    <w:rsid w:val="00CE5E85"/>
    <w:rsid w:val="00CE7DEB"/>
    <w:rsid w:val="00CF209E"/>
    <w:rsid w:val="00CF57E4"/>
    <w:rsid w:val="00D05D23"/>
    <w:rsid w:val="00D13D29"/>
    <w:rsid w:val="00D174E3"/>
    <w:rsid w:val="00D21669"/>
    <w:rsid w:val="00D21CA7"/>
    <w:rsid w:val="00D23DC9"/>
    <w:rsid w:val="00D320B3"/>
    <w:rsid w:val="00D41566"/>
    <w:rsid w:val="00D4206B"/>
    <w:rsid w:val="00D44E4B"/>
    <w:rsid w:val="00D63CB5"/>
    <w:rsid w:val="00D757E1"/>
    <w:rsid w:val="00D76529"/>
    <w:rsid w:val="00D7763B"/>
    <w:rsid w:val="00D83098"/>
    <w:rsid w:val="00D83F76"/>
    <w:rsid w:val="00D840C7"/>
    <w:rsid w:val="00D86F7E"/>
    <w:rsid w:val="00DA1018"/>
    <w:rsid w:val="00DA6166"/>
    <w:rsid w:val="00DF2BA6"/>
    <w:rsid w:val="00DF3CA4"/>
    <w:rsid w:val="00E00CDD"/>
    <w:rsid w:val="00E06B6C"/>
    <w:rsid w:val="00E25776"/>
    <w:rsid w:val="00E56099"/>
    <w:rsid w:val="00E6152C"/>
    <w:rsid w:val="00E67784"/>
    <w:rsid w:val="00E7240E"/>
    <w:rsid w:val="00E74AC0"/>
    <w:rsid w:val="00E82012"/>
    <w:rsid w:val="00E978B5"/>
    <w:rsid w:val="00EB014B"/>
    <w:rsid w:val="00EC5F7D"/>
    <w:rsid w:val="00ED5521"/>
    <w:rsid w:val="00EE22A9"/>
    <w:rsid w:val="00F038DE"/>
    <w:rsid w:val="00F13CB3"/>
    <w:rsid w:val="00F14F5C"/>
    <w:rsid w:val="00F26809"/>
    <w:rsid w:val="00F370AF"/>
    <w:rsid w:val="00F4411E"/>
    <w:rsid w:val="00F53AE9"/>
    <w:rsid w:val="00F5763F"/>
    <w:rsid w:val="00F609F7"/>
    <w:rsid w:val="00F62468"/>
    <w:rsid w:val="00F64796"/>
    <w:rsid w:val="00F6553C"/>
    <w:rsid w:val="00F676B1"/>
    <w:rsid w:val="00F82F57"/>
    <w:rsid w:val="00F85A76"/>
    <w:rsid w:val="00F86545"/>
    <w:rsid w:val="00F94B97"/>
    <w:rsid w:val="00FA4B2E"/>
    <w:rsid w:val="00FA7EFD"/>
    <w:rsid w:val="00FB05ED"/>
    <w:rsid w:val="00FB6078"/>
    <w:rsid w:val="00FB69D1"/>
    <w:rsid w:val="00FC0C8B"/>
    <w:rsid w:val="00FD1A92"/>
    <w:rsid w:val="00FD2C06"/>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117260766">
      <w:bodyDiv w:val="1"/>
      <w:marLeft w:val="0"/>
      <w:marRight w:val="0"/>
      <w:marTop w:val="0"/>
      <w:marBottom w:val="0"/>
      <w:divBdr>
        <w:top w:val="none" w:sz="0" w:space="0" w:color="auto"/>
        <w:left w:val="none" w:sz="0" w:space="0" w:color="auto"/>
        <w:bottom w:val="none" w:sz="0" w:space="0" w:color="auto"/>
        <w:right w:val="none" w:sz="0" w:space="0" w:color="auto"/>
      </w:divBdr>
      <w:divsChild>
        <w:div w:id="1339650840">
          <w:marLeft w:val="150"/>
          <w:marRight w:val="0"/>
          <w:marTop w:val="0"/>
          <w:marBottom w:val="0"/>
          <w:divBdr>
            <w:top w:val="none" w:sz="0" w:space="0" w:color="auto"/>
            <w:left w:val="none" w:sz="0" w:space="0" w:color="auto"/>
            <w:bottom w:val="none" w:sz="0" w:space="0" w:color="auto"/>
            <w:right w:val="none" w:sz="0" w:space="0" w:color="auto"/>
          </w:divBdr>
          <w:divsChild>
            <w:div w:id="156196091">
              <w:marLeft w:val="0"/>
              <w:marRight w:val="0"/>
              <w:marTop w:val="0"/>
              <w:marBottom w:val="0"/>
              <w:divBdr>
                <w:top w:val="none" w:sz="0" w:space="0" w:color="auto"/>
                <w:left w:val="none" w:sz="0" w:space="0" w:color="auto"/>
                <w:bottom w:val="none" w:sz="0" w:space="0" w:color="auto"/>
                <w:right w:val="none" w:sz="0" w:space="0" w:color="auto"/>
              </w:divBdr>
            </w:div>
            <w:div w:id="672340732">
              <w:marLeft w:val="0"/>
              <w:marRight w:val="0"/>
              <w:marTop w:val="0"/>
              <w:marBottom w:val="0"/>
              <w:divBdr>
                <w:top w:val="none" w:sz="0" w:space="0" w:color="auto"/>
                <w:left w:val="none" w:sz="0" w:space="0" w:color="auto"/>
                <w:bottom w:val="none" w:sz="0" w:space="0" w:color="auto"/>
                <w:right w:val="none" w:sz="0" w:space="0" w:color="auto"/>
              </w:divBdr>
            </w:div>
            <w:div w:id="831219217">
              <w:marLeft w:val="0"/>
              <w:marRight w:val="0"/>
              <w:marTop w:val="0"/>
              <w:marBottom w:val="0"/>
              <w:divBdr>
                <w:top w:val="none" w:sz="0" w:space="0" w:color="auto"/>
                <w:left w:val="none" w:sz="0" w:space="0" w:color="auto"/>
                <w:bottom w:val="none" w:sz="0" w:space="0" w:color="auto"/>
                <w:right w:val="none" w:sz="0" w:space="0" w:color="auto"/>
              </w:divBdr>
            </w:div>
            <w:div w:id="965935163">
              <w:marLeft w:val="0"/>
              <w:marRight w:val="0"/>
              <w:marTop w:val="0"/>
              <w:marBottom w:val="0"/>
              <w:divBdr>
                <w:top w:val="none" w:sz="0" w:space="0" w:color="auto"/>
                <w:left w:val="none" w:sz="0" w:space="0" w:color="auto"/>
                <w:bottom w:val="none" w:sz="0" w:space="0" w:color="auto"/>
                <w:right w:val="none" w:sz="0" w:space="0" w:color="auto"/>
              </w:divBdr>
            </w:div>
            <w:div w:id="1003699026">
              <w:marLeft w:val="0"/>
              <w:marRight w:val="0"/>
              <w:marTop w:val="0"/>
              <w:marBottom w:val="0"/>
              <w:divBdr>
                <w:top w:val="none" w:sz="0" w:space="0" w:color="auto"/>
                <w:left w:val="none" w:sz="0" w:space="0" w:color="auto"/>
                <w:bottom w:val="none" w:sz="0" w:space="0" w:color="auto"/>
                <w:right w:val="none" w:sz="0" w:space="0" w:color="auto"/>
              </w:divBdr>
            </w:div>
            <w:div w:id="1248733761">
              <w:marLeft w:val="0"/>
              <w:marRight w:val="0"/>
              <w:marTop w:val="0"/>
              <w:marBottom w:val="0"/>
              <w:divBdr>
                <w:top w:val="none" w:sz="0" w:space="0" w:color="auto"/>
                <w:left w:val="none" w:sz="0" w:space="0" w:color="auto"/>
                <w:bottom w:val="none" w:sz="0" w:space="0" w:color="auto"/>
                <w:right w:val="none" w:sz="0" w:space="0" w:color="auto"/>
              </w:divBdr>
            </w:div>
            <w:div w:id="1641181820">
              <w:marLeft w:val="0"/>
              <w:marRight w:val="0"/>
              <w:marTop w:val="0"/>
              <w:marBottom w:val="0"/>
              <w:divBdr>
                <w:top w:val="none" w:sz="0" w:space="0" w:color="auto"/>
                <w:left w:val="none" w:sz="0" w:space="0" w:color="auto"/>
                <w:bottom w:val="none" w:sz="0" w:space="0" w:color="auto"/>
                <w:right w:val="none" w:sz="0" w:space="0" w:color="auto"/>
              </w:divBdr>
            </w:div>
            <w:div w:id="1676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4">
      <w:bodyDiv w:val="1"/>
      <w:marLeft w:val="0"/>
      <w:marRight w:val="0"/>
      <w:marTop w:val="0"/>
      <w:marBottom w:val="0"/>
      <w:divBdr>
        <w:top w:val="none" w:sz="0" w:space="0" w:color="auto"/>
        <w:left w:val="none" w:sz="0" w:space="0" w:color="auto"/>
        <w:bottom w:val="none" w:sz="0" w:space="0" w:color="auto"/>
        <w:right w:val="none" w:sz="0" w:space="0" w:color="auto"/>
      </w:divBdr>
      <w:divsChild>
        <w:div w:id="1965647778">
          <w:marLeft w:val="0"/>
          <w:marRight w:val="0"/>
          <w:marTop w:val="0"/>
          <w:marBottom w:val="0"/>
          <w:divBdr>
            <w:top w:val="none" w:sz="0" w:space="0" w:color="auto"/>
            <w:left w:val="none" w:sz="0" w:space="0" w:color="auto"/>
            <w:bottom w:val="none" w:sz="0" w:space="0" w:color="auto"/>
            <w:right w:val="none" w:sz="0" w:space="0" w:color="auto"/>
          </w:divBdr>
          <w:divsChild>
            <w:div w:id="13115207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311FB67FEC8146956B99F90596F4C2" ma:contentTypeVersion="119" ma:contentTypeDescription="" ma:contentTypeScope="" ma:versionID="b7cc6abced5a6b08801bab63af060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2015-05-01T07:00:00+00:00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150714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C82EF4-E4F3-4D5F-9A68-6FD2FE47D772}"/>
</file>

<file path=customXml/itemProps2.xml><?xml version="1.0" encoding="utf-8"?>
<ds:datastoreItem xmlns:ds="http://schemas.openxmlformats.org/officeDocument/2006/customXml" ds:itemID="{F8446B0E-4A7F-4494-8C0E-A07B40E741A0}"/>
</file>

<file path=customXml/itemProps3.xml><?xml version="1.0" encoding="utf-8"?>
<ds:datastoreItem xmlns:ds="http://schemas.openxmlformats.org/officeDocument/2006/customXml" ds:itemID="{E2E7DB4F-3B3F-4213-BD4C-896A87DEB457}"/>
</file>

<file path=customXml/itemProps4.xml><?xml version="1.0" encoding="utf-8"?>
<ds:datastoreItem xmlns:ds="http://schemas.openxmlformats.org/officeDocument/2006/customXml" ds:itemID="{2F2B3E99-FDA6-4263-A890-41B04A63A495}"/>
</file>

<file path=customXml/itemProps5.xml><?xml version="1.0" encoding="utf-8"?>
<ds:datastoreItem xmlns:ds="http://schemas.openxmlformats.org/officeDocument/2006/customXml" ds:itemID="{410E111B-3149-4432-8C87-4D8EBA443579}"/>
</file>

<file path=docProps/app.xml><?xml version="1.0" encoding="utf-8"?>
<Properties xmlns="http://schemas.openxmlformats.org/officeDocument/2006/extended-properties" xmlns:vt="http://schemas.openxmlformats.org/officeDocument/2006/docPropsVTypes">
  <Template>Normal.dotm</Template>
  <TotalTime>26</TotalTime>
  <Pages>2</Pages>
  <Words>715</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10</cp:revision>
  <cp:lastPrinted>2014-07-24T20:44:00Z</cp:lastPrinted>
  <dcterms:created xsi:type="dcterms:W3CDTF">2015-04-29T22:47:00Z</dcterms:created>
  <dcterms:modified xsi:type="dcterms:W3CDTF">2015-04-30T23:59:00Z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0x0101006E56B4D1795A2E4DB2F0B01679ED314A001F311FB67FEC8146956B99F90596F4C2</vt:lpwstr>
  </property>
  <property fmtid="{D5CDD505-2E9C-101B-9397-08002B2CF9AE}" pid="3" name="_docset_NoMedatataSyncRequired">
    <vt:lpwstr>False</vt:lpwstr>
  </property>
</Properties>
</file>