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8F036" w14:textId="77777777" w:rsidR="000423A5" w:rsidRDefault="000423A5">
      <w:pPr>
        <w:widowControl w:val="0"/>
        <w:tabs>
          <w:tab w:val="center" w:pos="4428"/>
        </w:tabs>
        <w:jc w:val="both"/>
      </w:pPr>
      <w:r>
        <w:tab/>
        <w:t>SCHEDULE T</w:t>
      </w:r>
    </w:p>
    <w:p w14:paraId="3F08F037" w14:textId="77777777" w:rsidR="000423A5" w:rsidRDefault="000423A5">
      <w:pPr>
        <w:widowControl w:val="0"/>
        <w:tabs>
          <w:tab w:val="center" w:pos="4428"/>
        </w:tabs>
        <w:jc w:val="both"/>
      </w:pPr>
      <w:r>
        <w:tab/>
        <w:t>CUSTOMER-OWNED</w:t>
      </w:r>
    </w:p>
    <w:p w14:paraId="3F08F038" w14:textId="77777777" w:rsidR="000423A5" w:rsidRDefault="000423A5">
      <w:pPr>
        <w:widowControl w:val="0"/>
        <w:tabs>
          <w:tab w:val="center" w:pos="4428"/>
        </w:tabs>
        <w:jc w:val="both"/>
      </w:pPr>
      <w:r>
        <w:tab/>
        <w:t>NATURAL GAS TRANSPORTATION SERVICE</w:t>
      </w:r>
    </w:p>
    <w:p w14:paraId="3F08F039" w14:textId="3540E317" w:rsidR="000423A5" w:rsidRDefault="00DE795B">
      <w:pPr>
        <w:widowControl w:val="0"/>
        <w:tabs>
          <w:tab w:val="center" w:pos="4428"/>
        </w:tabs>
        <w:jc w:val="center"/>
      </w:pPr>
      <w:r w:rsidRPr="00DE795B">
        <w:rPr>
          <w:noProof/>
          <w:sz w:val="19"/>
          <w:szCs w:val="19"/>
        </w:rPr>
        <mc:AlternateContent>
          <mc:Choice Requires="wps">
            <w:drawing>
              <wp:anchor distT="0" distB="0" distL="114300" distR="114300" simplePos="0" relativeHeight="251659264" behindDoc="0" locked="0" layoutInCell="1" allowOverlap="1" wp14:anchorId="2AEA6100" wp14:editId="1D4C6F1C">
                <wp:simplePos x="0" y="0"/>
                <wp:positionH relativeFrom="column">
                  <wp:posOffset>6065520</wp:posOffset>
                </wp:positionH>
                <wp:positionV relativeFrom="paragraph">
                  <wp:posOffset>133350</wp:posOffset>
                </wp:positionV>
                <wp:extent cx="548640" cy="5699760"/>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5699760"/>
                        </a:xfrm>
                        <a:prstGeom prst="rect">
                          <a:avLst/>
                        </a:prstGeom>
                        <a:solidFill>
                          <a:srgbClr val="FFFFFF"/>
                        </a:solidFill>
                        <a:ln w="9525">
                          <a:noFill/>
                          <a:miter lim="800000"/>
                          <a:headEnd/>
                          <a:tailEnd/>
                        </a:ln>
                      </wps:spPr>
                      <wps:txbx>
                        <w:txbxContent>
                          <w:p w14:paraId="7B008C3E" w14:textId="3A3C5EA1" w:rsidR="00DE795B" w:rsidRDefault="00DE795B">
                            <w:pPr>
                              <w:rPr>
                                <w:sz w:val="18"/>
                              </w:rPr>
                            </w:pPr>
                          </w:p>
                          <w:p w14:paraId="2D9FF392" w14:textId="77777777" w:rsidR="00DE795B" w:rsidRDefault="00DE795B">
                            <w:pPr>
                              <w:rPr>
                                <w:sz w:val="18"/>
                              </w:rPr>
                            </w:pPr>
                          </w:p>
                          <w:p w14:paraId="6C500579" w14:textId="77777777" w:rsidR="00DE795B" w:rsidRDefault="00DE795B">
                            <w:pPr>
                              <w:rPr>
                                <w:sz w:val="18"/>
                              </w:rPr>
                            </w:pPr>
                          </w:p>
                          <w:p w14:paraId="54EEE034" w14:textId="77777777" w:rsidR="00DE795B" w:rsidRDefault="00DE795B">
                            <w:pPr>
                              <w:rPr>
                                <w:sz w:val="18"/>
                              </w:rPr>
                            </w:pPr>
                          </w:p>
                          <w:p w14:paraId="6B1BFE6F" w14:textId="52E4EDE5" w:rsidR="00DE795B" w:rsidRPr="00DE795B" w:rsidRDefault="00DE795B">
                            <w:pPr>
                              <w:rPr>
                                <w:sz w:val="16"/>
                              </w:rPr>
                            </w:pPr>
                            <w:r w:rsidRPr="00DE795B">
                              <w:rPr>
                                <w:sz w:val="16"/>
                              </w:rPr>
                              <w:t>(C)</w:t>
                            </w:r>
                          </w:p>
                          <w:p w14:paraId="61C6110A" w14:textId="77777777" w:rsidR="00DE795B" w:rsidRPr="00DE795B" w:rsidRDefault="00DE795B">
                            <w:pPr>
                              <w:rPr>
                                <w:sz w:val="16"/>
                              </w:rPr>
                            </w:pPr>
                          </w:p>
                          <w:p w14:paraId="068897EF" w14:textId="77777777" w:rsidR="00DE795B" w:rsidRPr="00DE795B" w:rsidRDefault="00DE795B">
                            <w:pPr>
                              <w:rPr>
                                <w:sz w:val="16"/>
                              </w:rPr>
                            </w:pPr>
                          </w:p>
                          <w:p w14:paraId="4139637F" w14:textId="4FE8CB75" w:rsidR="00DE795B" w:rsidRDefault="00DE795B">
                            <w:pPr>
                              <w:rPr>
                                <w:sz w:val="16"/>
                              </w:rPr>
                            </w:pPr>
                            <w:r w:rsidRPr="00DE795B">
                              <w:rPr>
                                <w:sz w:val="16"/>
                              </w:rPr>
                              <w:t>(C)</w:t>
                            </w:r>
                          </w:p>
                          <w:p w14:paraId="5AE54A3F" w14:textId="77777777" w:rsidR="00DE795B" w:rsidRDefault="00DE795B">
                            <w:pPr>
                              <w:rPr>
                                <w:sz w:val="16"/>
                              </w:rPr>
                            </w:pPr>
                          </w:p>
                          <w:p w14:paraId="295E31D3" w14:textId="77777777" w:rsidR="00DE795B" w:rsidRDefault="00DE795B">
                            <w:pPr>
                              <w:rPr>
                                <w:sz w:val="16"/>
                              </w:rPr>
                            </w:pPr>
                          </w:p>
                          <w:p w14:paraId="1DAA2473" w14:textId="77777777" w:rsidR="00DE795B" w:rsidRDefault="00DE795B">
                            <w:pPr>
                              <w:rPr>
                                <w:sz w:val="16"/>
                              </w:rPr>
                            </w:pPr>
                          </w:p>
                          <w:p w14:paraId="23451D7B" w14:textId="77777777" w:rsidR="00DE795B" w:rsidRDefault="00DE795B">
                            <w:pPr>
                              <w:rPr>
                                <w:sz w:val="16"/>
                              </w:rPr>
                            </w:pPr>
                          </w:p>
                          <w:p w14:paraId="2D88B906" w14:textId="77777777" w:rsidR="00DE795B" w:rsidRDefault="00DE795B">
                            <w:pPr>
                              <w:rPr>
                                <w:sz w:val="16"/>
                              </w:rPr>
                            </w:pPr>
                          </w:p>
                          <w:p w14:paraId="712EDDA3" w14:textId="77777777" w:rsidR="00DE795B" w:rsidRDefault="00DE795B">
                            <w:pPr>
                              <w:rPr>
                                <w:sz w:val="16"/>
                              </w:rPr>
                            </w:pPr>
                          </w:p>
                          <w:p w14:paraId="2DF9BAD7" w14:textId="77777777" w:rsidR="00DE795B" w:rsidRDefault="00DE795B">
                            <w:pPr>
                              <w:rPr>
                                <w:sz w:val="16"/>
                              </w:rPr>
                            </w:pPr>
                          </w:p>
                          <w:p w14:paraId="60819110" w14:textId="3A218C3B" w:rsidR="00DE795B" w:rsidRPr="00DE795B" w:rsidRDefault="00DE795B">
                            <w:pPr>
                              <w:rPr>
                                <w:sz w:val="16"/>
                              </w:rPr>
                            </w:pPr>
                            <w:r>
                              <w:rPr>
                                <w:sz w:val="16"/>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7.6pt;margin-top:10.5pt;width:43.2pt;height:44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" stroked="f">
                <v:textbox>
                  <w:txbxContent>
                    <w:p w14:paraId="7B008C3E" w14:textId="3A3C5EA1" w:rsidR="00DE795B" w:rsidRDefault="00DE795B">
                      <w:pPr>
                        <w:rPr>
                          <w:sz w:val="18"/>
                        </w:rPr>
                      </w:pPr>
                    </w:p>
                    <w:p w14:paraId="2D9FF392" w14:textId="77777777" w:rsidR="00DE795B" w:rsidRDefault="00DE795B">
                      <w:pPr>
                        <w:rPr>
                          <w:sz w:val="18"/>
                        </w:rPr>
                      </w:pPr>
                    </w:p>
                    <w:p w14:paraId="6C500579" w14:textId="77777777" w:rsidR="00DE795B" w:rsidRDefault="00DE795B">
                      <w:pPr>
                        <w:rPr>
                          <w:sz w:val="18"/>
                        </w:rPr>
                      </w:pPr>
                    </w:p>
                    <w:p w14:paraId="54EEE034" w14:textId="77777777" w:rsidR="00DE795B" w:rsidRDefault="00DE795B">
                      <w:pPr>
                        <w:rPr>
                          <w:sz w:val="18"/>
                        </w:rPr>
                      </w:pPr>
                    </w:p>
                    <w:p w14:paraId="6B1BFE6F" w14:textId="52E4EDE5" w:rsidR="00DE795B" w:rsidRPr="00DE795B" w:rsidRDefault="00DE795B">
                      <w:pPr>
                        <w:rPr>
                          <w:sz w:val="16"/>
                        </w:rPr>
                      </w:pPr>
                      <w:r w:rsidRPr="00DE795B">
                        <w:rPr>
                          <w:sz w:val="16"/>
                        </w:rPr>
                        <w:t>(C)</w:t>
                      </w:r>
                    </w:p>
                    <w:p w14:paraId="61C6110A" w14:textId="77777777" w:rsidR="00DE795B" w:rsidRPr="00DE795B" w:rsidRDefault="00DE795B">
                      <w:pPr>
                        <w:rPr>
                          <w:sz w:val="16"/>
                        </w:rPr>
                      </w:pPr>
                    </w:p>
                    <w:p w14:paraId="068897EF" w14:textId="77777777" w:rsidR="00DE795B" w:rsidRPr="00DE795B" w:rsidRDefault="00DE795B">
                      <w:pPr>
                        <w:rPr>
                          <w:sz w:val="16"/>
                        </w:rPr>
                      </w:pPr>
                    </w:p>
                    <w:p w14:paraId="4139637F" w14:textId="4FE8CB75" w:rsidR="00DE795B" w:rsidRDefault="00DE795B">
                      <w:pPr>
                        <w:rPr>
                          <w:sz w:val="16"/>
                        </w:rPr>
                      </w:pPr>
                      <w:r w:rsidRPr="00DE795B">
                        <w:rPr>
                          <w:sz w:val="16"/>
                        </w:rPr>
                        <w:t>(C)</w:t>
                      </w:r>
                    </w:p>
                    <w:p w14:paraId="5AE54A3F" w14:textId="77777777" w:rsidR="00DE795B" w:rsidRDefault="00DE795B">
                      <w:pPr>
                        <w:rPr>
                          <w:sz w:val="16"/>
                        </w:rPr>
                      </w:pPr>
                    </w:p>
                    <w:p w14:paraId="295E31D3" w14:textId="77777777" w:rsidR="00DE795B" w:rsidRDefault="00DE795B">
                      <w:pPr>
                        <w:rPr>
                          <w:sz w:val="16"/>
                        </w:rPr>
                      </w:pPr>
                    </w:p>
                    <w:p w14:paraId="1DAA2473" w14:textId="77777777" w:rsidR="00DE795B" w:rsidRDefault="00DE795B">
                      <w:pPr>
                        <w:rPr>
                          <w:sz w:val="16"/>
                        </w:rPr>
                      </w:pPr>
                    </w:p>
                    <w:p w14:paraId="23451D7B" w14:textId="77777777" w:rsidR="00DE795B" w:rsidRDefault="00DE795B">
                      <w:pPr>
                        <w:rPr>
                          <w:sz w:val="16"/>
                        </w:rPr>
                      </w:pPr>
                    </w:p>
                    <w:p w14:paraId="2D88B906" w14:textId="77777777" w:rsidR="00DE795B" w:rsidRDefault="00DE795B">
                      <w:pPr>
                        <w:rPr>
                          <w:sz w:val="16"/>
                        </w:rPr>
                      </w:pPr>
                    </w:p>
                    <w:p w14:paraId="712EDDA3" w14:textId="77777777" w:rsidR="00DE795B" w:rsidRDefault="00DE795B">
                      <w:pPr>
                        <w:rPr>
                          <w:sz w:val="16"/>
                        </w:rPr>
                      </w:pPr>
                    </w:p>
                    <w:p w14:paraId="2DF9BAD7" w14:textId="77777777" w:rsidR="00DE795B" w:rsidRDefault="00DE795B">
                      <w:pPr>
                        <w:rPr>
                          <w:sz w:val="16"/>
                        </w:rPr>
                      </w:pPr>
                    </w:p>
                    <w:p w14:paraId="60819110" w14:textId="3A218C3B" w:rsidR="00DE795B" w:rsidRPr="00DE795B" w:rsidRDefault="00DE795B">
                      <w:pPr>
                        <w:rPr>
                          <w:sz w:val="16"/>
                        </w:rPr>
                      </w:pPr>
                      <w:r>
                        <w:rPr>
                          <w:sz w:val="16"/>
                        </w:rPr>
                        <w:t>(C)</w:t>
                      </w:r>
                    </w:p>
                  </w:txbxContent>
                </v:textbox>
              </v:shape>
            </w:pict>
          </mc:Fallback>
        </mc:AlternateContent>
      </w:r>
      <w:r w:rsidR="000423A5">
        <w:t>(continued)</w:t>
      </w:r>
    </w:p>
    <w:p w14:paraId="3F08F03A" w14:textId="77777777" w:rsidR="000423A5" w:rsidRDefault="000423A5">
      <w:pPr>
        <w:pStyle w:val="Memo"/>
        <w:widowControl w:val="0"/>
        <w:rPr>
          <w:sz w:val="16"/>
        </w:rPr>
      </w:pPr>
    </w:p>
    <w:p w14:paraId="3F08F03B" w14:textId="77777777" w:rsidR="000423A5" w:rsidRPr="000423A5" w:rsidRDefault="000423A5">
      <w:pPr>
        <w:widowControl w:val="0"/>
        <w:rPr>
          <w:sz w:val="20"/>
        </w:rPr>
      </w:pPr>
      <w:r w:rsidRPr="000423A5">
        <w:rPr>
          <w:b/>
          <w:sz w:val="20"/>
          <w:u w:val="single"/>
        </w:rPr>
        <w:t>BALANCING OF RECEIPTS AND DELIVERIES:</w:t>
      </w:r>
    </w:p>
    <w:p w14:paraId="0DC5EA09" w14:textId="77777777" w:rsidR="00DE795B" w:rsidRPr="00F70ED7" w:rsidRDefault="00DE795B" w:rsidP="00DE795B">
      <w:pPr>
        <w:widowControl w:val="0"/>
        <w:rPr>
          <w:sz w:val="19"/>
          <w:szCs w:val="19"/>
        </w:rPr>
      </w:pPr>
      <w:r w:rsidRPr="00F70ED7">
        <w:rPr>
          <w:sz w:val="19"/>
          <w:szCs w:val="19"/>
        </w:rPr>
        <w:t xml:space="preserve">Balancing of receipts and deliveries shall be accomplished on a daily basis to the extent possible. </w:t>
      </w:r>
    </w:p>
    <w:p w14:paraId="7CB00ED1" w14:textId="458DF5B5" w:rsidR="00DE795B" w:rsidRPr="00F70ED7" w:rsidRDefault="00DE795B" w:rsidP="00DE795B">
      <w:pPr>
        <w:widowControl w:val="0"/>
        <w:rPr>
          <w:b/>
          <w:i/>
          <w:sz w:val="19"/>
          <w:szCs w:val="19"/>
        </w:rPr>
      </w:pPr>
      <w:r>
        <w:rPr>
          <w:noProof/>
          <w:sz w:val="19"/>
          <w:szCs w:val="19"/>
        </w:rPr>
        <mc:AlternateContent>
          <mc:Choice Requires="wps">
            <w:drawing>
              <wp:anchor distT="0" distB="0" distL="114300" distR="114300" simplePos="0" relativeHeight="251660288" behindDoc="0" locked="0" layoutInCell="1" allowOverlap="1" wp14:anchorId="721806E1" wp14:editId="2C5AC99A">
                <wp:simplePos x="0" y="0"/>
                <wp:positionH relativeFrom="column">
                  <wp:posOffset>6225540</wp:posOffset>
                </wp:positionH>
                <wp:positionV relativeFrom="paragraph">
                  <wp:posOffset>288290</wp:posOffset>
                </wp:positionV>
                <wp:extent cx="0" cy="144780"/>
                <wp:effectExtent l="0" t="0" r="19050" b="26670"/>
                <wp:wrapNone/>
                <wp:docPr id="1" name="Straight Connector 1"/>
                <wp:cNvGraphicFramePr/>
                <a:graphic xmlns:a="http://schemas.openxmlformats.org/drawingml/2006/main">
                  <a:graphicData uri="http://schemas.microsoft.com/office/word/2010/wordprocessingShape">
                    <wps:wsp>
                      <wps:cNvCnPr/>
                      <wps:spPr>
                        <a:xfrm>
                          <a:off x="0" y="0"/>
                          <a:ext cx="0" cy="1447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0.2pt,22.7pt" to="490.2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" strokecolor="#4579b8 [3044]"/>
            </w:pict>
          </mc:Fallback>
        </mc:AlternateContent>
      </w:r>
      <w:r w:rsidRPr="00F70ED7">
        <w:rPr>
          <w:sz w:val="19"/>
          <w:szCs w:val="19"/>
        </w:rPr>
        <w:t xml:space="preserve">Cumulative Imbalances in receipts and deliveries will be carried over to the next Billing Month.   If a Customer's cumulative Imbalance in any Billing Month </w:t>
      </w:r>
      <w:r>
        <w:rPr>
          <w:sz w:val="19"/>
          <w:szCs w:val="19"/>
        </w:rPr>
        <w:t xml:space="preserve">during the period August through February </w:t>
      </w:r>
      <w:r w:rsidRPr="00F70ED7">
        <w:rPr>
          <w:sz w:val="19"/>
          <w:szCs w:val="19"/>
        </w:rPr>
        <w:t>is more than</w:t>
      </w:r>
      <w:r>
        <w:rPr>
          <w:sz w:val="19"/>
          <w:szCs w:val="19"/>
        </w:rPr>
        <w:t xml:space="preserve"> three percent (3%) above or below total Confirmed Nominations for that Billing Month, or if a Customer’s cumulative imbalance in any Billing Month during the period March through July is more than</w:t>
      </w:r>
      <w:r w:rsidRPr="00F70ED7">
        <w:rPr>
          <w:sz w:val="19"/>
          <w:szCs w:val="19"/>
        </w:rPr>
        <w:t xml:space="preserve"> five percent (5%) above or below total Confirmed Nominations for that Billing Month, such Customer will be notified by the fifteenth (15</w:t>
      </w:r>
      <w:r w:rsidRPr="00F70ED7">
        <w:rPr>
          <w:sz w:val="19"/>
          <w:szCs w:val="19"/>
          <w:vertAlign w:val="superscript"/>
        </w:rPr>
        <w:t>th</w:t>
      </w:r>
      <w:r w:rsidRPr="00F70ED7">
        <w:rPr>
          <w:sz w:val="19"/>
          <w:szCs w:val="19"/>
        </w:rPr>
        <w:t>) day of the following Billing Month that the Imbalance exceeds the allowed tolerance, and such Customer will receive a minimum of forty-five (45) non-restricted days (“Balancing Period”), which may or may not be consecutive, from the date of notification by the Company to eliminate the Imbalance.  A non-restricted day is any day where there is n</w:t>
      </w:r>
      <w:r>
        <w:rPr>
          <w:sz w:val="19"/>
          <w:szCs w:val="19"/>
        </w:rPr>
        <w:t>o Entitlement, Curtailment, or P</w:t>
      </w:r>
      <w:r w:rsidRPr="00F70ED7">
        <w:rPr>
          <w:sz w:val="19"/>
          <w:szCs w:val="19"/>
        </w:rPr>
        <w:t>re-emption Order in effect.</w:t>
      </w:r>
    </w:p>
    <w:p w14:paraId="093566EF" w14:textId="77777777" w:rsidR="00DE795B" w:rsidRPr="00F70ED7" w:rsidRDefault="00DE795B" w:rsidP="00DE795B">
      <w:pPr>
        <w:widowControl w:val="0"/>
        <w:rPr>
          <w:sz w:val="19"/>
          <w:szCs w:val="19"/>
        </w:rPr>
      </w:pPr>
    </w:p>
    <w:p w14:paraId="60BA8DCD" w14:textId="67B27303" w:rsidR="00DE795B" w:rsidRPr="00F70ED7" w:rsidRDefault="00DE795B" w:rsidP="00DE795B">
      <w:pPr>
        <w:widowControl w:val="0"/>
        <w:rPr>
          <w:sz w:val="19"/>
          <w:szCs w:val="19"/>
        </w:rPr>
      </w:pPr>
      <w:r w:rsidRPr="00F70ED7">
        <w:rPr>
          <w:sz w:val="19"/>
          <w:szCs w:val="19"/>
        </w:rPr>
        <w:t xml:space="preserve">If a Customer's cumulative Imbalance comes within the </w:t>
      </w:r>
      <w:r>
        <w:rPr>
          <w:sz w:val="19"/>
          <w:szCs w:val="19"/>
        </w:rPr>
        <w:t>applicable tolerance range as stated above,</w:t>
      </w:r>
      <w:bookmarkStart w:id="0" w:name="_GoBack"/>
      <w:bookmarkEnd w:id="0"/>
      <w:r>
        <w:rPr>
          <w:sz w:val="19"/>
          <w:szCs w:val="19"/>
        </w:rPr>
        <w:t xml:space="preserve"> </w:t>
      </w:r>
      <w:r w:rsidRPr="00F70ED7">
        <w:rPr>
          <w:sz w:val="19"/>
          <w:szCs w:val="19"/>
        </w:rPr>
        <w:t xml:space="preserve">or if the balance is </w:t>
      </w:r>
      <w:r>
        <w:rPr>
          <w:sz w:val="19"/>
          <w:szCs w:val="19"/>
        </w:rPr>
        <w:t>less than ten (10) therms</w:t>
      </w:r>
      <w:r w:rsidRPr="00F70ED7">
        <w:rPr>
          <w:sz w:val="19"/>
          <w:szCs w:val="19"/>
        </w:rPr>
        <w:t>, or the Imbalance has moved from negative to positive, or from positive to negative at the end of a Billing Month within a Balancing Period, that Balancing Period will end.</w:t>
      </w:r>
    </w:p>
    <w:p w14:paraId="3F08F03F" w14:textId="77777777" w:rsidR="000423A5" w:rsidRPr="000423A5" w:rsidRDefault="000423A5">
      <w:pPr>
        <w:widowControl w:val="0"/>
        <w:ind w:left="720" w:hanging="720"/>
        <w:rPr>
          <w:sz w:val="20"/>
        </w:rPr>
      </w:pPr>
    </w:p>
    <w:p w14:paraId="3F08F040" w14:textId="77777777" w:rsidR="00E31BA3" w:rsidRDefault="000423A5">
      <w:pPr>
        <w:pStyle w:val="BodyText"/>
        <w:rPr>
          <w:strike w:val="0"/>
          <w:spacing w:val="0"/>
        </w:rPr>
      </w:pPr>
      <w:r w:rsidRPr="000423A5">
        <w:rPr>
          <w:strike w:val="0"/>
          <w:spacing w:val="0"/>
        </w:rPr>
        <w:t xml:space="preserve">If </w:t>
      </w:r>
      <w:r w:rsidR="00E31BA3">
        <w:rPr>
          <w:strike w:val="0"/>
          <w:spacing w:val="0"/>
        </w:rPr>
        <w:t xml:space="preserve">by the end of the Balancing Period </w:t>
      </w:r>
      <w:r w:rsidRPr="000423A5">
        <w:rPr>
          <w:strike w:val="0"/>
          <w:spacing w:val="0"/>
        </w:rPr>
        <w:t xml:space="preserve">an Imbalance is not </w:t>
      </w:r>
      <w:r w:rsidR="00E31BA3">
        <w:rPr>
          <w:strike w:val="0"/>
          <w:spacing w:val="0"/>
        </w:rPr>
        <w:t xml:space="preserve">eliminated in a manner described above, </w:t>
      </w:r>
      <w:r w:rsidRPr="000423A5">
        <w:rPr>
          <w:strike w:val="0"/>
          <w:spacing w:val="0"/>
        </w:rPr>
        <w:t xml:space="preserve">Customer will be required to choose one of two options to clear the Imbalance.  </w:t>
      </w:r>
    </w:p>
    <w:p w14:paraId="3F08F041" w14:textId="77777777" w:rsidR="00E31BA3" w:rsidRDefault="00E31BA3">
      <w:pPr>
        <w:pStyle w:val="BodyText"/>
        <w:rPr>
          <w:strike w:val="0"/>
          <w:spacing w:val="0"/>
        </w:rPr>
      </w:pPr>
    </w:p>
    <w:p w14:paraId="3F08F042" w14:textId="77777777" w:rsidR="000423A5" w:rsidRPr="000423A5" w:rsidRDefault="00E31BA3">
      <w:pPr>
        <w:pStyle w:val="BodyText"/>
        <w:rPr>
          <w:strike w:val="0"/>
          <w:spacing w:val="0"/>
        </w:rPr>
      </w:pPr>
      <w:r>
        <w:rPr>
          <w:strike w:val="0"/>
          <w:spacing w:val="0"/>
          <w:u w:val="single"/>
        </w:rPr>
        <w:t>Option 1.</w:t>
      </w:r>
      <w:r>
        <w:rPr>
          <w:strike w:val="0"/>
          <w:spacing w:val="0"/>
        </w:rPr>
        <w:t xml:space="preserve">  P</w:t>
      </w:r>
      <w:r w:rsidR="000423A5" w:rsidRPr="000423A5">
        <w:rPr>
          <w:strike w:val="0"/>
          <w:spacing w:val="0"/>
        </w:rPr>
        <w:t xml:space="preserve">ay a Balancing charge of $1.00 per Therm on all Imbalance Therms </w:t>
      </w:r>
      <w:r w:rsidR="000423A5" w:rsidRPr="000423A5">
        <w:rPr>
          <w:strike w:val="0"/>
        </w:rPr>
        <w:t xml:space="preserve">and the Imbalance volumes will carry to the next Balancing Period.  </w:t>
      </w:r>
      <w:r w:rsidR="000423A5" w:rsidRPr="000423A5">
        <w:rPr>
          <w:strike w:val="0"/>
          <w:spacing w:val="0"/>
        </w:rPr>
        <w:t xml:space="preserve">The Imbalance charge will be </w:t>
      </w:r>
      <w:r>
        <w:rPr>
          <w:strike w:val="0"/>
          <w:spacing w:val="0"/>
        </w:rPr>
        <w:t xml:space="preserve">billed on the Customer’s next monthly bill and will be due and </w:t>
      </w:r>
      <w:r w:rsidR="000423A5" w:rsidRPr="000423A5">
        <w:rPr>
          <w:strike w:val="0"/>
          <w:spacing w:val="0"/>
        </w:rPr>
        <w:t>payable in addition to Customer's normal charges.</w:t>
      </w:r>
    </w:p>
    <w:p w14:paraId="3F08F043" w14:textId="77777777" w:rsidR="000423A5" w:rsidRPr="000423A5" w:rsidRDefault="000423A5">
      <w:pPr>
        <w:widowControl w:val="0"/>
        <w:ind w:left="720" w:hanging="720"/>
        <w:rPr>
          <w:sz w:val="20"/>
        </w:rPr>
      </w:pPr>
    </w:p>
    <w:p w14:paraId="3F08F044" w14:textId="77777777" w:rsidR="000423A5" w:rsidRPr="000423A5" w:rsidRDefault="00E31BA3">
      <w:pPr>
        <w:pStyle w:val="BodyText"/>
        <w:rPr>
          <w:strike w:val="0"/>
          <w:spacing w:val="0"/>
        </w:rPr>
      </w:pPr>
      <w:r>
        <w:rPr>
          <w:strike w:val="0"/>
          <w:u w:val="single"/>
        </w:rPr>
        <w:t>Option 2.</w:t>
      </w:r>
      <w:r>
        <w:rPr>
          <w:strike w:val="0"/>
        </w:rPr>
        <w:t xml:space="preserve">  B</w:t>
      </w:r>
      <w:r w:rsidR="000423A5" w:rsidRPr="000423A5">
        <w:rPr>
          <w:strike w:val="0"/>
        </w:rPr>
        <w:t xml:space="preserve">uy out the Imbalance.  If the Imbalance is negative, Customer may buy out the entire negative Imbalance volume by paying the Company a price per Therm that is the greater of: (a) the highest Monthly Incremental Cost of Gas calculated in accordance with Schedule 250 over the previous three (3) month period, or (b) 150% of the Company’s current Annual Sales WACOG.  If the Imbalance is positive, the Company will pay the Customer on all positive Imbalance volumes a price per Therm that is the lesser of: (a) the lowest Monthly Incremental Cost of Gas calculated in accordance with Schedule 250 over the previous three (3) month period, or (b) 50% of the Company’s current Annual Sales WACOG.  </w:t>
      </w:r>
    </w:p>
    <w:p w14:paraId="3F08F045" w14:textId="77777777" w:rsidR="000423A5" w:rsidRPr="000423A5" w:rsidRDefault="000423A5">
      <w:pPr>
        <w:widowControl w:val="0"/>
        <w:ind w:left="720" w:hanging="720"/>
        <w:rPr>
          <w:sz w:val="20"/>
        </w:rPr>
      </w:pPr>
    </w:p>
    <w:p w14:paraId="3F08F046" w14:textId="77777777" w:rsidR="000423A5" w:rsidRPr="000423A5" w:rsidRDefault="000423A5">
      <w:pPr>
        <w:widowControl w:val="0"/>
        <w:tabs>
          <w:tab w:val="center" w:pos="720"/>
        </w:tabs>
        <w:rPr>
          <w:sz w:val="20"/>
        </w:rPr>
      </w:pPr>
      <w:r w:rsidRPr="000423A5">
        <w:rPr>
          <w:sz w:val="20"/>
        </w:rPr>
        <w:t xml:space="preserve">Customer must notify the Company in writing </w:t>
      </w:r>
      <w:r w:rsidR="00450FC0">
        <w:rPr>
          <w:sz w:val="20"/>
        </w:rPr>
        <w:t>of its intent to exerc</w:t>
      </w:r>
      <w:r w:rsidR="00E31BA3">
        <w:rPr>
          <w:sz w:val="20"/>
        </w:rPr>
        <w:t xml:space="preserve">ise Option 2 </w:t>
      </w:r>
      <w:r w:rsidRPr="000423A5">
        <w:rPr>
          <w:sz w:val="20"/>
        </w:rPr>
        <w:t>not later than the fifteenth (15</w:t>
      </w:r>
      <w:r w:rsidRPr="000423A5">
        <w:rPr>
          <w:sz w:val="20"/>
          <w:vertAlign w:val="superscript"/>
        </w:rPr>
        <w:t>th</w:t>
      </w:r>
      <w:r w:rsidRPr="00E31BA3">
        <w:rPr>
          <w:sz w:val="20"/>
        </w:rPr>
        <w:t>)</w:t>
      </w:r>
      <w:r w:rsidRPr="000423A5">
        <w:rPr>
          <w:sz w:val="20"/>
        </w:rPr>
        <w:t xml:space="preserve"> day of </w:t>
      </w:r>
      <w:r w:rsidR="00E31BA3">
        <w:rPr>
          <w:sz w:val="20"/>
        </w:rPr>
        <w:t xml:space="preserve">the Billing Month in which imbalance charges would be assessed.  </w:t>
      </w:r>
      <w:r w:rsidRPr="000423A5">
        <w:rPr>
          <w:sz w:val="20"/>
        </w:rPr>
        <w:t xml:space="preserve">If a Customer exercises </w:t>
      </w:r>
      <w:r w:rsidR="00E31BA3">
        <w:rPr>
          <w:sz w:val="20"/>
        </w:rPr>
        <w:t>O</w:t>
      </w:r>
      <w:r w:rsidRPr="000423A5">
        <w:rPr>
          <w:sz w:val="20"/>
        </w:rPr>
        <w:t xml:space="preserve">ption </w:t>
      </w:r>
      <w:r w:rsidR="00E31BA3">
        <w:rPr>
          <w:sz w:val="20"/>
        </w:rPr>
        <w:t>2</w:t>
      </w:r>
      <w:r w:rsidRPr="000423A5">
        <w:rPr>
          <w:sz w:val="20"/>
        </w:rPr>
        <w:t xml:space="preserve"> in the month following the end of a Balancing Period, such Customer's cumulative Imbalance will be eliminated, but such Customer will be responsible for the payment of any Balancing charge assessed for the prior period.</w:t>
      </w:r>
    </w:p>
    <w:p w14:paraId="3F08F047" w14:textId="77777777" w:rsidR="000423A5" w:rsidRPr="000423A5" w:rsidRDefault="000423A5">
      <w:pPr>
        <w:widowControl w:val="0"/>
        <w:ind w:left="720" w:hanging="720"/>
        <w:rPr>
          <w:sz w:val="20"/>
        </w:rPr>
      </w:pPr>
    </w:p>
    <w:p w14:paraId="3F08F048" w14:textId="77777777" w:rsidR="000423A5" w:rsidRPr="000423A5" w:rsidRDefault="000423A5">
      <w:pPr>
        <w:widowControl w:val="0"/>
        <w:rPr>
          <w:sz w:val="20"/>
        </w:rPr>
      </w:pPr>
      <w:r w:rsidRPr="000423A5">
        <w:rPr>
          <w:sz w:val="20"/>
        </w:rPr>
        <w:t>Balancing gas is not available when Entitlement, Curtailment or Pre-emption has been ordered, except, during an Entitlement, to the extent of the Threshold Percentage tolerance levels.</w:t>
      </w:r>
    </w:p>
    <w:p w14:paraId="3F08F049" w14:textId="77777777" w:rsidR="000423A5" w:rsidRPr="000423A5" w:rsidRDefault="000423A5">
      <w:pPr>
        <w:widowControl w:val="0"/>
        <w:ind w:left="720" w:hanging="720"/>
        <w:rPr>
          <w:sz w:val="20"/>
        </w:rPr>
      </w:pPr>
    </w:p>
    <w:p w14:paraId="3F08F04A" w14:textId="77777777" w:rsidR="000423A5" w:rsidRPr="000423A5" w:rsidRDefault="000423A5">
      <w:pPr>
        <w:pStyle w:val="BodyText2"/>
        <w:rPr>
          <w:sz w:val="20"/>
        </w:rPr>
      </w:pPr>
      <w:r w:rsidRPr="000423A5">
        <w:rPr>
          <w:sz w:val="20"/>
        </w:rPr>
        <w:t>Imbalances incurred as a direct result of a meter error or malfunction shall be resolved on a case-by-case basis between the Company and the Customer.  In such an event, Customer shall notify the Company prior to purchasing Imbalance volumes from third party suppliers.  The Company shall not be responsible to Customer for any costs incurred should Customer fail to make such appropriate notification.</w:t>
      </w:r>
    </w:p>
    <w:p w14:paraId="3F08F04B" w14:textId="77777777" w:rsidR="000423A5" w:rsidRDefault="000423A5">
      <w:pPr>
        <w:widowControl w:val="0"/>
        <w:ind w:left="720" w:hanging="720"/>
        <w:rPr>
          <w:sz w:val="16"/>
        </w:rPr>
      </w:pPr>
    </w:p>
    <w:p w14:paraId="3F08F04C" w14:textId="77777777" w:rsidR="000423A5" w:rsidRDefault="000423A5">
      <w:pPr>
        <w:widowControl w:val="0"/>
        <w:ind w:left="720" w:hanging="720"/>
        <w:jc w:val="center"/>
        <w:rPr>
          <w:sz w:val="19"/>
        </w:rPr>
      </w:pPr>
      <w:r>
        <w:rPr>
          <w:sz w:val="19"/>
        </w:rPr>
        <w:t>(continue to Sheet T-5)</w:t>
      </w:r>
    </w:p>
    <w:sectPr w:rsidR="000423A5">
      <w:headerReference w:type="default" r:id="rId11"/>
      <w:footerReference w:type="default" r:id="rId12"/>
      <w:pgSz w:w="12240" w:h="15840" w:code="1"/>
      <w:pgMar w:top="720" w:right="1440" w:bottom="72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8F04F" w14:textId="77777777" w:rsidR="00165786" w:rsidRDefault="00165786">
      <w:r>
        <w:separator/>
      </w:r>
    </w:p>
  </w:endnote>
  <w:endnote w:type="continuationSeparator" w:id="0">
    <w:p w14:paraId="3F08F050" w14:textId="77777777" w:rsidR="00165786" w:rsidRDefault="0016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8F056" w14:textId="4B11755F" w:rsidR="00645493" w:rsidRDefault="00645493" w:rsidP="00920CF7">
    <w:pPr>
      <w:pStyle w:val="Footer"/>
      <w:tabs>
        <w:tab w:val="left" w:pos="6210"/>
      </w:tabs>
      <w:rPr>
        <w:sz w:val="22"/>
      </w:rPr>
    </w:pPr>
    <w:r>
      <w:rPr>
        <w:sz w:val="22"/>
      </w:rPr>
      <w:t xml:space="preserve">Issued </w:t>
    </w:r>
    <w:r w:rsidR="00DE795B">
      <w:rPr>
        <w:sz w:val="22"/>
      </w:rPr>
      <w:t>November 17, 2014</w:t>
    </w:r>
    <w:r w:rsidR="00920CF7">
      <w:rPr>
        <w:sz w:val="22"/>
      </w:rPr>
      <w:tab/>
    </w:r>
    <w:r w:rsidR="00920CF7">
      <w:rPr>
        <w:sz w:val="22"/>
      </w:rPr>
      <w:tab/>
    </w:r>
    <w:r>
      <w:rPr>
        <w:sz w:val="22"/>
      </w:rPr>
      <w:t>Effective with service on</w:t>
    </w:r>
  </w:p>
  <w:p w14:paraId="3F08F057" w14:textId="1B4B0192" w:rsidR="00645493" w:rsidRDefault="00645493" w:rsidP="00450FC0">
    <w:pPr>
      <w:pStyle w:val="Footer"/>
      <w:tabs>
        <w:tab w:val="left" w:pos="6210"/>
      </w:tabs>
      <w:rPr>
        <w:sz w:val="22"/>
      </w:rPr>
    </w:pPr>
    <w:r>
      <w:rPr>
        <w:sz w:val="22"/>
      </w:rPr>
      <w:t xml:space="preserve">NWN Advice No. WUTC </w:t>
    </w:r>
    <w:r w:rsidR="00DE795B">
      <w:rPr>
        <w:sz w:val="22"/>
      </w:rPr>
      <w:t>14-8</w:t>
    </w:r>
    <w:r>
      <w:rPr>
        <w:sz w:val="22"/>
      </w:rPr>
      <w:tab/>
    </w:r>
    <w:r>
      <w:rPr>
        <w:sz w:val="22"/>
      </w:rPr>
      <w:tab/>
      <w:t xml:space="preserve">and after </w:t>
    </w:r>
    <w:r w:rsidR="00DE795B">
      <w:rPr>
        <w:sz w:val="22"/>
      </w:rPr>
      <w:t>January 1, 2015</w:t>
    </w:r>
  </w:p>
  <w:p w14:paraId="3F08F058" w14:textId="77777777" w:rsidR="00645493" w:rsidRDefault="00645493">
    <w:pPr>
      <w:pStyle w:val="Footer"/>
      <w:pBdr>
        <w:bottom w:val="single" w:sz="6" w:space="1" w:color="auto"/>
      </w:pBdr>
      <w:rPr>
        <w:b/>
        <w:sz w:val="20"/>
      </w:rPr>
    </w:pPr>
  </w:p>
  <w:p w14:paraId="3F08F059" w14:textId="77777777" w:rsidR="00645493" w:rsidRDefault="00645493">
    <w:pPr>
      <w:pStyle w:val="Footer"/>
      <w:jc w:val="center"/>
      <w:rPr>
        <w:b/>
        <w:i/>
        <w:sz w:val="16"/>
      </w:rPr>
    </w:pPr>
    <w:r>
      <w:rPr>
        <w:b/>
        <w:i/>
        <w:sz w:val="16"/>
      </w:rPr>
      <w:t>Issued by:  NORTHWEST NATURAL GAS COMPANY</w:t>
    </w:r>
  </w:p>
  <w:p w14:paraId="3F08F05A" w14:textId="77777777" w:rsidR="00E31BA3" w:rsidRDefault="00E31BA3">
    <w:pPr>
      <w:pStyle w:val="Footer"/>
      <w:jc w:val="center"/>
      <w:rPr>
        <w:i/>
        <w:sz w:val="16"/>
      </w:rPr>
    </w:pPr>
    <w:r>
      <w:rPr>
        <w:i/>
        <w:sz w:val="16"/>
      </w:rPr>
      <w:t>d.b.a. NW Natural</w:t>
    </w:r>
  </w:p>
  <w:p w14:paraId="3F08F05B" w14:textId="77777777" w:rsidR="00645493" w:rsidRDefault="00645493">
    <w:pPr>
      <w:pStyle w:val="Footer"/>
      <w:jc w:val="center"/>
      <w:rPr>
        <w:i/>
        <w:sz w:val="16"/>
      </w:rPr>
    </w:pPr>
    <w:r>
      <w:rPr>
        <w:i/>
        <w:sz w:val="16"/>
      </w:rPr>
      <w:t xml:space="preserve">220 N.W. </w:t>
    </w:r>
    <w:smartTag w:uri="urn:schemas-microsoft-com:office:smarttags" w:element="Street">
      <w:smartTag w:uri="urn:schemas-microsoft-com:office:smarttags" w:element="address">
        <w:r>
          <w:rPr>
            <w:i/>
            <w:sz w:val="16"/>
          </w:rPr>
          <w:t>Second Avenue</w:t>
        </w:r>
      </w:smartTag>
    </w:smartTag>
  </w:p>
  <w:p w14:paraId="3F08F05C" w14:textId="77777777" w:rsidR="00645493" w:rsidRDefault="00645493">
    <w:pPr>
      <w:pStyle w:val="Footer"/>
      <w:jc w:val="center"/>
      <w:rPr>
        <w:sz w:val="16"/>
      </w:rPr>
    </w:pPr>
    <w:smartTag w:uri="urn:schemas-microsoft-com:office:smarttags" w:element="place">
      <w:smartTag w:uri="urn:schemas-microsoft-com:office:smarttags" w:element="City">
        <w:r>
          <w:rPr>
            <w:i/>
            <w:sz w:val="16"/>
          </w:rPr>
          <w:t>Portland</w:t>
        </w:r>
      </w:smartTag>
      <w:r>
        <w:rPr>
          <w:i/>
          <w:sz w:val="16"/>
        </w:rPr>
        <w:t xml:space="preserve">, </w:t>
      </w:r>
      <w:smartTag w:uri="urn:schemas-microsoft-com:office:smarttags" w:element="State">
        <w:r>
          <w:rPr>
            <w:i/>
            <w:sz w:val="16"/>
          </w:rPr>
          <w:t>Oregon</w:t>
        </w:r>
      </w:smartTag>
      <w:r>
        <w:rPr>
          <w:i/>
          <w:sz w:val="16"/>
        </w:rPr>
        <w:t xml:space="preserve">  </w:t>
      </w:r>
      <w:smartTag w:uri="urn:schemas-microsoft-com:office:smarttags" w:element="PostalCode">
        <w:r>
          <w:rPr>
            <w:i/>
            <w:sz w:val="16"/>
          </w:rPr>
          <w:t>97209-3991</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8F04D" w14:textId="77777777" w:rsidR="00165786" w:rsidRDefault="00165786">
      <w:r>
        <w:separator/>
      </w:r>
    </w:p>
  </w:footnote>
  <w:footnote w:type="continuationSeparator" w:id="0">
    <w:p w14:paraId="3F08F04E" w14:textId="77777777" w:rsidR="00165786" w:rsidRDefault="00165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8F051" w14:textId="77777777" w:rsidR="00645493" w:rsidRDefault="00645493">
    <w:pPr>
      <w:pStyle w:val="Header"/>
      <w:rPr>
        <w:b/>
        <w:sz w:val="28"/>
      </w:rPr>
    </w:pPr>
    <w:r>
      <w:rPr>
        <w:b/>
        <w:sz w:val="28"/>
      </w:rPr>
      <w:t>NORTHWEST NATURAL GAS COMPANY</w:t>
    </w:r>
  </w:p>
  <w:p w14:paraId="3F08F052" w14:textId="01B813B5" w:rsidR="00645493" w:rsidRDefault="00645493">
    <w:pPr>
      <w:pStyle w:val="Header"/>
      <w:rPr>
        <w:sz w:val="22"/>
      </w:rPr>
    </w:pPr>
    <w:r>
      <w:rPr>
        <w:sz w:val="22"/>
      </w:rPr>
      <w:t>WN U-6</w:t>
    </w:r>
    <w:r>
      <w:rPr>
        <w:sz w:val="22"/>
      </w:rPr>
      <w:tab/>
    </w:r>
    <w:r w:rsidR="00DE795B">
      <w:rPr>
        <w:sz w:val="22"/>
      </w:rPr>
      <w:t xml:space="preserve">Fourth </w:t>
    </w:r>
    <w:r>
      <w:rPr>
        <w:sz w:val="22"/>
      </w:rPr>
      <w:t>Revision of Sheet T.4</w:t>
    </w:r>
  </w:p>
  <w:p w14:paraId="3F08F053" w14:textId="1A74883E" w:rsidR="00645493" w:rsidRDefault="00645493">
    <w:pPr>
      <w:pStyle w:val="Header"/>
      <w:rPr>
        <w:sz w:val="22"/>
      </w:rPr>
    </w:pPr>
    <w:r>
      <w:rPr>
        <w:sz w:val="22"/>
      </w:rPr>
      <w:t xml:space="preserve">Cancels </w:t>
    </w:r>
    <w:r w:rsidR="00DE795B">
      <w:rPr>
        <w:sz w:val="22"/>
      </w:rPr>
      <w:t xml:space="preserve">Third </w:t>
    </w:r>
    <w:r>
      <w:rPr>
        <w:sz w:val="22"/>
      </w:rPr>
      <w:t>Revision of Sheet T.4</w:t>
    </w:r>
  </w:p>
  <w:p w14:paraId="3F08F054" w14:textId="77777777" w:rsidR="00645493" w:rsidRDefault="00645493">
    <w:pPr>
      <w:pStyle w:val="Header"/>
      <w:pBdr>
        <w:bottom w:val="double" w:sz="4" w:space="1" w:color="auto"/>
      </w:pBdr>
      <w:rPr>
        <w:sz w:val="20"/>
      </w:rPr>
    </w:pPr>
  </w:p>
  <w:p w14:paraId="3F08F055" w14:textId="77777777" w:rsidR="00645493" w:rsidRDefault="00645493">
    <w:pPr>
      <w:pStyle w:val="Header"/>
      <w:rPr>
        <w:strike/>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3A5"/>
    <w:rsid w:val="000423A5"/>
    <w:rsid w:val="00165786"/>
    <w:rsid w:val="001E43DA"/>
    <w:rsid w:val="002E72D9"/>
    <w:rsid w:val="00450FC0"/>
    <w:rsid w:val="00604060"/>
    <w:rsid w:val="006376CE"/>
    <w:rsid w:val="00645493"/>
    <w:rsid w:val="00663AEE"/>
    <w:rsid w:val="00920CF7"/>
    <w:rsid w:val="0093640C"/>
    <w:rsid w:val="00966487"/>
    <w:rsid w:val="00971862"/>
    <w:rsid w:val="009B4CB7"/>
    <w:rsid w:val="00A04596"/>
    <w:rsid w:val="00A64906"/>
    <w:rsid w:val="00BC6E2C"/>
    <w:rsid w:val="00BE1AFA"/>
    <w:rsid w:val="00C46F78"/>
    <w:rsid w:val="00DE795B"/>
    <w:rsid w:val="00E31BA3"/>
    <w:rsid w:val="00F50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F08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basedOn w:val="DefaultParagraphFont"/>
    <w:semiHidden/>
  </w:style>
  <w:style w:type="paragraph" w:styleId="BodyText">
    <w:name w:val="Body Text"/>
    <w:basedOn w:val="Normal"/>
    <w:pPr>
      <w:widowControl w:val="0"/>
    </w:pPr>
    <w:rPr>
      <w:strike/>
      <w:spacing w:val="-2"/>
      <w:sz w:val="20"/>
    </w:rPr>
  </w:style>
  <w:style w:type="paragraph" w:styleId="BodyText2">
    <w:name w:val="Body Text 2"/>
    <w:basedOn w:val="Normal"/>
    <w:pPr>
      <w:tabs>
        <w:tab w:val="left" w:pos="-720"/>
      </w:tabs>
      <w:suppressAutoHyphens/>
    </w:pPr>
    <w:rPr>
      <w:spacing w:val="-2"/>
      <w:sz w:val="18"/>
    </w:rPr>
  </w:style>
  <w:style w:type="paragraph" w:styleId="BalloonText">
    <w:name w:val="Balloon Text"/>
    <w:basedOn w:val="Normal"/>
    <w:semiHidden/>
    <w:rsid w:val="000423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basedOn w:val="DefaultParagraphFont"/>
    <w:semiHidden/>
  </w:style>
  <w:style w:type="paragraph" w:styleId="BodyText">
    <w:name w:val="Body Text"/>
    <w:basedOn w:val="Normal"/>
    <w:pPr>
      <w:widowControl w:val="0"/>
    </w:pPr>
    <w:rPr>
      <w:strike/>
      <w:spacing w:val="-2"/>
      <w:sz w:val="20"/>
    </w:rPr>
  </w:style>
  <w:style w:type="paragraph" w:styleId="BodyText2">
    <w:name w:val="Body Text 2"/>
    <w:basedOn w:val="Normal"/>
    <w:pPr>
      <w:tabs>
        <w:tab w:val="left" w:pos="-720"/>
      </w:tabs>
      <w:suppressAutoHyphens/>
    </w:pPr>
    <w:rPr>
      <w:spacing w:val="-2"/>
      <w:sz w:val="18"/>
    </w:rPr>
  </w:style>
  <w:style w:type="paragraph" w:styleId="BalloonText">
    <w:name w:val="Balloon Text"/>
    <w:basedOn w:val="Normal"/>
    <w:semiHidden/>
    <w:rsid w:val="000423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0D6692B6BAB64B9E1BF3432EAC0DA3" ma:contentTypeVersion="175" ma:contentTypeDescription="" ma:contentTypeScope="" ma:versionID="f056dee6abd152843dc4a00e606ec9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2014-11-17T08:00:00+00:00</OpenedDate>
    <Date1 xmlns="dc463f71-b30c-4ab2-9473-d307f9d35888">2014-11-17T08:00:00+00:00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143897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9698229-5790-4A76-8B98-8D7FE0E6DCEF}"/>
</file>

<file path=customXml/itemProps2.xml><?xml version="1.0" encoding="utf-8"?>
<ds:datastoreItem xmlns:ds="http://schemas.openxmlformats.org/officeDocument/2006/customXml" ds:itemID="{8F9E25F0-374E-48D2-8CBD-EA68521ED4C4}"/>
</file>

<file path=customXml/itemProps3.xml><?xml version="1.0" encoding="utf-8"?>
<ds:datastoreItem xmlns:ds="http://schemas.openxmlformats.org/officeDocument/2006/customXml" ds:itemID="{90169B1B-186A-4BBB-A15A-C782E50DE30E}"/>
</file>

<file path=customXml/itemProps4.xml><?xml version="1.0" encoding="utf-8"?>
<ds:datastoreItem xmlns:ds="http://schemas.openxmlformats.org/officeDocument/2006/customXml" ds:itemID="{F7E1E76E-5BEA-4DAF-A58D-8991D5A13FAC}"/>
</file>

<file path=docProps/app.xml><?xml version="1.0" encoding="utf-8"?>
<Properties xmlns="http://schemas.openxmlformats.org/officeDocument/2006/extended-properties" xmlns:vt="http://schemas.openxmlformats.org/officeDocument/2006/docPropsVTypes">
  <Template>Normal.dotm</Template>
  <TotalTime>2</TotalTime>
  <Pages>1</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GENERAL RULES AND REGULATIONS</vt:lpstr>
    </vt:vector>
  </TitlesOfParts>
  <Company>Northwest Natural Gas</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RULES AND REGULATIONS</dc:title>
  <dc:creator>kcm</dc:creator>
  <cp:lastModifiedBy>King, Onita</cp:lastModifiedBy>
  <cp:revision>3</cp:revision>
  <cp:lastPrinted>2009-08-03T17:42:00Z</cp:lastPrinted>
  <dcterms:created xsi:type="dcterms:W3CDTF">2014-06-26T17:53:00Z</dcterms:created>
  <dcterms:modified xsi:type="dcterms:W3CDTF">2014-11-14T22:49:00Z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c13bbd5d-422d-4dad-bea9-8370a7e75ac3</vt:lpwstr>
  </property>
  <property fmtid="{D5CDD505-2E9C-101B-9397-08002B2CF9AE}" pid="3" name="ContentTypeId">
    <vt:lpwstr>0x0101006E56B4D1795A2E4DB2F0B01679ED314A00DD0D6692B6BAB64B9E1BF3432EAC0DA3</vt:lpwstr>
  </property>
  <property fmtid="{D5CDD505-2E9C-101B-9397-08002B2CF9AE}" pid="4" name="_docset_NoMedatataSyncRequired">
    <vt:lpwstr>False</vt:lpwstr>
  </property>
</Properties>
</file>