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0E11F2">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0E11F2">
              <w:rPr>
                <w:rFonts w:ascii="Times New Roman" w:hAnsi="Times New Roman" w:cs="Times New Roman"/>
              </w:rPr>
              <w:t>65072</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0E11F2" w:rsidRDefault="000E11F2" w:rsidP="00456892">
            <w:pPr>
              <w:pStyle w:val="Heading2"/>
              <w:rPr>
                <w:rFonts w:ascii="Times New Roman" w:hAnsi="Times New Roman" w:cs="Times New Roman"/>
              </w:rPr>
            </w:pPr>
            <w:r>
              <w:rPr>
                <w:rFonts w:ascii="Times New Roman" w:hAnsi="Times New Roman" w:cs="Times New Roman"/>
              </w:rPr>
              <w:t>BHUPINDER SINGH BRAR</w:t>
            </w:r>
            <w:r w:rsidR="00CE4152" w:rsidRPr="009D2FAA">
              <w:rPr>
                <w:rFonts w:ascii="Times New Roman" w:hAnsi="Times New Roman" w:cs="Times New Roman"/>
              </w:rPr>
              <w:t xml:space="preserve">, </w:t>
            </w:r>
          </w:p>
          <w:p w:rsidR="00CE4152" w:rsidRPr="009D2FAA" w:rsidRDefault="000E11F2"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BRAR AIRPORT TOWN CAR SERVICE,</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D867CB">
            <w:pPr>
              <w:tabs>
                <w:tab w:val="center" w:pos="4680"/>
              </w:tabs>
              <w:rPr>
                <w:rFonts w:ascii="Times New Roman" w:hAnsi="Times New Roman"/>
              </w:rPr>
            </w:pPr>
            <w:r w:rsidRPr="009D2FAA">
              <w:rPr>
                <w:rFonts w:ascii="Times New Roman" w:hAnsi="Times New Roman"/>
              </w:rPr>
              <w:t xml:space="preserve">. . . . . . . . . . . . . . . . . . . . . . . . . . . . . . . . . .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0E11F2" w:rsidRDefault="00E40041" w:rsidP="00890A4B">
            <w:pPr>
              <w:tabs>
                <w:tab w:val="center" w:pos="4680"/>
              </w:tabs>
              <w:rPr>
                <w:rFonts w:ascii="Times New Roman" w:hAnsi="Times New Roman"/>
              </w:rPr>
            </w:pPr>
            <w:r w:rsidRPr="009D2FAA">
              <w:rPr>
                <w:rFonts w:ascii="Times New Roman" w:hAnsi="Times New Roman"/>
              </w:rPr>
              <w:t>)</w:t>
            </w:r>
          </w:p>
          <w:p w:rsidR="000E11F2" w:rsidRDefault="000E11F2" w:rsidP="00890A4B">
            <w:pPr>
              <w:tabs>
                <w:tab w:val="center" w:pos="4680"/>
              </w:tabs>
              <w:rPr>
                <w:rFonts w:ascii="Times New Roman" w:hAnsi="Times New Roman"/>
              </w:rPr>
            </w:pPr>
            <w:r>
              <w:rPr>
                <w:rFonts w:ascii="Times New Roman" w:hAnsi="Times New Roman"/>
              </w:rPr>
              <w:t>)</w:t>
            </w:r>
          </w:p>
          <w:p w:rsidR="005562E7" w:rsidRPr="009D2FAA" w:rsidRDefault="000E11F2"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0E11F2">
              <w:rPr>
                <w:rFonts w:ascii="Times New Roman" w:hAnsi="Times New Roman"/>
              </w:rPr>
              <w:t>141316</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0E11F2">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0E11F2">
        <w:rPr>
          <w:rFonts w:ascii="Times New Roman" w:hAnsi="Times New Roman"/>
        </w:rPr>
        <w:t>Commission</w:t>
      </w:r>
      <w:r w:rsidR="000312D4" w:rsidRPr="009D2FAA">
        <w:rPr>
          <w:rFonts w:ascii="Times New Roman" w:hAnsi="Times New Roman"/>
        </w:rPr>
        <w:t xml:space="preserve"> (</w:t>
      </w:r>
      <w:r w:rsidR="000E11F2">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0E11F2">
        <w:rPr>
          <w:rFonts w:ascii="Times New Roman" w:hAnsi="Times New Roman"/>
        </w:rPr>
        <w:t>May 8, 2014</w:t>
      </w:r>
      <w:r w:rsidR="00CE4152" w:rsidRPr="009D2FAA">
        <w:rPr>
          <w:rFonts w:ascii="Times New Roman" w:hAnsi="Times New Roman"/>
        </w:rPr>
        <w:t xml:space="preserve">, </w:t>
      </w:r>
      <w:r w:rsidRPr="009D2FAA">
        <w:rPr>
          <w:rFonts w:ascii="Times New Roman" w:hAnsi="Times New Roman"/>
        </w:rPr>
        <w:t xml:space="preserve">the </w:t>
      </w:r>
      <w:r w:rsidR="000E11F2">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0E11F2">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0E11F2">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bookmarkStart w:id="1" w:name="_GoBack"/>
      <w:bookmarkEnd w:id="1"/>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0E11F2">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6815FA">
      <w:pPr>
        <w:ind w:left="720"/>
        <w:rPr>
          <w:rFonts w:ascii="Times New Roman" w:hAnsi="Times New Roman"/>
        </w:rPr>
      </w:pPr>
    </w:p>
    <w:p w:rsidR="00A92103" w:rsidRPr="009D2FAA" w:rsidRDefault="00A92103"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proofErr w:type="spellStart"/>
      <w:r w:rsidR="000E11F2">
        <w:rPr>
          <w:rFonts w:ascii="Times New Roman" w:hAnsi="Times New Roman"/>
        </w:rPr>
        <w:t>Bhupinder</w:t>
      </w:r>
      <w:proofErr w:type="spellEnd"/>
      <w:r w:rsidR="000E11F2">
        <w:rPr>
          <w:rFonts w:ascii="Times New Roman" w:hAnsi="Times New Roman"/>
        </w:rPr>
        <w:t xml:space="preserve"> Singh </w:t>
      </w:r>
      <w:proofErr w:type="spellStart"/>
      <w:r w:rsidR="000E11F2">
        <w:rPr>
          <w:rFonts w:ascii="Times New Roman" w:hAnsi="Times New Roman"/>
        </w:rPr>
        <w:t>Brar</w:t>
      </w:r>
      <w:proofErr w:type="spellEnd"/>
      <w:r w:rsidR="00CE4152" w:rsidRPr="009D2FAA">
        <w:rPr>
          <w:rFonts w:ascii="Times New Roman" w:hAnsi="Times New Roman"/>
        </w:rPr>
        <w:t xml:space="preserve">, </w:t>
      </w:r>
      <w:r w:rsidR="000E11F2">
        <w:rPr>
          <w:rFonts w:ascii="Times New Roman" w:hAnsi="Times New Roman"/>
        </w:rPr>
        <w:t xml:space="preserve">d/b/a </w:t>
      </w:r>
      <w:proofErr w:type="spellStart"/>
      <w:r w:rsidR="000E11F2">
        <w:rPr>
          <w:rFonts w:ascii="Times New Roman" w:hAnsi="Times New Roman"/>
        </w:rPr>
        <w:t>Brar</w:t>
      </w:r>
      <w:proofErr w:type="spellEnd"/>
      <w:r w:rsidR="000E11F2">
        <w:rPr>
          <w:rFonts w:ascii="Times New Roman" w:hAnsi="Times New Roman"/>
        </w:rPr>
        <w:t xml:space="preserve"> Airport Town Car Service,</w:t>
      </w:r>
      <w:r w:rsidR="00CE4152" w:rsidRPr="009D2FAA">
        <w:rPr>
          <w:rFonts w:ascii="Times New Roman" w:hAnsi="Times New Roman"/>
        </w:rPr>
        <w:t xml:space="preserve"> </w:t>
      </w:r>
      <w:r w:rsidR="00B53743" w:rsidRPr="009D2FAA">
        <w:rPr>
          <w:rFonts w:ascii="Times New Roman" w:hAnsi="Times New Roman"/>
        </w:rPr>
        <w:t>(</w:t>
      </w:r>
      <w:proofErr w:type="spellStart"/>
      <w:r w:rsidR="000E11F2">
        <w:rPr>
          <w:rFonts w:ascii="Times New Roman" w:hAnsi="Times New Roman"/>
        </w:rPr>
        <w:t>Brar</w:t>
      </w:r>
      <w:proofErr w:type="spellEnd"/>
      <w:r w:rsidR="000E11F2">
        <w:rPr>
          <w:rFonts w:ascii="Times New Roman" w:hAnsi="Times New Roman"/>
        </w:rPr>
        <w:t xml:space="preserve"> Airport Town Car Service</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0E11F2">
        <w:rPr>
          <w:rFonts w:ascii="Times New Roman" w:hAnsi="Times New Roman"/>
        </w:rPr>
        <w:t>65072</w:t>
      </w:r>
      <w:r w:rsidR="000312D4" w:rsidRPr="009D2FAA">
        <w:rPr>
          <w:rFonts w:ascii="Times New Roman" w:hAnsi="Times New Roman"/>
        </w:rPr>
        <w:t>.</w:t>
      </w:r>
    </w:p>
    <w:p w:rsidR="00A92103" w:rsidRPr="009D2FAA" w:rsidRDefault="00A92103" w:rsidP="00A92103">
      <w:pPr>
        <w:pStyle w:val="ListParagraph"/>
        <w:rPr>
          <w:rFonts w:ascii="Times New Roman" w:hAnsi="Times New Roman"/>
        </w:rPr>
      </w:pPr>
    </w:p>
    <w:p w:rsidR="000312D4" w:rsidRPr="009D2FAA" w:rsidRDefault="00A92103"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0E11F2">
        <w:rPr>
          <w:rFonts w:ascii="Times New Roman" w:hAnsi="Times New Roman"/>
        </w:rPr>
        <w:t>May 8,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0E11F2">
        <w:rPr>
          <w:rFonts w:ascii="Times New Roman" w:hAnsi="Times New Roman"/>
        </w:rPr>
        <w:t>Commission</w:t>
      </w:r>
      <w:r w:rsidR="000312D4" w:rsidRPr="009D2FAA">
        <w:rPr>
          <w:rFonts w:ascii="Times New Roman" w:hAnsi="Times New Roman"/>
        </w:rPr>
        <w:t xml:space="preserve"> received notice of insurance cancellation </w:t>
      </w:r>
      <w:r w:rsidR="000312D4" w:rsidRPr="009D2FAA">
        <w:rPr>
          <w:rFonts w:ascii="Times New Roman" w:hAnsi="Times New Roman"/>
        </w:rPr>
        <w:lastRenderedPageBreak/>
        <w:t>related to</w:t>
      </w:r>
      <w:r w:rsidR="00FF692F" w:rsidRPr="009D2FAA">
        <w:rPr>
          <w:rFonts w:ascii="Times New Roman" w:hAnsi="Times New Roman"/>
        </w:rPr>
        <w:t xml:space="preserve"> </w:t>
      </w:r>
      <w:proofErr w:type="spellStart"/>
      <w:r w:rsidR="000E11F2">
        <w:rPr>
          <w:rFonts w:ascii="Times New Roman" w:hAnsi="Times New Roman"/>
        </w:rPr>
        <w:t>Brar</w:t>
      </w:r>
      <w:proofErr w:type="spellEnd"/>
      <w:r w:rsidR="000E11F2">
        <w:rPr>
          <w:rFonts w:ascii="Times New Roman" w:hAnsi="Times New Roman"/>
        </w:rPr>
        <w:t xml:space="preserve"> Airport Town Car Service</w:t>
      </w:r>
      <w:r w:rsidR="00B00871" w:rsidRPr="009D2FAA">
        <w:rPr>
          <w:rFonts w:ascii="Times New Roman" w:hAnsi="Times New Roman"/>
        </w:rPr>
        <w:t xml:space="preserve"> </w:t>
      </w:r>
      <w:r w:rsidR="000312D4" w:rsidRPr="009D2FAA">
        <w:rPr>
          <w:rFonts w:ascii="Times New Roman" w:hAnsi="Times New Roman"/>
        </w:rPr>
        <w:t xml:space="preserve">effective </w:t>
      </w:r>
      <w:r w:rsidR="000E11F2">
        <w:rPr>
          <w:rFonts w:ascii="Times New Roman" w:hAnsi="Times New Roman"/>
        </w:rPr>
        <w:t>June 23, 2014</w:t>
      </w:r>
      <w:r w:rsidR="00CE4152" w:rsidRPr="009D2FAA">
        <w:rPr>
          <w:rFonts w:ascii="Times New Roman" w:hAnsi="Times New Roman"/>
        </w:rPr>
        <w:t>.</w:t>
      </w:r>
    </w:p>
    <w:p w:rsidR="000312D4" w:rsidRPr="009D2FAA" w:rsidRDefault="000312D4" w:rsidP="00680219">
      <w:pPr>
        <w:ind w:left="720"/>
        <w:rPr>
          <w:rFonts w:ascii="Times New Roman" w:hAnsi="Times New Roman"/>
        </w:rPr>
      </w:pPr>
    </w:p>
    <w:p w:rsidR="00F3035A" w:rsidRDefault="00680219"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0312D4" w:rsidRPr="009D2FAA">
        <w:rPr>
          <w:rFonts w:ascii="Times New Roman" w:hAnsi="Times New Roman"/>
        </w:rPr>
        <w:t xml:space="preserve">The </w:t>
      </w:r>
      <w:r w:rsidR="000E11F2">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F3035A">
      <w:pPr>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6815FA">
      <w:pPr>
        <w:ind w:left="720"/>
        <w:rPr>
          <w:rFonts w:ascii="Times New Roman" w:hAnsi="Times New Roman"/>
        </w:rPr>
      </w:pPr>
    </w:p>
    <w:p w:rsidR="000312D4" w:rsidRPr="009D2FAA" w:rsidRDefault="00680219"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0E11F2">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0E11F2">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0E11F2" w:rsidRDefault="00680219"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E10B4F" w:rsidRPr="009D2FAA">
        <w:rPr>
          <w:rFonts w:ascii="Times New Roman" w:hAnsi="Times New Roman"/>
        </w:rPr>
        <w:t>Certificate CH</w:t>
      </w:r>
      <w:r w:rsidR="00CF677F" w:rsidRPr="009D2FAA">
        <w:rPr>
          <w:rFonts w:ascii="Times New Roman" w:hAnsi="Times New Roman"/>
        </w:rPr>
        <w:t>-</w:t>
      </w:r>
      <w:r w:rsidR="000E11F2">
        <w:rPr>
          <w:rFonts w:ascii="Times New Roman" w:hAnsi="Times New Roman"/>
        </w:rPr>
        <w:t>65072</w:t>
      </w:r>
      <w:r w:rsidR="00E10B4F" w:rsidRPr="009D2FAA">
        <w:rPr>
          <w:rFonts w:ascii="Times New Roman" w:hAnsi="Times New Roman"/>
        </w:rPr>
        <w:t>, held by</w:t>
      </w:r>
      <w:r w:rsidR="003926A7">
        <w:rPr>
          <w:rFonts w:ascii="Times New Roman" w:hAnsi="Times New Roman"/>
        </w:rPr>
        <w:t xml:space="preserve"> </w:t>
      </w:r>
      <w:proofErr w:type="spellStart"/>
      <w:r w:rsidR="000E11F2">
        <w:rPr>
          <w:rFonts w:ascii="Times New Roman" w:hAnsi="Times New Roman"/>
        </w:rPr>
        <w:t>Bhupinder</w:t>
      </w:r>
      <w:proofErr w:type="spellEnd"/>
      <w:r w:rsidR="000E11F2">
        <w:rPr>
          <w:rFonts w:ascii="Times New Roman" w:hAnsi="Times New Roman"/>
        </w:rPr>
        <w:t xml:space="preserve"> Singh </w:t>
      </w:r>
      <w:proofErr w:type="spellStart"/>
      <w:r w:rsidR="000E11F2">
        <w:rPr>
          <w:rFonts w:ascii="Times New Roman" w:hAnsi="Times New Roman"/>
        </w:rPr>
        <w:t>Brar</w:t>
      </w:r>
      <w:proofErr w:type="spellEnd"/>
      <w:r w:rsidR="00E10B4F" w:rsidRPr="009D2FAA">
        <w:rPr>
          <w:rFonts w:ascii="Times New Roman" w:hAnsi="Times New Roman"/>
        </w:rPr>
        <w:t xml:space="preserve">, </w:t>
      </w:r>
      <w:r w:rsidR="000E11F2">
        <w:rPr>
          <w:rFonts w:ascii="Times New Roman" w:hAnsi="Times New Roman"/>
        </w:rPr>
        <w:t xml:space="preserve">d/b/a </w:t>
      </w:r>
      <w:proofErr w:type="spellStart"/>
      <w:r w:rsidR="000E11F2">
        <w:rPr>
          <w:rFonts w:ascii="Times New Roman" w:hAnsi="Times New Roman"/>
        </w:rPr>
        <w:t>Brar</w:t>
      </w:r>
      <w:proofErr w:type="spellEnd"/>
      <w:r w:rsidR="000E11F2">
        <w:rPr>
          <w:rFonts w:ascii="Times New Roman" w:hAnsi="Times New Roman"/>
        </w:rPr>
        <w:t xml:space="preserve"> Airport Town Car Service,</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0E11F2">
        <w:rPr>
          <w:rFonts w:ascii="Times New Roman" w:hAnsi="Times New Roman"/>
        </w:rPr>
        <w:t>June 23, 2014</w:t>
      </w:r>
      <w:r w:rsidR="00E10B4F" w:rsidRPr="000E11F2">
        <w:rPr>
          <w:rFonts w:ascii="Times New Roman" w:hAnsi="Times New Roman"/>
        </w:rPr>
        <w:t xml:space="preserve">.  </w:t>
      </w:r>
    </w:p>
    <w:p w:rsidR="000312D4" w:rsidRPr="009D2FAA" w:rsidRDefault="000312D4" w:rsidP="006815FA">
      <w:pPr>
        <w:ind w:left="720"/>
        <w:rPr>
          <w:rFonts w:ascii="Times New Roman" w:hAnsi="Times New Roman"/>
        </w:rPr>
      </w:pPr>
    </w:p>
    <w:p w:rsidR="000312D4" w:rsidRPr="009D2FAA" w:rsidRDefault="00680219"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proofErr w:type="spellStart"/>
      <w:r w:rsidR="000E11F2">
        <w:rPr>
          <w:rFonts w:ascii="Times New Roman" w:hAnsi="Times New Roman"/>
        </w:rPr>
        <w:t>Bhupinder</w:t>
      </w:r>
      <w:proofErr w:type="spellEnd"/>
      <w:r w:rsidR="000E11F2">
        <w:rPr>
          <w:rFonts w:ascii="Times New Roman" w:hAnsi="Times New Roman"/>
        </w:rPr>
        <w:t xml:space="preserve"> Singh </w:t>
      </w:r>
      <w:proofErr w:type="spellStart"/>
      <w:r w:rsidR="000E11F2">
        <w:rPr>
          <w:rFonts w:ascii="Times New Roman" w:hAnsi="Times New Roman"/>
        </w:rPr>
        <w:t>Brar</w:t>
      </w:r>
      <w:proofErr w:type="spellEnd"/>
      <w:r w:rsidR="00E10B4F" w:rsidRPr="009D2FAA">
        <w:rPr>
          <w:rFonts w:ascii="Times New Roman" w:hAnsi="Times New Roman"/>
        </w:rPr>
        <w:t xml:space="preserve">, </w:t>
      </w:r>
      <w:r w:rsidR="000E11F2">
        <w:rPr>
          <w:rFonts w:ascii="Times New Roman" w:hAnsi="Times New Roman"/>
        </w:rPr>
        <w:t xml:space="preserve">d/b/a </w:t>
      </w:r>
      <w:proofErr w:type="spellStart"/>
      <w:r w:rsidR="000E11F2">
        <w:rPr>
          <w:rFonts w:ascii="Times New Roman" w:hAnsi="Times New Roman"/>
        </w:rPr>
        <w:t>Brar</w:t>
      </w:r>
      <w:proofErr w:type="spellEnd"/>
      <w:r w:rsidR="000E11F2">
        <w:rPr>
          <w:rFonts w:ascii="Times New Roman" w:hAnsi="Times New Roman"/>
        </w:rPr>
        <w:t xml:space="preserve"> Airport Town Car Service,</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0E11F2">
        <w:rPr>
          <w:rFonts w:ascii="Times New Roman" w:hAnsi="Times New Roman"/>
        </w:rPr>
        <w:t>65072</w:t>
      </w:r>
      <w:r w:rsidR="000312D4" w:rsidRPr="009D2FAA">
        <w:rPr>
          <w:rFonts w:ascii="Times New Roman" w:hAnsi="Times New Roman"/>
        </w:rPr>
        <w:t xml:space="preserve"> until the </w:t>
      </w:r>
      <w:r w:rsidR="000E11F2">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6815FA">
      <w:pPr>
        <w:ind w:left="720"/>
        <w:rPr>
          <w:rFonts w:ascii="Times New Roman" w:hAnsi="Times New Roman"/>
        </w:rPr>
      </w:pPr>
    </w:p>
    <w:p w:rsidR="000312D4" w:rsidRPr="009D2FAA" w:rsidRDefault="00680219"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0E11F2">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0E11F2">
        <w:rPr>
          <w:rFonts w:ascii="Times New Roman" w:hAnsi="Times New Roman"/>
        </w:rPr>
        <w:t>65072</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6815FA">
      <w:pPr>
        <w:ind w:left="720"/>
        <w:rPr>
          <w:rFonts w:ascii="Times New Roman" w:hAnsi="Times New Roman"/>
        </w:rPr>
      </w:pPr>
    </w:p>
    <w:p w:rsidR="000312D4" w:rsidRPr="009D2FAA" w:rsidRDefault="00680219" w:rsidP="00D867CB">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proofErr w:type="spellStart"/>
      <w:r w:rsidR="000E11F2">
        <w:rPr>
          <w:rFonts w:ascii="Times New Roman" w:hAnsi="Times New Roman"/>
        </w:rPr>
        <w:t>Bhupinder</w:t>
      </w:r>
      <w:proofErr w:type="spellEnd"/>
      <w:r w:rsidR="000E11F2">
        <w:rPr>
          <w:rFonts w:ascii="Times New Roman" w:hAnsi="Times New Roman"/>
        </w:rPr>
        <w:t xml:space="preserve"> Singh </w:t>
      </w:r>
      <w:proofErr w:type="spellStart"/>
      <w:r w:rsidR="000E11F2">
        <w:rPr>
          <w:rFonts w:ascii="Times New Roman" w:hAnsi="Times New Roman"/>
        </w:rPr>
        <w:t>Brar</w:t>
      </w:r>
      <w:proofErr w:type="spellEnd"/>
      <w:r w:rsidR="00E10B4F" w:rsidRPr="009D2FAA">
        <w:rPr>
          <w:rFonts w:ascii="Times New Roman" w:hAnsi="Times New Roman"/>
        </w:rPr>
        <w:t xml:space="preserve">, </w:t>
      </w:r>
      <w:r w:rsidR="000E11F2">
        <w:rPr>
          <w:rFonts w:ascii="Times New Roman" w:hAnsi="Times New Roman"/>
        </w:rPr>
        <w:t xml:space="preserve">d/b/a </w:t>
      </w:r>
      <w:proofErr w:type="spellStart"/>
      <w:r w:rsidR="000E11F2">
        <w:rPr>
          <w:rFonts w:ascii="Times New Roman" w:hAnsi="Times New Roman"/>
        </w:rPr>
        <w:t>Brar</w:t>
      </w:r>
      <w:proofErr w:type="spellEnd"/>
      <w:r w:rsidR="000E11F2">
        <w:rPr>
          <w:rFonts w:ascii="Times New Roman" w:hAnsi="Times New Roman"/>
        </w:rPr>
        <w:t xml:space="preserve"> Airport Town Car Service,</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0E11F2">
        <w:rPr>
          <w:rFonts w:ascii="Times New Roman" w:hAnsi="Times New Roman"/>
        </w:rPr>
        <w:t>65072</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0E11F2">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0E11F2">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0E11F2">
        <w:rPr>
          <w:rFonts w:ascii="Times New Roman" w:hAnsi="Times New Roman"/>
        </w:rPr>
        <w:t>June 23,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0E11F2">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0E11F2">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0E11F2">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0E11F2">
        <w:rPr>
          <w:rFonts w:ascii="Times New Roman" w:hAnsi="Times New Roman"/>
        </w:rPr>
        <w:t>Commission</w:t>
      </w:r>
      <w:r w:rsidR="00EF1AB5" w:rsidRPr="009D2FAA">
        <w:rPr>
          <w:rFonts w:ascii="Times New Roman" w:hAnsi="Times New Roman"/>
        </w:rPr>
        <w:t xml:space="preserve"> review of this decision.  You must file a request for </w:t>
      </w:r>
      <w:r w:rsidR="000E11F2">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0E11F2">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0E11F2">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0E11F2">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0E11F2">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0E11F2">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F86" w:rsidRDefault="00DC1F86">
      <w:r>
        <w:separator/>
      </w:r>
    </w:p>
  </w:endnote>
  <w:endnote w:type="continuationSeparator" w:id="0">
    <w:p w:rsidR="00DC1F86" w:rsidRDefault="00DC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F2" w:rsidRDefault="000E1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F2" w:rsidRDefault="000E1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F2" w:rsidRDefault="000E1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F86" w:rsidRDefault="00DC1F86">
      <w:r>
        <w:separator/>
      </w:r>
    </w:p>
  </w:footnote>
  <w:footnote w:type="continuationSeparator" w:id="0">
    <w:p w:rsidR="00DC1F86" w:rsidRDefault="00DC1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1F2" w:rsidRDefault="000E1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0E11F2" w:rsidRPr="000E11F2">
      <w:rPr>
        <w:rFonts w:ascii="Times New Roman" w:hAnsi="Times New Roman"/>
        <w:b/>
        <w:sz w:val="20"/>
        <w:szCs w:val="20"/>
      </w:rPr>
      <w:t>141316</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D867CB">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0E11F2" w:rsidRPr="000E11F2">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F2"/>
    <w:rsid w:val="00004855"/>
    <w:rsid w:val="00011F20"/>
    <w:rsid w:val="00021901"/>
    <w:rsid w:val="0002697E"/>
    <w:rsid w:val="000312D4"/>
    <w:rsid w:val="00074D36"/>
    <w:rsid w:val="000A7EAF"/>
    <w:rsid w:val="000C518B"/>
    <w:rsid w:val="000C5F4B"/>
    <w:rsid w:val="000C6AE0"/>
    <w:rsid w:val="000D77AC"/>
    <w:rsid w:val="000E11F2"/>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858DE"/>
    <w:rsid w:val="00D867CB"/>
    <w:rsid w:val="00D90D14"/>
    <w:rsid w:val="00D919CD"/>
    <w:rsid w:val="00DB42B2"/>
    <w:rsid w:val="00DC1F86"/>
    <w:rsid w:val="00DF56FE"/>
    <w:rsid w:val="00E05DF8"/>
    <w:rsid w:val="00E10B4F"/>
    <w:rsid w:val="00E140A5"/>
    <w:rsid w:val="00E174BA"/>
    <w:rsid w:val="00E40041"/>
    <w:rsid w:val="00E43F30"/>
    <w:rsid w:val="00E443CA"/>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5E235F-B640-4951-9D39-8040CF4B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2014-06-23T07:00:00+00:00</OpenedDate>
    <Date1 xmlns="dc463f71-b30c-4ab2-9473-d307f9d35888">2014-06-23T07:00:00+00:00</Date1>
    <IsDocumentOrder xmlns="dc463f71-b30c-4ab2-9473-d307f9d35888">true</IsDocumentOrder>
    <IsHighlyConfidential xmlns="dc463f71-b30c-4ab2-9473-d307f9d35888">false</IsHighlyConfidential>
    <CaseCompanyNames xmlns="dc463f71-b30c-4ab2-9473-d307f9d35888">Brar, Bhupinder Singh</CaseCompanyNames>
    <DocketNumber xmlns="dc463f71-b30c-4ab2-9473-d307f9d35888">141316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947D393B7D844D986075087FB00DB6" ma:contentTypeVersion="175" ma:contentTypeDescription="" ma:contentTypeScope="" ma:versionID="81c1c978b302c3ecc93f8d1517548b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7F7AB3-A778-4626-955F-E7767585D5D8}"/>
</file>

<file path=customXml/itemProps2.xml><?xml version="1.0" encoding="utf-8"?>
<ds:datastoreItem xmlns:ds="http://schemas.openxmlformats.org/officeDocument/2006/customXml" ds:itemID="{09ADF6E2-31FE-4BB5-9168-BDDC471144B6}"/>
</file>

<file path=customXml/itemProps3.xml><?xml version="1.0" encoding="utf-8"?>
<ds:datastoreItem xmlns:ds="http://schemas.openxmlformats.org/officeDocument/2006/customXml" ds:itemID="{EA7B3D1F-7D77-4294-AECC-7D82AC9A772D}"/>
</file>

<file path=customXml/itemProps4.xml><?xml version="1.0" encoding="utf-8"?>
<ds:datastoreItem xmlns:ds="http://schemas.openxmlformats.org/officeDocument/2006/customXml" ds:itemID="{5038C15D-B211-4B81-9619-AB480A52C4C6}"/>
</file>

<file path=customXml/itemProps5.xml><?xml version="1.0" encoding="utf-8"?>
<ds:datastoreItem xmlns:ds="http://schemas.openxmlformats.org/officeDocument/2006/customXml" ds:itemID="{841181E4-448B-44D7-A88C-ED8FCC786CD7}"/>
</file>

<file path=docProps/app.xml><?xml version="1.0" encoding="utf-8"?>
<Properties xmlns="http://schemas.openxmlformats.org/officeDocument/2006/extended-properties" xmlns:vt="http://schemas.openxmlformats.org/officeDocument/2006/docPropsVTypes">
  <Template>#1 - Charter and Excursion Suspend-Cancel Order</Template>
  <TotalTime>5</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2014-06-23T16:14:00Z</dcterms:created>
  <dcterms:modified xsi:type="dcterms:W3CDTF">2014-06-23T16:19:00Z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0x0101006E56B4D1795A2E4DB2F0B01679ED314A0057947D393B7D844D986075087FB00DB6</vt:lpwstr>
  </property>
  <property fmtid="{D5CDD505-2E9C-101B-9397-08002B2CF9AE}" pid="3" name="_docset_NoMedatataSyncRequired">
    <vt:lpwstr>False</vt:lpwstr>
  </property>
</Properties>
</file>