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883B8" w14:textId="77777777" w:rsidR="008A4054" w:rsidRPr="007B3503" w:rsidRDefault="00657DEE" w:rsidP="00FF75F4">
      <w:bookmarkStart w:id="0" w:name="_GoBack"/>
      <w:bookmarkEnd w:id="0"/>
      <w:r w:rsidRPr="007B3503">
        <w:t>Agenda Date:</w:t>
      </w:r>
      <w:r w:rsidRPr="007B3503">
        <w:tab/>
      </w:r>
      <w:r w:rsidR="00744C90" w:rsidRPr="007B3503">
        <w:tab/>
      </w:r>
      <w:r w:rsidR="00040CE3" w:rsidRPr="007B3503">
        <w:t>December</w:t>
      </w:r>
      <w:r w:rsidR="007B7BB4" w:rsidRPr="007B3503">
        <w:t xml:space="preserve"> </w:t>
      </w:r>
      <w:r w:rsidR="00000FCF" w:rsidRPr="007B3503">
        <w:t>18</w:t>
      </w:r>
      <w:r w:rsidR="008A4054" w:rsidRPr="007B3503">
        <w:t>, 201</w:t>
      </w:r>
      <w:r w:rsidR="00000FCF" w:rsidRPr="007B3503">
        <w:t>3</w:t>
      </w:r>
    </w:p>
    <w:p w14:paraId="40C883B9" w14:textId="35A01C13" w:rsidR="00657DEE" w:rsidRPr="007B3503" w:rsidRDefault="00657DEE" w:rsidP="00FF75F4">
      <w:r w:rsidRPr="007B3503">
        <w:t>Item Number:</w:t>
      </w:r>
      <w:r w:rsidRPr="007B3503">
        <w:tab/>
      </w:r>
      <w:r w:rsidR="00B372F4">
        <w:tab/>
      </w:r>
      <w:r w:rsidR="00163505" w:rsidRPr="007B3503">
        <w:t>D</w:t>
      </w:r>
      <w:r w:rsidR="007F5DFE" w:rsidRPr="007B3503">
        <w:t>11</w:t>
      </w:r>
    </w:p>
    <w:p w14:paraId="40C883BA" w14:textId="77777777" w:rsidR="00657DEE" w:rsidRPr="007B3503" w:rsidRDefault="00657DEE" w:rsidP="00FF75F4"/>
    <w:p w14:paraId="40C883BB" w14:textId="2707EB07" w:rsidR="00657DEE" w:rsidRPr="007B3503" w:rsidRDefault="00657DEE" w:rsidP="002C648F">
      <w:pPr>
        <w:rPr>
          <w:b/>
        </w:rPr>
      </w:pPr>
      <w:r w:rsidRPr="007B3503">
        <w:rPr>
          <w:b/>
        </w:rPr>
        <w:t>Docket</w:t>
      </w:r>
      <w:r w:rsidR="002C648F" w:rsidRPr="007B3503">
        <w:rPr>
          <w:b/>
        </w:rPr>
        <w:t>:</w:t>
      </w:r>
      <w:r w:rsidR="002C648F" w:rsidRPr="007B3503">
        <w:rPr>
          <w:b/>
        </w:rPr>
        <w:tab/>
      </w:r>
      <w:r w:rsidR="002C648F" w:rsidRPr="007B3503">
        <w:rPr>
          <w:b/>
        </w:rPr>
        <w:tab/>
      </w:r>
      <w:r w:rsidR="003B26AE" w:rsidRPr="007B3503">
        <w:rPr>
          <w:b/>
        </w:rPr>
        <w:t>U</w:t>
      </w:r>
      <w:r w:rsidR="00DB2FF2" w:rsidRPr="007B3503">
        <w:rPr>
          <w:b/>
        </w:rPr>
        <w:t>G</w:t>
      </w:r>
      <w:r w:rsidR="003B26AE" w:rsidRPr="007B3503">
        <w:rPr>
          <w:b/>
        </w:rPr>
        <w:t>-1</w:t>
      </w:r>
      <w:r w:rsidR="00000FCF" w:rsidRPr="007B3503">
        <w:rPr>
          <w:b/>
        </w:rPr>
        <w:t>32</w:t>
      </w:r>
      <w:r w:rsidR="007F5DFE" w:rsidRPr="007B3503">
        <w:rPr>
          <w:b/>
        </w:rPr>
        <w:t>226</w:t>
      </w:r>
    </w:p>
    <w:p w14:paraId="40C883BC" w14:textId="77777777" w:rsidR="00040CE3" w:rsidRPr="007B3503" w:rsidRDefault="00040CE3" w:rsidP="00FF75F4"/>
    <w:p w14:paraId="40C883BD" w14:textId="77777777" w:rsidR="00657DEE" w:rsidRPr="007B3503" w:rsidRDefault="00657DEE" w:rsidP="00FF75F4">
      <w:r w:rsidRPr="007B3503">
        <w:t>Company:</w:t>
      </w:r>
      <w:r w:rsidRPr="007B3503">
        <w:tab/>
      </w:r>
      <w:r w:rsidRPr="007B3503">
        <w:tab/>
      </w:r>
      <w:r w:rsidR="007F5DFE" w:rsidRPr="007B3503">
        <w:rPr>
          <w:b/>
        </w:rPr>
        <w:t>Cascade Natural Gas Corporation</w:t>
      </w:r>
    </w:p>
    <w:p w14:paraId="40C883BE" w14:textId="77777777" w:rsidR="00657DEE" w:rsidRPr="007B3503" w:rsidRDefault="00657DEE" w:rsidP="00FF75F4"/>
    <w:p w14:paraId="40C883BF" w14:textId="77777777" w:rsidR="003329DB" w:rsidRPr="007B3503" w:rsidRDefault="00657DEE" w:rsidP="00FF75F4">
      <w:r w:rsidRPr="007B3503">
        <w:t>Staff:</w:t>
      </w:r>
      <w:r w:rsidRPr="007B3503">
        <w:tab/>
      </w:r>
      <w:r w:rsidRPr="007B3503">
        <w:tab/>
      </w:r>
      <w:r w:rsidRPr="007B3503">
        <w:tab/>
      </w:r>
      <w:r w:rsidR="00000FCF" w:rsidRPr="007B3503">
        <w:t>Juliana Williams, Regulatory Analyst</w:t>
      </w:r>
    </w:p>
    <w:p w14:paraId="40C883C0" w14:textId="77777777" w:rsidR="001923BA" w:rsidRPr="007B3503" w:rsidRDefault="003B26AE" w:rsidP="00FF75F4">
      <w:r w:rsidRPr="007B3503">
        <w:tab/>
      </w:r>
      <w:r w:rsidRPr="007B3503">
        <w:tab/>
      </w:r>
      <w:r w:rsidRPr="007B3503">
        <w:tab/>
      </w:r>
      <w:r w:rsidR="00D75C47" w:rsidRPr="007B3503">
        <w:tab/>
      </w:r>
      <w:r w:rsidR="00D75C47" w:rsidRPr="007B3503">
        <w:tab/>
      </w:r>
    </w:p>
    <w:p w14:paraId="7FB57602" w14:textId="315D4D58" w:rsidR="00FD43B2" w:rsidRDefault="00FD43B2" w:rsidP="005A60BD">
      <w:pPr>
        <w:pStyle w:val="Heading1"/>
      </w:pPr>
      <w:r>
        <w:t>Recommendation</w:t>
      </w:r>
    </w:p>
    <w:p w14:paraId="6F7D34BE" w14:textId="7FB75CA2" w:rsidR="00FD43B2" w:rsidRDefault="00FD43B2" w:rsidP="00FD43B2">
      <w:r>
        <w:t>Direct staff to close the staff investigation in Docket UG-132226.</w:t>
      </w:r>
    </w:p>
    <w:p w14:paraId="40C883C1" w14:textId="77777777" w:rsidR="000F05C4" w:rsidRPr="008A07C8" w:rsidRDefault="00CA5322" w:rsidP="005A60BD">
      <w:pPr>
        <w:pStyle w:val="Heading1"/>
      </w:pPr>
      <w:r w:rsidRPr="008A07C8">
        <w:t>Background</w:t>
      </w:r>
    </w:p>
    <w:p w14:paraId="40C883C2" w14:textId="191E759A" w:rsidR="00604FFF" w:rsidRDefault="00237985" w:rsidP="00520CC1">
      <w:r w:rsidRPr="00237985">
        <w:t xml:space="preserve">Cascade Natural Gas Corporation </w:t>
      </w:r>
      <w:r w:rsidR="00FA47FF">
        <w:t xml:space="preserve">(Cascade or company) </w:t>
      </w:r>
      <w:r w:rsidR="0097658A">
        <w:t xml:space="preserve">pursues conservation as a least cost resource through its Integrated Resource Plan (IRP), and operates its conservation program through tariff schedules initially </w:t>
      </w:r>
      <w:r w:rsidR="0079589B">
        <w:t>approved in Docket UG-060256</w:t>
      </w:r>
      <w:r w:rsidR="00FD43B2">
        <w:t xml:space="preserve">. </w:t>
      </w:r>
      <w:r w:rsidR="0079589B">
        <w:t xml:space="preserve">As a result, Cascade </w:t>
      </w:r>
      <w:r w:rsidR="004312C0">
        <w:t>plans</w:t>
      </w:r>
      <w:r w:rsidR="00FA47FF">
        <w:t xml:space="preserve"> its conservation program </w:t>
      </w:r>
      <w:r w:rsidR="004312C0">
        <w:t>on the</w:t>
      </w:r>
      <w:r w:rsidR="0079589B">
        <w:t xml:space="preserve"> two-year </w:t>
      </w:r>
      <w:r w:rsidR="004312C0">
        <w:t>I</w:t>
      </w:r>
      <w:r w:rsidR="008B2181">
        <w:t>ntegrated Resource Plan (IRP)</w:t>
      </w:r>
      <w:r w:rsidR="0079589B">
        <w:t xml:space="preserve"> cycle</w:t>
      </w:r>
      <w:r w:rsidR="008B2181">
        <w:t xml:space="preserve">. </w:t>
      </w:r>
      <w:r w:rsidR="004312C0">
        <w:t>Cascade’s most recent</w:t>
      </w:r>
      <w:r w:rsidR="006E4D6F">
        <w:t xml:space="preserve"> Washington</w:t>
      </w:r>
      <w:r w:rsidR="004312C0">
        <w:t xml:space="preserve"> IRP was filed in December 2012</w:t>
      </w:r>
      <w:r w:rsidR="0079589B">
        <w:t>,</w:t>
      </w:r>
      <w:r w:rsidR="004312C0">
        <w:t xml:space="preserve"> in Docket UG-112165. Cascade files annual reports on conservation achievement in June of each calendar year. Cascade does not have any pending conservation filings before the Washington Utilities and Transportation Commission (</w:t>
      </w:r>
      <w:r w:rsidR="00093C27">
        <w:t>commission</w:t>
      </w:r>
      <w:r w:rsidR="004312C0">
        <w:t>) at this time</w:t>
      </w:r>
      <w:r w:rsidR="00FD43B2">
        <w:t>. Staff opened an investigation as a vehicle to</w:t>
      </w:r>
      <w:r w:rsidR="004312C0">
        <w:t xml:space="preserve"> provide an informal update on Cascade’s conservation achievements in 2013 and plan for 2014</w:t>
      </w:r>
      <w:r w:rsidR="00FD43B2">
        <w:t xml:space="preserve">. </w:t>
      </w:r>
    </w:p>
    <w:p w14:paraId="40C883C3" w14:textId="77777777" w:rsidR="00237985" w:rsidRPr="007B3503" w:rsidRDefault="00237985" w:rsidP="00520CC1">
      <w:pPr>
        <w:rPr>
          <w:highlight w:val="yellow"/>
        </w:rPr>
      </w:pPr>
    </w:p>
    <w:p w14:paraId="40C883C4" w14:textId="77777777" w:rsidR="000B6FA5" w:rsidRPr="007B3503" w:rsidRDefault="001363A7" w:rsidP="00520CC1">
      <w:pPr>
        <w:rPr>
          <w:b/>
        </w:rPr>
      </w:pPr>
      <w:r w:rsidRPr="007B3503">
        <w:rPr>
          <w:b/>
        </w:rPr>
        <w:t xml:space="preserve">Biennial Conservation Target </w:t>
      </w:r>
    </w:p>
    <w:p w14:paraId="40C883C5" w14:textId="77777777" w:rsidR="007F5DFE" w:rsidRDefault="007F5DFE" w:rsidP="007F5DFE"/>
    <w:p w14:paraId="40C883C6" w14:textId="1E913B4C" w:rsidR="004312C0" w:rsidRPr="007B3503" w:rsidRDefault="008B2181" w:rsidP="007F5DFE">
      <w:r>
        <w:t>Cascade’s 2012 IRP identified the achievable conservation potential in Cascade’s Washington service territory from 2013 to 2032</w:t>
      </w:r>
      <w:r w:rsidR="00FD43B2">
        <w:t xml:space="preserve">. </w:t>
      </w:r>
      <w:r>
        <w:t>Cascade then applie</w:t>
      </w:r>
      <w:r w:rsidR="003123E8">
        <w:t>d</w:t>
      </w:r>
      <w:r>
        <w:t xml:space="preserve"> a 75 percent screen on the</w:t>
      </w:r>
      <w:r w:rsidR="003123E8">
        <w:t xml:space="preserve"> potential to develop conservation targets of 536,761 therms in 2013 and 588,650 therms in 2014. These targets are identified in </w:t>
      </w:r>
      <w:r w:rsidR="0044257F">
        <w:t>T</w:t>
      </w:r>
      <w:r w:rsidR="003123E8">
        <w:t>able</w:t>
      </w:r>
      <w:r w:rsidR="0044257F">
        <w:t xml:space="preserve"> 1</w:t>
      </w:r>
      <w:r w:rsidR="003123E8">
        <w:t xml:space="preserve"> below.</w:t>
      </w:r>
    </w:p>
    <w:p w14:paraId="40C883C7" w14:textId="77777777" w:rsidR="007F5DFE" w:rsidRDefault="007F5DFE" w:rsidP="007F5DFE"/>
    <w:p w14:paraId="6E87C01D" w14:textId="12E1C598" w:rsidR="004D3DEA" w:rsidRPr="004D3DEA" w:rsidRDefault="004D3DEA" w:rsidP="00BB6262">
      <w:pPr>
        <w:spacing w:after="240"/>
        <w:rPr>
          <w:b/>
        </w:rPr>
      </w:pPr>
      <w:r w:rsidRPr="004D3DEA">
        <w:rPr>
          <w:b/>
        </w:rPr>
        <w:t xml:space="preserve">Table 1. </w:t>
      </w:r>
      <w:r w:rsidR="0044257F">
        <w:rPr>
          <w:b/>
        </w:rPr>
        <w:t>Conservation Targets and Achievement for 2013 and 2014.</w:t>
      </w:r>
    </w:p>
    <w:tbl>
      <w:tblPr>
        <w:tblW w:w="967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107"/>
        <w:gridCol w:w="2108"/>
        <w:gridCol w:w="2108"/>
      </w:tblGrid>
      <w:tr w:rsidR="007B3503" w:rsidRPr="007B3503" w14:paraId="40C883CE" w14:textId="77777777" w:rsidTr="00BB6262">
        <w:trPr>
          <w:trHeight w:val="281"/>
        </w:trPr>
        <w:tc>
          <w:tcPr>
            <w:tcW w:w="3348" w:type="dxa"/>
            <w:vAlign w:val="bottom"/>
          </w:tcPr>
          <w:p w14:paraId="40C883C8" w14:textId="77777777" w:rsidR="007F5DFE" w:rsidRPr="007B3503" w:rsidRDefault="007F5DFE" w:rsidP="00E43C20">
            <w:pPr>
              <w:jc w:val="center"/>
              <w:rPr>
                <w:b/>
                <w:bCs/>
              </w:rPr>
            </w:pPr>
          </w:p>
          <w:p w14:paraId="40C883C9" w14:textId="77777777" w:rsidR="007F5DFE" w:rsidRPr="007B3503" w:rsidRDefault="007C6EAD" w:rsidP="00E43C20">
            <w:pPr>
              <w:jc w:val="center"/>
              <w:rPr>
                <w:b/>
                <w:bCs/>
              </w:rPr>
            </w:pPr>
            <w:r w:rsidRPr="007B3503">
              <w:rPr>
                <w:b/>
                <w:bCs/>
              </w:rPr>
              <w:t>Program</w:t>
            </w:r>
          </w:p>
        </w:tc>
        <w:tc>
          <w:tcPr>
            <w:tcW w:w="2107" w:type="dxa"/>
            <w:vAlign w:val="bottom"/>
            <w:hideMark/>
          </w:tcPr>
          <w:p w14:paraId="40C883CA" w14:textId="77777777" w:rsidR="007F5DFE" w:rsidRPr="007B3503" w:rsidRDefault="007F5DFE" w:rsidP="006E4D6F">
            <w:pPr>
              <w:jc w:val="center"/>
              <w:rPr>
                <w:b/>
                <w:bCs/>
              </w:rPr>
            </w:pPr>
            <w:r w:rsidRPr="007B3503">
              <w:rPr>
                <w:b/>
                <w:bCs/>
              </w:rPr>
              <w:t xml:space="preserve">2013 </w:t>
            </w:r>
            <w:r w:rsidR="00E43C20" w:rsidRPr="007B3503">
              <w:rPr>
                <w:b/>
                <w:bCs/>
              </w:rPr>
              <w:t xml:space="preserve">Target </w:t>
            </w:r>
          </w:p>
        </w:tc>
        <w:tc>
          <w:tcPr>
            <w:tcW w:w="2108" w:type="dxa"/>
            <w:vAlign w:val="bottom"/>
            <w:hideMark/>
          </w:tcPr>
          <w:p w14:paraId="40C883CB" w14:textId="77777777" w:rsidR="006E4D6F" w:rsidRDefault="007F5DFE" w:rsidP="006E4D6F">
            <w:pPr>
              <w:jc w:val="center"/>
              <w:rPr>
                <w:b/>
                <w:bCs/>
              </w:rPr>
            </w:pPr>
            <w:r w:rsidRPr="007B3503">
              <w:rPr>
                <w:b/>
                <w:bCs/>
              </w:rPr>
              <w:t>2013 Achieved Savings</w:t>
            </w:r>
            <w:r w:rsidR="006E4D6F">
              <w:rPr>
                <w:b/>
                <w:bCs/>
              </w:rPr>
              <w:t xml:space="preserve"> </w:t>
            </w:r>
          </w:p>
          <w:p w14:paraId="40C883CC" w14:textId="77777777" w:rsidR="007F5DFE" w:rsidRPr="007B3503" w:rsidRDefault="006E4D6F" w:rsidP="006E4D6F">
            <w:pPr>
              <w:jc w:val="center"/>
              <w:rPr>
                <w:b/>
                <w:bCs/>
              </w:rPr>
            </w:pPr>
            <w:r>
              <w:rPr>
                <w:b/>
                <w:bCs/>
              </w:rPr>
              <w:t>(Jan.-Nov.)</w:t>
            </w:r>
          </w:p>
        </w:tc>
        <w:tc>
          <w:tcPr>
            <w:tcW w:w="2108" w:type="dxa"/>
            <w:vAlign w:val="bottom"/>
            <w:hideMark/>
          </w:tcPr>
          <w:p w14:paraId="40C883CD" w14:textId="77777777" w:rsidR="007F5DFE" w:rsidRPr="007B3503" w:rsidRDefault="007F5DFE" w:rsidP="006E4D6F">
            <w:pPr>
              <w:jc w:val="center"/>
              <w:rPr>
                <w:b/>
                <w:bCs/>
              </w:rPr>
            </w:pPr>
            <w:r w:rsidRPr="007B3503">
              <w:rPr>
                <w:b/>
                <w:bCs/>
              </w:rPr>
              <w:t xml:space="preserve">2014 </w:t>
            </w:r>
            <w:r w:rsidR="00E43C20" w:rsidRPr="007B3503">
              <w:rPr>
                <w:b/>
                <w:bCs/>
              </w:rPr>
              <w:t xml:space="preserve">Target </w:t>
            </w:r>
          </w:p>
        </w:tc>
      </w:tr>
      <w:tr w:rsidR="007B3503" w:rsidRPr="007B3503" w14:paraId="40C883D3" w14:textId="77777777" w:rsidTr="00BB6262">
        <w:trPr>
          <w:trHeight w:val="293"/>
        </w:trPr>
        <w:tc>
          <w:tcPr>
            <w:tcW w:w="3348" w:type="dxa"/>
            <w:hideMark/>
          </w:tcPr>
          <w:p w14:paraId="40C883CF" w14:textId="77777777" w:rsidR="007F5DFE" w:rsidRPr="007B3503" w:rsidRDefault="007F5DFE" w:rsidP="007C6EAD">
            <w:r w:rsidRPr="007B3503">
              <w:t xml:space="preserve">Residential </w:t>
            </w:r>
          </w:p>
        </w:tc>
        <w:tc>
          <w:tcPr>
            <w:tcW w:w="2107" w:type="dxa"/>
          </w:tcPr>
          <w:p w14:paraId="40C883D0" w14:textId="77777777" w:rsidR="007F5DFE" w:rsidRPr="007B3503" w:rsidRDefault="00E43C20" w:rsidP="00E43C20">
            <w:pPr>
              <w:jc w:val="right"/>
            </w:pPr>
            <w:r w:rsidRPr="007B3503">
              <w:t>189,619</w:t>
            </w:r>
            <w:r w:rsidR="006E4D6F">
              <w:t xml:space="preserve"> therms</w:t>
            </w:r>
          </w:p>
        </w:tc>
        <w:tc>
          <w:tcPr>
            <w:tcW w:w="2108" w:type="dxa"/>
          </w:tcPr>
          <w:p w14:paraId="40C883D1" w14:textId="77777777" w:rsidR="007F5DFE" w:rsidRPr="007B3503" w:rsidRDefault="005226D9">
            <w:pPr>
              <w:jc w:val="right"/>
            </w:pPr>
            <w:r>
              <w:t>102,562</w:t>
            </w:r>
            <w:r w:rsidR="006E4D6F">
              <w:t xml:space="preserve"> therms</w:t>
            </w:r>
          </w:p>
        </w:tc>
        <w:tc>
          <w:tcPr>
            <w:tcW w:w="2108" w:type="dxa"/>
          </w:tcPr>
          <w:p w14:paraId="40C883D2" w14:textId="77777777" w:rsidR="007F5DFE" w:rsidRPr="007B3503" w:rsidRDefault="00E43C20">
            <w:pPr>
              <w:jc w:val="right"/>
            </w:pPr>
            <w:r w:rsidRPr="007B3503">
              <w:t>226,382</w:t>
            </w:r>
            <w:r w:rsidR="006E4D6F">
              <w:t xml:space="preserve"> therms</w:t>
            </w:r>
          </w:p>
        </w:tc>
      </w:tr>
      <w:tr w:rsidR="007B3503" w:rsidRPr="007B3503" w14:paraId="40C883D8" w14:textId="77777777" w:rsidTr="00BB6262">
        <w:trPr>
          <w:trHeight w:val="293"/>
        </w:trPr>
        <w:tc>
          <w:tcPr>
            <w:tcW w:w="3348" w:type="dxa"/>
            <w:hideMark/>
          </w:tcPr>
          <w:p w14:paraId="40C883D4" w14:textId="77777777" w:rsidR="007F5DFE" w:rsidRPr="007B3503" w:rsidRDefault="007F5DFE" w:rsidP="007C6EAD">
            <w:r w:rsidRPr="007B3503">
              <w:t>Commercial</w:t>
            </w:r>
            <w:r w:rsidR="007C6EAD" w:rsidRPr="007B3503">
              <w:t>/Industrial</w:t>
            </w:r>
          </w:p>
        </w:tc>
        <w:tc>
          <w:tcPr>
            <w:tcW w:w="2107" w:type="dxa"/>
          </w:tcPr>
          <w:p w14:paraId="40C883D5" w14:textId="77777777" w:rsidR="007F5DFE" w:rsidRPr="007B3503" w:rsidRDefault="00E43C20" w:rsidP="00E43C20">
            <w:pPr>
              <w:jc w:val="right"/>
            </w:pPr>
            <w:r w:rsidRPr="007B3503">
              <w:t>320,892</w:t>
            </w:r>
            <w:r w:rsidR="006E4D6F">
              <w:t xml:space="preserve"> therms</w:t>
            </w:r>
          </w:p>
        </w:tc>
        <w:tc>
          <w:tcPr>
            <w:tcW w:w="2108" w:type="dxa"/>
          </w:tcPr>
          <w:p w14:paraId="40C883D6" w14:textId="77777777" w:rsidR="007F5DFE" w:rsidRPr="007B3503" w:rsidRDefault="005226D9">
            <w:pPr>
              <w:jc w:val="right"/>
            </w:pPr>
            <w:r>
              <w:t>174,493</w:t>
            </w:r>
            <w:r>
              <w:rPr>
                <w:rStyle w:val="FootnoteReference"/>
              </w:rPr>
              <w:footnoteReference w:id="1"/>
            </w:r>
            <w:r w:rsidR="006E4D6F">
              <w:t xml:space="preserve"> therms</w:t>
            </w:r>
          </w:p>
        </w:tc>
        <w:tc>
          <w:tcPr>
            <w:tcW w:w="2108" w:type="dxa"/>
          </w:tcPr>
          <w:p w14:paraId="40C883D7" w14:textId="77777777" w:rsidR="007F5DFE" w:rsidRPr="007B3503" w:rsidRDefault="00E43C20">
            <w:pPr>
              <w:jc w:val="right"/>
            </w:pPr>
            <w:r w:rsidRPr="007B3503">
              <w:t>339,768</w:t>
            </w:r>
            <w:r w:rsidR="006E4D6F">
              <w:t xml:space="preserve"> therms</w:t>
            </w:r>
          </w:p>
        </w:tc>
      </w:tr>
      <w:tr w:rsidR="007B3503" w:rsidRPr="007B3503" w14:paraId="40C883DD" w14:textId="77777777" w:rsidTr="00BB6262">
        <w:trPr>
          <w:trHeight w:val="293"/>
        </w:trPr>
        <w:tc>
          <w:tcPr>
            <w:tcW w:w="3348" w:type="dxa"/>
            <w:hideMark/>
          </w:tcPr>
          <w:p w14:paraId="40C883D9" w14:textId="77777777" w:rsidR="007F5DFE" w:rsidRPr="007B3503" w:rsidRDefault="007F5DFE" w:rsidP="007C6EAD">
            <w:r w:rsidRPr="007B3503">
              <w:t xml:space="preserve">Low Income </w:t>
            </w:r>
          </w:p>
        </w:tc>
        <w:tc>
          <w:tcPr>
            <w:tcW w:w="2107" w:type="dxa"/>
          </w:tcPr>
          <w:p w14:paraId="40C883DA" w14:textId="77777777" w:rsidR="007F5DFE" w:rsidRPr="007B3503" w:rsidRDefault="00E43C20" w:rsidP="00E43C20">
            <w:pPr>
              <w:jc w:val="right"/>
            </w:pPr>
            <w:r w:rsidRPr="007B3503">
              <w:t>26,250</w:t>
            </w:r>
            <w:r w:rsidR="006E4D6F">
              <w:t xml:space="preserve"> therms</w:t>
            </w:r>
          </w:p>
        </w:tc>
        <w:tc>
          <w:tcPr>
            <w:tcW w:w="2108" w:type="dxa"/>
          </w:tcPr>
          <w:p w14:paraId="40C883DB" w14:textId="77777777" w:rsidR="007F5DFE" w:rsidRPr="007B3503" w:rsidRDefault="005226D9">
            <w:pPr>
              <w:jc w:val="right"/>
            </w:pPr>
            <w:r>
              <w:t>14,766</w:t>
            </w:r>
            <w:r w:rsidR="006E4D6F">
              <w:t xml:space="preserve"> therms</w:t>
            </w:r>
          </w:p>
        </w:tc>
        <w:tc>
          <w:tcPr>
            <w:tcW w:w="2108" w:type="dxa"/>
          </w:tcPr>
          <w:p w14:paraId="40C883DC" w14:textId="77777777" w:rsidR="007F5DFE" w:rsidRPr="007B3503" w:rsidRDefault="00E43C20">
            <w:pPr>
              <w:jc w:val="right"/>
            </w:pPr>
            <w:r w:rsidRPr="007B3503">
              <w:t>22,500</w:t>
            </w:r>
            <w:r w:rsidR="006E4D6F">
              <w:t xml:space="preserve"> therms</w:t>
            </w:r>
          </w:p>
        </w:tc>
      </w:tr>
      <w:tr w:rsidR="007B3503" w:rsidRPr="007B3503" w14:paraId="40C883E2" w14:textId="77777777" w:rsidTr="00BB6262">
        <w:trPr>
          <w:trHeight w:val="293"/>
        </w:trPr>
        <w:tc>
          <w:tcPr>
            <w:tcW w:w="3348" w:type="dxa"/>
            <w:hideMark/>
          </w:tcPr>
          <w:p w14:paraId="40C883DE" w14:textId="77777777" w:rsidR="007F5DFE" w:rsidRPr="007B3503" w:rsidRDefault="007F5DFE">
            <w:pPr>
              <w:rPr>
                <w:b/>
              </w:rPr>
            </w:pPr>
            <w:r w:rsidRPr="007B3503">
              <w:rPr>
                <w:b/>
              </w:rPr>
              <w:t>Total</w:t>
            </w:r>
          </w:p>
        </w:tc>
        <w:tc>
          <w:tcPr>
            <w:tcW w:w="2107" w:type="dxa"/>
          </w:tcPr>
          <w:p w14:paraId="40C883DF" w14:textId="77777777" w:rsidR="007F5DFE" w:rsidRPr="007B3503" w:rsidRDefault="00E43C20" w:rsidP="00E43C20">
            <w:pPr>
              <w:jc w:val="right"/>
              <w:rPr>
                <w:b/>
              </w:rPr>
            </w:pPr>
            <w:r w:rsidRPr="007B3503">
              <w:rPr>
                <w:b/>
              </w:rPr>
              <w:t>536,761</w:t>
            </w:r>
            <w:r w:rsidR="006E4D6F">
              <w:rPr>
                <w:b/>
              </w:rPr>
              <w:t xml:space="preserve"> therms</w:t>
            </w:r>
          </w:p>
        </w:tc>
        <w:tc>
          <w:tcPr>
            <w:tcW w:w="2108" w:type="dxa"/>
          </w:tcPr>
          <w:p w14:paraId="40C883E0" w14:textId="77777777" w:rsidR="007F5DFE" w:rsidRPr="007B3503" w:rsidRDefault="006E4D6F">
            <w:pPr>
              <w:jc w:val="right"/>
              <w:rPr>
                <w:b/>
              </w:rPr>
            </w:pPr>
            <w:r>
              <w:rPr>
                <w:b/>
              </w:rPr>
              <w:t>291,821 therms</w:t>
            </w:r>
          </w:p>
        </w:tc>
        <w:tc>
          <w:tcPr>
            <w:tcW w:w="2108" w:type="dxa"/>
          </w:tcPr>
          <w:p w14:paraId="40C883E1" w14:textId="77777777" w:rsidR="007F5DFE" w:rsidRPr="007B3503" w:rsidRDefault="00E43C20">
            <w:pPr>
              <w:jc w:val="right"/>
              <w:rPr>
                <w:b/>
              </w:rPr>
            </w:pPr>
            <w:r w:rsidRPr="007B3503">
              <w:rPr>
                <w:b/>
              </w:rPr>
              <w:t>588,650</w:t>
            </w:r>
            <w:r w:rsidR="006E4D6F">
              <w:rPr>
                <w:b/>
              </w:rPr>
              <w:t xml:space="preserve"> therms</w:t>
            </w:r>
          </w:p>
        </w:tc>
      </w:tr>
    </w:tbl>
    <w:p w14:paraId="40C883E3" w14:textId="77777777" w:rsidR="007F5DFE" w:rsidRDefault="007F5DFE" w:rsidP="00104C87">
      <w:pPr>
        <w:rPr>
          <w:b/>
        </w:rPr>
      </w:pPr>
    </w:p>
    <w:p w14:paraId="40C883E4" w14:textId="01BE6271" w:rsidR="005226D9" w:rsidRPr="005226D9" w:rsidRDefault="005226D9" w:rsidP="00104C87">
      <w:r w:rsidRPr="005226D9">
        <w:lastRenderedPageBreak/>
        <w:t xml:space="preserve">It </w:t>
      </w:r>
      <w:r>
        <w:t xml:space="preserve">is important to note that many projects are completed at the end of the year, so the savings estimates as of November do not provide a completed picture of the savings </w:t>
      </w:r>
      <w:r w:rsidR="007C7D4E">
        <w:t xml:space="preserve">Cascade </w:t>
      </w:r>
      <w:r>
        <w:t>expects to a</w:t>
      </w:r>
      <w:r w:rsidR="003C1EE2">
        <w:t xml:space="preserve">chieve by the end of the year. </w:t>
      </w:r>
      <w:r>
        <w:t xml:space="preserve">Additionally, Cascade attributes savings to the year </w:t>
      </w:r>
      <w:r w:rsidR="00237985">
        <w:t>a</w:t>
      </w:r>
      <w:r>
        <w:t xml:space="preserve"> project was </w:t>
      </w:r>
      <w:r w:rsidR="00FA47FF">
        <w:t>completed</w:t>
      </w:r>
      <w:r>
        <w:t>, rather than when the payment was processed</w:t>
      </w:r>
      <w:r w:rsidR="00237985">
        <w:t xml:space="preserve">, which means that savings from projects </w:t>
      </w:r>
      <w:r w:rsidR="00FA47FF">
        <w:t>in progress</w:t>
      </w:r>
      <w:r w:rsidR="00237985">
        <w:t xml:space="preserve"> may count toward meeting the 2013 target. So far, Cascade has achieved a greater level of savings as of Nov</w:t>
      </w:r>
      <w:r w:rsidR="00093C27">
        <w:t xml:space="preserve">ember, </w:t>
      </w:r>
      <w:r w:rsidR="00237985">
        <w:t>2013</w:t>
      </w:r>
      <w:r w:rsidR="0044257F">
        <w:t>,</w:t>
      </w:r>
      <w:r w:rsidR="00237985">
        <w:t xml:space="preserve"> than it had at the same point in 2012.</w:t>
      </w:r>
      <w:r w:rsidR="00FD43B2">
        <w:t xml:space="preserve"> Staff </w:t>
      </w:r>
      <w:r w:rsidR="0044257F">
        <w:t>has confidence</w:t>
      </w:r>
      <w:r w:rsidR="00FD43B2">
        <w:t xml:space="preserve"> that </w:t>
      </w:r>
      <w:r w:rsidR="004D3DEA">
        <w:t>the company is on track to meet its targets.</w:t>
      </w:r>
    </w:p>
    <w:p w14:paraId="40C883E5" w14:textId="77777777" w:rsidR="005226D9" w:rsidRPr="007B3503" w:rsidRDefault="005226D9" w:rsidP="00104C87">
      <w:pPr>
        <w:rPr>
          <w:b/>
        </w:rPr>
      </w:pPr>
    </w:p>
    <w:p w14:paraId="40C883E6" w14:textId="77777777" w:rsidR="007F5DFE" w:rsidRPr="007B3503" w:rsidRDefault="007F5DFE" w:rsidP="00104C87">
      <w:pPr>
        <w:rPr>
          <w:b/>
        </w:rPr>
      </w:pPr>
      <w:r w:rsidRPr="007B3503">
        <w:rPr>
          <w:b/>
        </w:rPr>
        <w:t xml:space="preserve">Budget </w:t>
      </w:r>
    </w:p>
    <w:p w14:paraId="40C883E7" w14:textId="77777777" w:rsidR="007F5DFE" w:rsidRDefault="007F5DFE" w:rsidP="00104C87">
      <w:pPr>
        <w:rPr>
          <w:b/>
        </w:rPr>
      </w:pPr>
    </w:p>
    <w:p w14:paraId="40C883E8" w14:textId="1C5E9BAA" w:rsidR="006E4D6F" w:rsidRDefault="006E4D6F" w:rsidP="006E4D6F">
      <w:r>
        <w:t xml:space="preserve">Cascade’s </w:t>
      </w:r>
      <w:r w:rsidR="0097658A">
        <w:t>conservation program</w:t>
      </w:r>
      <w:r>
        <w:t xml:space="preserve"> budgets for 2013 and 2014 are identified in the table below. During the review of Cascade’s 2012 IRP, </w:t>
      </w:r>
      <w:r w:rsidR="00093C27">
        <w:t xml:space="preserve">staff </w:t>
      </w:r>
      <w:r>
        <w:t xml:space="preserve">raised concerns about the percentage </w:t>
      </w:r>
      <w:r w:rsidR="0097658A">
        <w:t>of conservation program spending attributed to</w:t>
      </w:r>
      <w:r>
        <w:t xml:space="preserve"> admi</w:t>
      </w:r>
      <w:r w:rsidR="0097658A">
        <w:t xml:space="preserve">nistrative and delivery costs. </w:t>
      </w:r>
      <w:r>
        <w:t>Cascade</w:t>
      </w:r>
      <w:r w:rsidR="00325816">
        <w:t xml:space="preserve"> filed a</w:t>
      </w:r>
      <w:r>
        <w:t xml:space="preserve"> </w:t>
      </w:r>
      <w:r w:rsidRPr="004F301C">
        <w:t xml:space="preserve">revised </w:t>
      </w:r>
      <w:r>
        <w:t>business plan on February 14, 2013</w:t>
      </w:r>
      <w:r w:rsidR="00325816">
        <w:t>, in Docket UG-112165</w:t>
      </w:r>
      <w:r>
        <w:t xml:space="preserve">, </w:t>
      </w:r>
      <w:r w:rsidR="0097658A">
        <w:t>and</w:t>
      </w:r>
      <w:r>
        <w:t xml:space="preserve"> commit</w:t>
      </w:r>
      <w:r w:rsidR="0097658A">
        <w:t>ed</w:t>
      </w:r>
      <w:r>
        <w:t xml:space="preserve"> to reduce administrative costs through changing vendors</w:t>
      </w:r>
      <w:r w:rsidR="00FD43B2">
        <w:t xml:space="preserve">. </w:t>
      </w:r>
      <w:r w:rsidR="0097658A">
        <w:t xml:space="preserve">Previously, </w:t>
      </w:r>
      <w:r>
        <w:t>Cascade contract</w:t>
      </w:r>
      <w:r w:rsidR="0097658A">
        <w:t>ed</w:t>
      </w:r>
      <w:r>
        <w:t xml:space="preserve"> with Lockheed Martin for third party program support for all its programs</w:t>
      </w:r>
      <w:r w:rsidR="00FD43B2">
        <w:t xml:space="preserve">. </w:t>
      </w:r>
      <w:r w:rsidR="0097658A">
        <w:t>Between May 16, 2013</w:t>
      </w:r>
      <w:r w:rsidR="004D3DEA">
        <w:t>,</w:t>
      </w:r>
      <w:r w:rsidR="0097658A">
        <w:t xml:space="preserve"> and </w:t>
      </w:r>
      <w:r w:rsidR="00846DD8">
        <w:t xml:space="preserve">   </w:t>
      </w:r>
      <w:r w:rsidR="004D3DEA">
        <w:t>Aug</w:t>
      </w:r>
      <w:r w:rsidR="00093C27">
        <w:t xml:space="preserve">ust </w:t>
      </w:r>
      <w:r w:rsidR="0097658A">
        <w:t xml:space="preserve">29, 2013, Cascade </w:t>
      </w:r>
      <w:r w:rsidR="004D3DEA">
        <w:t>began</w:t>
      </w:r>
      <w:r w:rsidR="0097658A">
        <w:t xml:space="preserve"> working with </w:t>
      </w:r>
      <w:r>
        <w:t xml:space="preserve">the Electric and Gas Industries Association (EGIA) for </w:t>
      </w:r>
      <w:r w:rsidR="004D3DEA">
        <w:t xml:space="preserve">residential </w:t>
      </w:r>
      <w:r>
        <w:t>program support</w:t>
      </w:r>
      <w:r w:rsidR="0097658A">
        <w:t xml:space="preserve">. Due to this mid-year transition, Cascade’s 2013 expenditures reflect </w:t>
      </w:r>
      <w:r>
        <w:t>the higher cost of services provided by Lockheed Martin</w:t>
      </w:r>
      <w:r w:rsidR="0097658A">
        <w:t xml:space="preserve"> in the first half of the year, and the lower cost of services provided by EGIA in the second half of the year</w:t>
      </w:r>
      <w:r>
        <w:t xml:space="preserve">. </w:t>
      </w:r>
      <w:r w:rsidR="0044257F">
        <w:t xml:space="preserve">The budget ranges filed, shown in Table 2 below, addressed the uncertainty of costs associated with the change in vendors.  </w:t>
      </w:r>
    </w:p>
    <w:p w14:paraId="40C883E9" w14:textId="77777777" w:rsidR="00991CFC" w:rsidRDefault="00991CFC" w:rsidP="00104C87">
      <w:pPr>
        <w:rPr>
          <w:b/>
        </w:rPr>
      </w:pPr>
    </w:p>
    <w:p w14:paraId="42E4D2F7" w14:textId="7FE85C9D" w:rsidR="004D3DEA" w:rsidRDefault="004D3DEA" w:rsidP="00104C87">
      <w:pPr>
        <w:rPr>
          <w:b/>
        </w:rPr>
      </w:pPr>
      <w:r>
        <w:rPr>
          <w:b/>
        </w:rPr>
        <w:t xml:space="preserve">Table 2.  </w:t>
      </w:r>
      <w:r w:rsidR="0044257F">
        <w:rPr>
          <w:b/>
        </w:rPr>
        <w:t>Conservation Budgets and Expenditures for 2013 and 2014.</w:t>
      </w:r>
      <w:r>
        <w:rPr>
          <w:rStyle w:val="FootnoteReference"/>
        </w:rPr>
        <w:footnoteReference w:id="2"/>
      </w:r>
    </w:p>
    <w:p w14:paraId="16FF20CC" w14:textId="77777777" w:rsidR="00093C27" w:rsidRPr="007B3503" w:rsidRDefault="00093C27" w:rsidP="00104C87">
      <w:pPr>
        <w:rPr>
          <w:b/>
        </w:rPr>
      </w:pPr>
    </w:p>
    <w:tbl>
      <w:tblPr>
        <w:tblW w:w="957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6"/>
        <w:gridCol w:w="2346"/>
        <w:gridCol w:w="2346"/>
      </w:tblGrid>
      <w:tr w:rsidR="007B3503" w:rsidRPr="007B3503" w14:paraId="40C883EE" w14:textId="77777777" w:rsidTr="00BB6262">
        <w:trPr>
          <w:trHeight w:val="279"/>
        </w:trPr>
        <w:tc>
          <w:tcPr>
            <w:tcW w:w="2538" w:type="dxa"/>
            <w:vAlign w:val="bottom"/>
            <w:hideMark/>
          </w:tcPr>
          <w:p w14:paraId="40C883EA" w14:textId="77777777" w:rsidR="007F5DFE" w:rsidRPr="007B3503" w:rsidRDefault="007C6EAD" w:rsidP="00E43C20">
            <w:pPr>
              <w:jc w:val="center"/>
              <w:rPr>
                <w:b/>
                <w:bCs/>
              </w:rPr>
            </w:pPr>
            <w:r w:rsidRPr="007B3503">
              <w:rPr>
                <w:b/>
                <w:bCs/>
              </w:rPr>
              <w:t>Program</w:t>
            </w:r>
          </w:p>
        </w:tc>
        <w:tc>
          <w:tcPr>
            <w:tcW w:w="2346" w:type="dxa"/>
            <w:vAlign w:val="bottom"/>
            <w:hideMark/>
          </w:tcPr>
          <w:p w14:paraId="40C883EB" w14:textId="77777777" w:rsidR="007F5DFE" w:rsidRPr="007B3503" w:rsidRDefault="007F5DFE" w:rsidP="00E43C20">
            <w:pPr>
              <w:jc w:val="center"/>
              <w:rPr>
                <w:b/>
                <w:bCs/>
              </w:rPr>
            </w:pPr>
            <w:r w:rsidRPr="007B3503">
              <w:rPr>
                <w:b/>
                <w:bCs/>
              </w:rPr>
              <w:t>2013 Budget</w:t>
            </w:r>
          </w:p>
        </w:tc>
        <w:tc>
          <w:tcPr>
            <w:tcW w:w="2346" w:type="dxa"/>
            <w:vAlign w:val="bottom"/>
            <w:hideMark/>
          </w:tcPr>
          <w:p w14:paraId="40C883EC" w14:textId="77777777" w:rsidR="007F5DFE" w:rsidRPr="007B3503" w:rsidRDefault="007F5DFE" w:rsidP="006E4D6F">
            <w:pPr>
              <w:jc w:val="center"/>
              <w:rPr>
                <w:b/>
                <w:bCs/>
              </w:rPr>
            </w:pPr>
            <w:r w:rsidRPr="007B3503">
              <w:rPr>
                <w:b/>
                <w:bCs/>
              </w:rPr>
              <w:t>2013 Expenditures</w:t>
            </w:r>
            <w:r w:rsidR="006E4D6F">
              <w:rPr>
                <w:b/>
                <w:bCs/>
              </w:rPr>
              <w:t xml:space="preserve"> (Jan.-Nov.)</w:t>
            </w:r>
          </w:p>
        </w:tc>
        <w:tc>
          <w:tcPr>
            <w:tcW w:w="2346" w:type="dxa"/>
            <w:vAlign w:val="bottom"/>
            <w:hideMark/>
          </w:tcPr>
          <w:p w14:paraId="40C883ED" w14:textId="77777777" w:rsidR="007F5DFE" w:rsidRPr="007B3503" w:rsidRDefault="007F5DFE" w:rsidP="00E43C20">
            <w:pPr>
              <w:jc w:val="center"/>
              <w:rPr>
                <w:b/>
                <w:bCs/>
              </w:rPr>
            </w:pPr>
            <w:r w:rsidRPr="007B3503">
              <w:rPr>
                <w:b/>
                <w:bCs/>
              </w:rPr>
              <w:t>2014 Budget</w:t>
            </w:r>
          </w:p>
        </w:tc>
      </w:tr>
      <w:tr w:rsidR="007B3503" w:rsidRPr="007B3503" w14:paraId="40C883F3" w14:textId="77777777" w:rsidTr="00BB6262">
        <w:trPr>
          <w:trHeight w:val="285"/>
        </w:trPr>
        <w:tc>
          <w:tcPr>
            <w:tcW w:w="2538" w:type="dxa"/>
            <w:hideMark/>
          </w:tcPr>
          <w:p w14:paraId="40C883EF" w14:textId="77777777" w:rsidR="007F5DFE" w:rsidRPr="007B3503" w:rsidRDefault="007F5DFE" w:rsidP="007C6EAD">
            <w:r w:rsidRPr="007B3503">
              <w:t>Residential</w:t>
            </w:r>
          </w:p>
        </w:tc>
        <w:tc>
          <w:tcPr>
            <w:tcW w:w="2346" w:type="dxa"/>
          </w:tcPr>
          <w:p w14:paraId="40C883F0" w14:textId="59E395CA" w:rsidR="007F5DFE" w:rsidRPr="007B3503" w:rsidRDefault="007C6EAD" w:rsidP="004D3DEA">
            <w:pPr>
              <w:jc w:val="right"/>
            </w:pPr>
            <w:r w:rsidRPr="007B3503">
              <w:t>$720,000-850,000</w:t>
            </w:r>
          </w:p>
        </w:tc>
        <w:tc>
          <w:tcPr>
            <w:tcW w:w="2346" w:type="dxa"/>
          </w:tcPr>
          <w:p w14:paraId="40C883F1" w14:textId="77777777" w:rsidR="007F5DFE" w:rsidRPr="007B3503" w:rsidRDefault="00237985" w:rsidP="00E43C20">
            <w:pPr>
              <w:jc w:val="right"/>
            </w:pPr>
            <w:r>
              <w:t>Approx. $465,000</w:t>
            </w:r>
          </w:p>
        </w:tc>
        <w:tc>
          <w:tcPr>
            <w:tcW w:w="2346" w:type="dxa"/>
          </w:tcPr>
          <w:p w14:paraId="40C883F2" w14:textId="7C9C5293" w:rsidR="007F5DFE" w:rsidRPr="007B3503" w:rsidRDefault="007C6EAD" w:rsidP="004D3DEA">
            <w:pPr>
              <w:jc w:val="right"/>
            </w:pPr>
            <w:r w:rsidRPr="007B3503">
              <w:t>$800,000-950,000</w:t>
            </w:r>
          </w:p>
        </w:tc>
      </w:tr>
      <w:tr w:rsidR="007B3503" w:rsidRPr="007B3503" w14:paraId="40C883F8" w14:textId="77777777" w:rsidTr="00BB6262">
        <w:trPr>
          <w:trHeight w:val="210"/>
        </w:trPr>
        <w:tc>
          <w:tcPr>
            <w:tcW w:w="2538" w:type="dxa"/>
            <w:hideMark/>
          </w:tcPr>
          <w:p w14:paraId="40C883F4" w14:textId="77777777" w:rsidR="007F5DFE" w:rsidRPr="007B3503" w:rsidRDefault="007F5DFE" w:rsidP="007C6EAD">
            <w:r w:rsidRPr="007B3503">
              <w:t xml:space="preserve">Commercial/Industrial </w:t>
            </w:r>
          </w:p>
        </w:tc>
        <w:tc>
          <w:tcPr>
            <w:tcW w:w="2346" w:type="dxa"/>
          </w:tcPr>
          <w:p w14:paraId="40C883F5" w14:textId="0AF65CFF" w:rsidR="007F5DFE" w:rsidRPr="007B3503" w:rsidRDefault="007C6EAD" w:rsidP="004D3DEA">
            <w:pPr>
              <w:jc w:val="right"/>
            </w:pPr>
            <w:r w:rsidRPr="007B3503">
              <w:t>$600,000-800,000</w:t>
            </w:r>
          </w:p>
        </w:tc>
        <w:tc>
          <w:tcPr>
            <w:tcW w:w="2346" w:type="dxa"/>
          </w:tcPr>
          <w:p w14:paraId="40C883F6" w14:textId="77777777" w:rsidR="007F5DFE" w:rsidRPr="007B3503" w:rsidRDefault="00237985" w:rsidP="00E43C20">
            <w:pPr>
              <w:jc w:val="right"/>
            </w:pPr>
            <w:r>
              <w:t>Approx. $518,000</w:t>
            </w:r>
          </w:p>
        </w:tc>
        <w:tc>
          <w:tcPr>
            <w:tcW w:w="2346" w:type="dxa"/>
          </w:tcPr>
          <w:p w14:paraId="40C883F7" w14:textId="1418B9EE" w:rsidR="007F5DFE" w:rsidRPr="007B3503" w:rsidRDefault="007C6EAD" w:rsidP="004D3DEA">
            <w:pPr>
              <w:jc w:val="right"/>
            </w:pPr>
            <w:r w:rsidRPr="007B3503">
              <w:t>$630,000-840,000</w:t>
            </w:r>
          </w:p>
        </w:tc>
      </w:tr>
      <w:tr w:rsidR="007B3503" w:rsidRPr="007B3503" w14:paraId="40C883FD" w14:textId="77777777" w:rsidTr="00BB6262">
        <w:trPr>
          <w:trHeight w:val="219"/>
        </w:trPr>
        <w:tc>
          <w:tcPr>
            <w:tcW w:w="2538" w:type="dxa"/>
            <w:hideMark/>
          </w:tcPr>
          <w:p w14:paraId="40C883F9" w14:textId="77777777" w:rsidR="007F5DFE" w:rsidRPr="007B3503" w:rsidRDefault="007C6EAD" w:rsidP="005226D9">
            <w:r w:rsidRPr="007B3503">
              <w:t>Admin</w:t>
            </w:r>
            <w:r w:rsidR="005226D9">
              <w:t>istration</w:t>
            </w:r>
          </w:p>
        </w:tc>
        <w:tc>
          <w:tcPr>
            <w:tcW w:w="2346" w:type="dxa"/>
          </w:tcPr>
          <w:p w14:paraId="40C883FA" w14:textId="285A6AB8" w:rsidR="007F5DFE" w:rsidRPr="007B3503" w:rsidRDefault="007C6EAD" w:rsidP="004D3DEA">
            <w:pPr>
              <w:jc w:val="right"/>
            </w:pPr>
            <w:r w:rsidRPr="007B3503">
              <w:t>$600,000-1,400,000</w:t>
            </w:r>
          </w:p>
        </w:tc>
        <w:tc>
          <w:tcPr>
            <w:tcW w:w="2346" w:type="dxa"/>
          </w:tcPr>
          <w:p w14:paraId="40C883FB" w14:textId="77777777" w:rsidR="007F5DFE" w:rsidRPr="007B3503" w:rsidRDefault="00237985" w:rsidP="00E43C20">
            <w:pPr>
              <w:jc w:val="right"/>
            </w:pPr>
            <w:r>
              <w:t>Approx. $1,500,000</w:t>
            </w:r>
          </w:p>
        </w:tc>
        <w:tc>
          <w:tcPr>
            <w:tcW w:w="2346" w:type="dxa"/>
          </w:tcPr>
          <w:p w14:paraId="40C883FC" w14:textId="13A1A1ED" w:rsidR="007F5DFE" w:rsidRPr="007B3503" w:rsidRDefault="007C6EAD" w:rsidP="00B372F4">
            <w:pPr>
              <w:jc w:val="right"/>
            </w:pPr>
            <w:r w:rsidRPr="007B3503">
              <w:t>$450,000-1,300,000</w:t>
            </w:r>
          </w:p>
        </w:tc>
      </w:tr>
      <w:tr w:rsidR="005226D9" w:rsidRPr="005226D9" w14:paraId="40C88402" w14:textId="77777777" w:rsidTr="00BB6262">
        <w:trPr>
          <w:trHeight w:val="255"/>
        </w:trPr>
        <w:tc>
          <w:tcPr>
            <w:tcW w:w="2538" w:type="dxa"/>
          </w:tcPr>
          <w:p w14:paraId="40C883FE" w14:textId="77777777" w:rsidR="005226D9" w:rsidRPr="005226D9" w:rsidRDefault="005226D9" w:rsidP="00E43C20">
            <w:r w:rsidRPr="005226D9">
              <w:t>EM&amp;V and Potential Assessment</w:t>
            </w:r>
          </w:p>
        </w:tc>
        <w:tc>
          <w:tcPr>
            <w:tcW w:w="2346" w:type="dxa"/>
          </w:tcPr>
          <w:p w14:paraId="40C883FF" w14:textId="77777777" w:rsidR="005226D9" w:rsidRPr="005226D9" w:rsidRDefault="005226D9" w:rsidP="00E43C20">
            <w:pPr>
              <w:jc w:val="right"/>
            </w:pPr>
            <w:r>
              <w:t>$113,320</w:t>
            </w:r>
          </w:p>
        </w:tc>
        <w:tc>
          <w:tcPr>
            <w:tcW w:w="2346" w:type="dxa"/>
          </w:tcPr>
          <w:p w14:paraId="40C88400" w14:textId="77777777" w:rsidR="005226D9" w:rsidRPr="005226D9" w:rsidRDefault="00237985" w:rsidP="00E43C20">
            <w:pPr>
              <w:jc w:val="right"/>
            </w:pPr>
            <w:r>
              <w:t>Approx. $117,000</w:t>
            </w:r>
          </w:p>
        </w:tc>
        <w:tc>
          <w:tcPr>
            <w:tcW w:w="2346" w:type="dxa"/>
          </w:tcPr>
          <w:p w14:paraId="40C88401" w14:textId="77777777" w:rsidR="005226D9" w:rsidRPr="005226D9" w:rsidRDefault="00237985" w:rsidP="00E43C20">
            <w:pPr>
              <w:jc w:val="right"/>
            </w:pPr>
            <w:r>
              <w:t>N/A</w:t>
            </w:r>
          </w:p>
        </w:tc>
      </w:tr>
      <w:tr w:rsidR="007B3503" w:rsidRPr="007B3503" w14:paraId="40C88407" w14:textId="77777777" w:rsidTr="00BB6262">
        <w:trPr>
          <w:trHeight w:val="255"/>
        </w:trPr>
        <w:tc>
          <w:tcPr>
            <w:tcW w:w="2538" w:type="dxa"/>
            <w:hideMark/>
          </w:tcPr>
          <w:p w14:paraId="40C88403" w14:textId="77777777" w:rsidR="007F5DFE" w:rsidRPr="007B3503" w:rsidRDefault="007F5DFE" w:rsidP="00E43C20">
            <w:pPr>
              <w:rPr>
                <w:b/>
              </w:rPr>
            </w:pPr>
            <w:r w:rsidRPr="007B3503">
              <w:rPr>
                <w:b/>
              </w:rPr>
              <w:t>Total</w:t>
            </w:r>
          </w:p>
        </w:tc>
        <w:tc>
          <w:tcPr>
            <w:tcW w:w="2346" w:type="dxa"/>
          </w:tcPr>
          <w:p w14:paraId="40C88404" w14:textId="2FBCE4A5" w:rsidR="007F5DFE" w:rsidRPr="007B3503" w:rsidRDefault="007C6EAD" w:rsidP="004D3DEA">
            <w:pPr>
              <w:jc w:val="right"/>
              <w:rPr>
                <w:b/>
              </w:rPr>
            </w:pPr>
            <w:r w:rsidRPr="007B3503">
              <w:rPr>
                <w:b/>
              </w:rPr>
              <w:t>$1,920,000-3,050,000</w:t>
            </w:r>
          </w:p>
        </w:tc>
        <w:tc>
          <w:tcPr>
            <w:tcW w:w="2346" w:type="dxa"/>
          </w:tcPr>
          <w:p w14:paraId="40C88405" w14:textId="77777777" w:rsidR="007F5DFE" w:rsidRPr="007B3503" w:rsidRDefault="007F5DFE" w:rsidP="00E43C20">
            <w:pPr>
              <w:jc w:val="right"/>
              <w:rPr>
                <w:b/>
              </w:rPr>
            </w:pPr>
          </w:p>
        </w:tc>
        <w:tc>
          <w:tcPr>
            <w:tcW w:w="2346" w:type="dxa"/>
          </w:tcPr>
          <w:p w14:paraId="40C88406" w14:textId="3ACDB8FF" w:rsidR="007F5DFE" w:rsidRPr="007B3503" w:rsidRDefault="007C6EAD" w:rsidP="004D3DEA">
            <w:pPr>
              <w:jc w:val="right"/>
              <w:rPr>
                <w:b/>
              </w:rPr>
            </w:pPr>
            <w:r w:rsidRPr="007B3503">
              <w:rPr>
                <w:b/>
              </w:rPr>
              <w:t>$1,880,000-3,090,000</w:t>
            </w:r>
          </w:p>
        </w:tc>
      </w:tr>
    </w:tbl>
    <w:p w14:paraId="40C88408" w14:textId="77777777" w:rsidR="007F5DFE" w:rsidRDefault="007F5DFE" w:rsidP="00104C87"/>
    <w:p w14:paraId="40C88409" w14:textId="74868D50" w:rsidR="00991CFC" w:rsidRDefault="00991CFC" w:rsidP="00104C87">
      <w:r>
        <w:t xml:space="preserve">Staff reviewed Cascade’s conservation expenditures incurred between August 1, 2012, and </w:t>
      </w:r>
      <w:r w:rsidR="00846DD8">
        <w:t xml:space="preserve">   </w:t>
      </w:r>
      <w:r>
        <w:t>July 31, 2013, in Docket UG-131872</w:t>
      </w:r>
      <w:r w:rsidR="00FD43B2">
        <w:t xml:space="preserve">. </w:t>
      </w:r>
      <w:r w:rsidR="0097658A">
        <w:t>Staff expects to see further reductions in administrative costs in Cascade’s next conservation cost recovery filing</w:t>
      </w:r>
      <w:r w:rsidR="003C1EE2">
        <w:t xml:space="preserve"> in October, 2014</w:t>
      </w:r>
      <w:r w:rsidR="0097658A">
        <w:t>.</w:t>
      </w:r>
    </w:p>
    <w:p w14:paraId="40C8840A" w14:textId="77777777" w:rsidR="00991CFC" w:rsidRDefault="00991CFC" w:rsidP="00104C87"/>
    <w:p w14:paraId="40C8840B" w14:textId="0BFDC173" w:rsidR="00C6028A" w:rsidRPr="007B3503" w:rsidRDefault="0079589B" w:rsidP="00104C87">
      <w:r>
        <w:lastRenderedPageBreak/>
        <w:t xml:space="preserve">In 2013, </w:t>
      </w:r>
      <w:r w:rsidR="00093C27">
        <w:t xml:space="preserve">Cascade </w:t>
      </w:r>
      <w:r>
        <w:t>contracted with Nexant, Inc.</w:t>
      </w:r>
      <w:r w:rsidR="003C1EE2">
        <w:t xml:space="preserve"> (Nexant)</w:t>
      </w:r>
      <w:r>
        <w:t>, to conduct evaluation, measurement and verification (EM&amp;V) of Cascade’s achieved savings, and develop a new conservation potential assessment with updated measure savings values.</w:t>
      </w:r>
      <w:r w:rsidR="003B53EE">
        <w:t xml:space="preserve"> </w:t>
      </w:r>
      <w:r w:rsidR="00EF30EE">
        <w:t>Cascade expects Nexant to complete</w:t>
      </w:r>
      <w:r>
        <w:t xml:space="preserve"> this work between January and February, 2014</w:t>
      </w:r>
      <w:r w:rsidR="00FD43B2">
        <w:t xml:space="preserve">. </w:t>
      </w:r>
      <w:r>
        <w:t xml:space="preserve">Cascade’s current conservation potential assessment was developed in 2006 in coordination with the Energy Trust of Oregon, and was updated periodically with limited revisions. </w:t>
      </w:r>
      <w:r w:rsidR="00C73C83">
        <w:t>T</w:t>
      </w:r>
      <w:r>
        <w:t xml:space="preserve">his expense was originally included in Cascade’s budget filed February 14, 2013, </w:t>
      </w:r>
      <w:r w:rsidR="00C73C83">
        <w:t xml:space="preserve">and </w:t>
      </w:r>
      <w:r w:rsidR="00093C27">
        <w:t xml:space="preserve">staff </w:t>
      </w:r>
      <w:r>
        <w:t>expects this work to provide valuable information to improve Cascade’s conservation program.</w:t>
      </w:r>
      <w:r w:rsidR="003B53EE">
        <w:t xml:space="preserve"> These expenditures will be reviewed through the next conservation </w:t>
      </w:r>
      <w:r w:rsidR="003C1EE2">
        <w:t>recovery filing.</w:t>
      </w:r>
    </w:p>
    <w:p w14:paraId="40C8840C" w14:textId="77777777" w:rsidR="000031D1" w:rsidRPr="007B3503" w:rsidRDefault="000031D1" w:rsidP="00526189"/>
    <w:p w14:paraId="40C8840D" w14:textId="77777777" w:rsidR="00C75312" w:rsidRDefault="00991CFC" w:rsidP="004B4ED5">
      <w:r w:rsidRPr="003C1EE2">
        <w:rPr>
          <w:b/>
        </w:rPr>
        <w:t>Natural Gas Policy Statement</w:t>
      </w:r>
      <w:r w:rsidR="003C1EE2">
        <w:rPr>
          <w:b/>
        </w:rPr>
        <w:t xml:space="preserve"> Implementation</w:t>
      </w:r>
    </w:p>
    <w:p w14:paraId="40C8840E" w14:textId="77777777" w:rsidR="003C1EE2" w:rsidRDefault="003C1EE2" w:rsidP="004B4ED5"/>
    <w:p w14:paraId="40C8840F" w14:textId="15CFB92B" w:rsidR="003C1EE2" w:rsidRPr="00BE2177" w:rsidRDefault="00BE2177" w:rsidP="004B4ED5">
      <w:r w:rsidRPr="00BE2177">
        <w:t xml:space="preserve">In response to the </w:t>
      </w:r>
      <w:r w:rsidR="00093C27">
        <w:t>c</w:t>
      </w:r>
      <w:r w:rsidR="00093C27" w:rsidRPr="00BE2177">
        <w:t xml:space="preserve">ommission’s </w:t>
      </w:r>
      <w:r w:rsidRPr="00BE2177">
        <w:t>Policy Statement on the Evaluation of the Cost-Effectiveness of Natural Gas Conservation Programs</w:t>
      </w:r>
      <w:r>
        <w:t xml:space="preserve"> (Policy Statement), in Docket UG-121207, </w:t>
      </w:r>
      <w:r w:rsidR="003C1EE2" w:rsidRPr="00BE2177">
        <w:t xml:space="preserve">Cascade has asked Nexant to </w:t>
      </w:r>
      <w:r>
        <w:t>also review the cost-effectiveness of its conservation programs using the discount rates recommended by the Policy Statement. Currently, Cascade uses a long-term real discount rate of 4.170</w:t>
      </w:r>
      <w:r w:rsidR="00C73C83">
        <w:t xml:space="preserve"> percent </w:t>
      </w:r>
      <w:r>
        <w:t xml:space="preserve">for valuing conservation savings over the life of the measures. No other natural gas company regulated by the </w:t>
      </w:r>
      <w:r w:rsidR="00093C27">
        <w:t xml:space="preserve">commission </w:t>
      </w:r>
      <w:r>
        <w:t xml:space="preserve">uses a long term real discount rate. Nexant </w:t>
      </w:r>
      <w:r w:rsidR="00FF301F">
        <w:t xml:space="preserve">is evaluating the use of a discount rate within the range of the weighted average costs of capital (WACC) used by other companies, and preliminary results indicate that this change reduces the cost-effectiveness of Cascade’s conservation portfolio. After Nexant completes the study, Cascade plans to consult with its Conservation Advisory Group to determine which discount rates make the most sense for Cascade to use. Staff believes it would be appropriate for the </w:t>
      </w:r>
      <w:r w:rsidR="00093C27">
        <w:t xml:space="preserve">commission </w:t>
      </w:r>
      <w:r w:rsidR="00FF301F">
        <w:t>to invite Cascade to discuss this issue at a recessed open meeting in the spring</w:t>
      </w:r>
      <w:r w:rsidR="00FD43B2">
        <w:t xml:space="preserve">. </w:t>
      </w:r>
    </w:p>
    <w:p w14:paraId="7564DB01" w14:textId="14B78342" w:rsidR="00FD43B2" w:rsidRDefault="00FD43B2" w:rsidP="00FD43B2">
      <w:pPr>
        <w:pStyle w:val="Heading1"/>
      </w:pPr>
      <w:r>
        <w:t>Conclusion</w:t>
      </w:r>
    </w:p>
    <w:p w14:paraId="3932ACCD" w14:textId="77777777" w:rsidR="00FD43B2" w:rsidRDefault="00FD43B2" w:rsidP="00FD43B2">
      <w:r>
        <w:t>Direct staff to close the staff investigation in Docket UG-132226.</w:t>
      </w:r>
    </w:p>
    <w:p w14:paraId="4DB6B5AF" w14:textId="77777777" w:rsidR="00FD43B2" w:rsidRPr="007B3503" w:rsidRDefault="00FD43B2" w:rsidP="004B4ED5"/>
    <w:sectPr w:rsidR="00FD43B2" w:rsidRPr="007B3503" w:rsidSect="00BA4E08">
      <w:headerReference w:type="default" r:id="rId13"/>
      <w:footerReference w:type="default" r:id="rId14"/>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88413" w14:textId="77777777" w:rsidR="00325816" w:rsidRDefault="00325816" w:rsidP="00FF75F4">
      <w:r>
        <w:separator/>
      </w:r>
    </w:p>
  </w:endnote>
  <w:endnote w:type="continuationSeparator" w:id="0">
    <w:p w14:paraId="40C88414" w14:textId="77777777" w:rsidR="00325816" w:rsidRDefault="00325816"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88419" w14:textId="2938F137" w:rsidR="00325816" w:rsidRDefault="00325816">
    <w:pPr>
      <w:pStyle w:val="Footer"/>
      <w:jc w:val="right"/>
    </w:pPr>
  </w:p>
  <w:p w14:paraId="40C8841A" w14:textId="77777777" w:rsidR="00325816" w:rsidRDefault="00325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8411" w14:textId="77777777" w:rsidR="00325816" w:rsidRDefault="00325816" w:rsidP="00FF75F4">
      <w:r>
        <w:separator/>
      </w:r>
    </w:p>
  </w:footnote>
  <w:footnote w:type="continuationSeparator" w:id="0">
    <w:p w14:paraId="40C88412" w14:textId="77777777" w:rsidR="00325816" w:rsidRDefault="00325816" w:rsidP="00FF75F4">
      <w:r>
        <w:continuationSeparator/>
      </w:r>
    </w:p>
  </w:footnote>
  <w:footnote w:id="1">
    <w:p w14:paraId="40C8841B" w14:textId="2D5F21CA" w:rsidR="00325816" w:rsidRDefault="00325816">
      <w:pPr>
        <w:pStyle w:val="FootnoteText"/>
      </w:pPr>
      <w:r>
        <w:rPr>
          <w:rStyle w:val="FootnoteReference"/>
        </w:rPr>
        <w:footnoteRef/>
      </w:r>
      <w:r>
        <w:t xml:space="preserve"> Cascade already  has approximately 114,000 therms of additional savings from ongoing projects that are expected to be completed by the end of the year. </w:t>
      </w:r>
    </w:p>
  </w:footnote>
  <w:footnote w:id="2">
    <w:p w14:paraId="367E4A1F" w14:textId="382C64A7" w:rsidR="00325816" w:rsidRDefault="00325816" w:rsidP="004D3DEA">
      <w:pPr>
        <w:pStyle w:val="FootnoteText"/>
      </w:pPr>
      <w:r>
        <w:rPr>
          <w:rStyle w:val="FootnoteReference"/>
        </w:rPr>
        <w:footnoteRef/>
      </w:r>
      <w:r>
        <w:t xml:space="preserve"> Cascade presents its budget as a range. Staff </w:t>
      </w:r>
      <w:r w:rsidR="00B372F4">
        <w:t xml:space="preserve">primarily </w:t>
      </w:r>
      <w:r>
        <w:t>uses the maximum budget amount in its analys</w:t>
      </w:r>
      <w:r w:rsidR="00B372F4">
        <w:t>i</w:t>
      </w:r>
      <w:r>
        <w:t xml:space="preserve">s of the conservation plan. However, in the budgets as filed, Cascade did not provide cost-effectiveness analysis for the range of budgets it included. Future budget estimates </w:t>
      </w:r>
      <w:r w:rsidR="00B372F4">
        <w:t>should include cost-effectiveness calculations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88415" w14:textId="77777777" w:rsidR="00325816" w:rsidRPr="00BB6262" w:rsidRDefault="00325816" w:rsidP="002C648F">
    <w:pPr>
      <w:pStyle w:val="Header"/>
      <w:rPr>
        <w:sz w:val="20"/>
        <w:szCs w:val="20"/>
      </w:rPr>
    </w:pPr>
    <w:r w:rsidRPr="00BB6262">
      <w:rPr>
        <w:sz w:val="20"/>
        <w:szCs w:val="20"/>
      </w:rPr>
      <w:t>DOCKET UG-132226</w:t>
    </w:r>
  </w:p>
  <w:p w14:paraId="40C88416" w14:textId="77777777" w:rsidR="00325816" w:rsidRPr="00BB6262" w:rsidRDefault="00325816" w:rsidP="002C648F">
    <w:pPr>
      <w:pStyle w:val="Header"/>
      <w:rPr>
        <w:sz w:val="20"/>
        <w:szCs w:val="20"/>
      </w:rPr>
    </w:pPr>
    <w:r w:rsidRPr="00BB6262">
      <w:rPr>
        <w:sz w:val="20"/>
        <w:szCs w:val="20"/>
      </w:rPr>
      <w:t>December 18, 2013</w:t>
    </w:r>
  </w:p>
  <w:p w14:paraId="40C88417" w14:textId="77777777" w:rsidR="00325816" w:rsidRPr="00BB6262" w:rsidRDefault="00325816" w:rsidP="002C648F">
    <w:pPr>
      <w:pStyle w:val="Header"/>
      <w:rPr>
        <w:rStyle w:val="PageNumber"/>
        <w:sz w:val="20"/>
        <w:szCs w:val="20"/>
      </w:rPr>
    </w:pPr>
    <w:r w:rsidRPr="00BB6262">
      <w:rPr>
        <w:sz w:val="20"/>
        <w:szCs w:val="20"/>
      </w:rPr>
      <w:t xml:space="preserve">Page </w:t>
    </w:r>
    <w:r w:rsidRPr="00BB6262">
      <w:rPr>
        <w:rStyle w:val="PageNumber"/>
        <w:sz w:val="20"/>
        <w:szCs w:val="20"/>
      </w:rPr>
      <w:fldChar w:fldCharType="begin"/>
    </w:r>
    <w:r w:rsidRPr="00BB6262">
      <w:rPr>
        <w:rStyle w:val="PageNumber"/>
        <w:sz w:val="20"/>
        <w:szCs w:val="20"/>
      </w:rPr>
      <w:instrText xml:space="preserve"> PAGE </w:instrText>
    </w:r>
    <w:r w:rsidRPr="00BB6262">
      <w:rPr>
        <w:rStyle w:val="PageNumber"/>
        <w:sz w:val="20"/>
        <w:szCs w:val="20"/>
      </w:rPr>
      <w:fldChar w:fldCharType="separate"/>
    </w:r>
    <w:r w:rsidR="009660C2">
      <w:rPr>
        <w:rStyle w:val="PageNumber"/>
        <w:noProof/>
        <w:sz w:val="20"/>
        <w:szCs w:val="20"/>
      </w:rPr>
      <w:t>3</w:t>
    </w:r>
    <w:r w:rsidRPr="00BB6262">
      <w:rPr>
        <w:rStyle w:val="PageNumber"/>
        <w:sz w:val="20"/>
        <w:szCs w:val="20"/>
      </w:rPr>
      <w:fldChar w:fldCharType="end"/>
    </w:r>
  </w:p>
  <w:p w14:paraId="40C88418" w14:textId="77777777" w:rsidR="00325816" w:rsidRPr="00E05888" w:rsidRDefault="00325816"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0FCF"/>
    <w:rsid w:val="00001805"/>
    <w:rsid w:val="000031D1"/>
    <w:rsid w:val="0000603F"/>
    <w:rsid w:val="000126E3"/>
    <w:rsid w:val="00013E26"/>
    <w:rsid w:val="00024AD3"/>
    <w:rsid w:val="00025FA6"/>
    <w:rsid w:val="00030742"/>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C27"/>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41CD"/>
    <w:rsid w:val="00100426"/>
    <w:rsid w:val="00100726"/>
    <w:rsid w:val="0010117B"/>
    <w:rsid w:val="00104C87"/>
    <w:rsid w:val="00104E99"/>
    <w:rsid w:val="00106E5E"/>
    <w:rsid w:val="0011135E"/>
    <w:rsid w:val="00115F20"/>
    <w:rsid w:val="001162AB"/>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96A"/>
    <w:rsid w:val="00180D93"/>
    <w:rsid w:val="00184410"/>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204A52"/>
    <w:rsid w:val="0020635F"/>
    <w:rsid w:val="00220A9A"/>
    <w:rsid w:val="002215D4"/>
    <w:rsid w:val="002245E8"/>
    <w:rsid w:val="00225BAA"/>
    <w:rsid w:val="0022715D"/>
    <w:rsid w:val="00227F90"/>
    <w:rsid w:val="00233031"/>
    <w:rsid w:val="002348AC"/>
    <w:rsid w:val="00236427"/>
    <w:rsid w:val="00237985"/>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41D7"/>
    <w:rsid w:val="002A67A9"/>
    <w:rsid w:val="002A7D14"/>
    <w:rsid w:val="002A7D27"/>
    <w:rsid w:val="002B6C2B"/>
    <w:rsid w:val="002C0730"/>
    <w:rsid w:val="002C179B"/>
    <w:rsid w:val="002C40C5"/>
    <w:rsid w:val="002C5999"/>
    <w:rsid w:val="002C648F"/>
    <w:rsid w:val="002C74B0"/>
    <w:rsid w:val="002D017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23E8"/>
    <w:rsid w:val="003139AE"/>
    <w:rsid w:val="00322A9D"/>
    <w:rsid w:val="0032544B"/>
    <w:rsid w:val="00325816"/>
    <w:rsid w:val="003326BC"/>
    <w:rsid w:val="003329DB"/>
    <w:rsid w:val="00332D84"/>
    <w:rsid w:val="0033757E"/>
    <w:rsid w:val="00340117"/>
    <w:rsid w:val="003404BE"/>
    <w:rsid w:val="00341972"/>
    <w:rsid w:val="00343083"/>
    <w:rsid w:val="003432D1"/>
    <w:rsid w:val="00343B9D"/>
    <w:rsid w:val="003607EF"/>
    <w:rsid w:val="003614F9"/>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53EE"/>
    <w:rsid w:val="003B741B"/>
    <w:rsid w:val="003C1EE2"/>
    <w:rsid w:val="003C7708"/>
    <w:rsid w:val="003D21C9"/>
    <w:rsid w:val="003D3A3A"/>
    <w:rsid w:val="003D4240"/>
    <w:rsid w:val="003D5FE5"/>
    <w:rsid w:val="003E7551"/>
    <w:rsid w:val="003F05EC"/>
    <w:rsid w:val="003F09CE"/>
    <w:rsid w:val="003F1BDE"/>
    <w:rsid w:val="003F2771"/>
    <w:rsid w:val="004005B6"/>
    <w:rsid w:val="00405C03"/>
    <w:rsid w:val="004148E7"/>
    <w:rsid w:val="0042262E"/>
    <w:rsid w:val="004242A1"/>
    <w:rsid w:val="004312C0"/>
    <w:rsid w:val="00433A8C"/>
    <w:rsid w:val="004358D6"/>
    <w:rsid w:val="00441BDD"/>
    <w:rsid w:val="0044257F"/>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DA1"/>
    <w:rsid w:val="004B4ED5"/>
    <w:rsid w:val="004C207B"/>
    <w:rsid w:val="004C2614"/>
    <w:rsid w:val="004C3E8A"/>
    <w:rsid w:val="004C3F6A"/>
    <w:rsid w:val="004C579D"/>
    <w:rsid w:val="004D2FEB"/>
    <w:rsid w:val="004D3DEA"/>
    <w:rsid w:val="004D4B4E"/>
    <w:rsid w:val="004E443D"/>
    <w:rsid w:val="004F3666"/>
    <w:rsid w:val="004F36CA"/>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6D9"/>
    <w:rsid w:val="00522C40"/>
    <w:rsid w:val="00524B4F"/>
    <w:rsid w:val="00526189"/>
    <w:rsid w:val="005426DF"/>
    <w:rsid w:val="005440CF"/>
    <w:rsid w:val="0055621D"/>
    <w:rsid w:val="0056341A"/>
    <w:rsid w:val="00566C61"/>
    <w:rsid w:val="005720E6"/>
    <w:rsid w:val="00582C07"/>
    <w:rsid w:val="0058597F"/>
    <w:rsid w:val="0059285C"/>
    <w:rsid w:val="00593784"/>
    <w:rsid w:val="005A0A09"/>
    <w:rsid w:val="005A496B"/>
    <w:rsid w:val="005A4A28"/>
    <w:rsid w:val="005A60BD"/>
    <w:rsid w:val="005A7B7E"/>
    <w:rsid w:val="005B75F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4FC0"/>
    <w:rsid w:val="00625424"/>
    <w:rsid w:val="00630E56"/>
    <w:rsid w:val="00632EAB"/>
    <w:rsid w:val="006348A7"/>
    <w:rsid w:val="00645F4C"/>
    <w:rsid w:val="00651161"/>
    <w:rsid w:val="0065149E"/>
    <w:rsid w:val="0065373E"/>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87B"/>
    <w:rsid w:val="006A6A1D"/>
    <w:rsid w:val="006B2981"/>
    <w:rsid w:val="006B44A2"/>
    <w:rsid w:val="006B5368"/>
    <w:rsid w:val="006C19C3"/>
    <w:rsid w:val="006C1A2B"/>
    <w:rsid w:val="006C2E2B"/>
    <w:rsid w:val="006C3A10"/>
    <w:rsid w:val="006C6F08"/>
    <w:rsid w:val="006D2279"/>
    <w:rsid w:val="006D4BCC"/>
    <w:rsid w:val="006E0ACD"/>
    <w:rsid w:val="006E2FCC"/>
    <w:rsid w:val="006E356D"/>
    <w:rsid w:val="006E4394"/>
    <w:rsid w:val="006E4D6F"/>
    <w:rsid w:val="006E79D6"/>
    <w:rsid w:val="006F1159"/>
    <w:rsid w:val="006F7BF2"/>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589B"/>
    <w:rsid w:val="00795DB7"/>
    <w:rsid w:val="00796228"/>
    <w:rsid w:val="00797A54"/>
    <w:rsid w:val="007A1E85"/>
    <w:rsid w:val="007A2B2C"/>
    <w:rsid w:val="007A3FFE"/>
    <w:rsid w:val="007A6C79"/>
    <w:rsid w:val="007A76D8"/>
    <w:rsid w:val="007B0D24"/>
    <w:rsid w:val="007B3503"/>
    <w:rsid w:val="007B711E"/>
    <w:rsid w:val="007B7BB4"/>
    <w:rsid w:val="007C66EB"/>
    <w:rsid w:val="007C6EAD"/>
    <w:rsid w:val="007C7855"/>
    <w:rsid w:val="007C7D4E"/>
    <w:rsid w:val="007D0C27"/>
    <w:rsid w:val="007D1FCB"/>
    <w:rsid w:val="007D3D1A"/>
    <w:rsid w:val="007D409B"/>
    <w:rsid w:val="007D4283"/>
    <w:rsid w:val="007D50DE"/>
    <w:rsid w:val="007D674F"/>
    <w:rsid w:val="007D6A75"/>
    <w:rsid w:val="007E0EB5"/>
    <w:rsid w:val="007E0F99"/>
    <w:rsid w:val="007E3A0E"/>
    <w:rsid w:val="007E55FF"/>
    <w:rsid w:val="007E5710"/>
    <w:rsid w:val="007E66AA"/>
    <w:rsid w:val="007F0A61"/>
    <w:rsid w:val="007F5144"/>
    <w:rsid w:val="007F5DFE"/>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46DD8"/>
    <w:rsid w:val="00857EC5"/>
    <w:rsid w:val="00862939"/>
    <w:rsid w:val="00862FFC"/>
    <w:rsid w:val="0086422D"/>
    <w:rsid w:val="008745FE"/>
    <w:rsid w:val="00876F19"/>
    <w:rsid w:val="008771C3"/>
    <w:rsid w:val="00880D77"/>
    <w:rsid w:val="008900C9"/>
    <w:rsid w:val="008A07C8"/>
    <w:rsid w:val="008A2CAB"/>
    <w:rsid w:val="008A4054"/>
    <w:rsid w:val="008A4EE5"/>
    <w:rsid w:val="008A7A4D"/>
    <w:rsid w:val="008B2181"/>
    <w:rsid w:val="008B5111"/>
    <w:rsid w:val="008C08ED"/>
    <w:rsid w:val="008C306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5F90"/>
    <w:rsid w:val="00907168"/>
    <w:rsid w:val="0091069F"/>
    <w:rsid w:val="00915206"/>
    <w:rsid w:val="009249F0"/>
    <w:rsid w:val="0092524C"/>
    <w:rsid w:val="0092599F"/>
    <w:rsid w:val="00931127"/>
    <w:rsid w:val="0093145C"/>
    <w:rsid w:val="00934A3C"/>
    <w:rsid w:val="009363BA"/>
    <w:rsid w:val="00936FF6"/>
    <w:rsid w:val="00940FC6"/>
    <w:rsid w:val="00947A1D"/>
    <w:rsid w:val="00947AAF"/>
    <w:rsid w:val="00956BA6"/>
    <w:rsid w:val="00963D1F"/>
    <w:rsid w:val="009652E7"/>
    <w:rsid w:val="009660C2"/>
    <w:rsid w:val="009702DA"/>
    <w:rsid w:val="009712CC"/>
    <w:rsid w:val="009742A7"/>
    <w:rsid w:val="0097658A"/>
    <w:rsid w:val="00980023"/>
    <w:rsid w:val="00980095"/>
    <w:rsid w:val="009828A2"/>
    <w:rsid w:val="0098532A"/>
    <w:rsid w:val="00985D0D"/>
    <w:rsid w:val="00991CFC"/>
    <w:rsid w:val="00992B48"/>
    <w:rsid w:val="00993829"/>
    <w:rsid w:val="00993D47"/>
    <w:rsid w:val="0099446A"/>
    <w:rsid w:val="009A6FAA"/>
    <w:rsid w:val="009C216D"/>
    <w:rsid w:val="009C29E7"/>
    <w:rsid w:val="009C3A9C"/>
    <w:rsid w:val="009C4479"/>
    <w:rsid w:val="009C4F77"/>
    <w:rsid w:val="009D2E33"/>
    <w:rsid w:val="009D3809"/>
    <w:rsid w:val="009D4411"/>
    <w:rsid w:val="009D5E9C"/>
    <w:rsid w:val="009D6358"/>
    <w:rsid w:val="009E6921"/>
    <w:rsid w:val="009F6AF0"/>
    <w:rsid w:val="009F7605"/>
    <w:rsid w:val="00A0516E"/>
    <w:rsid w:val="00A22344"/>
    <w:rsid w:val="00A32572"/>
    <w:rsid w:val="00A33C8A"/>
    <w:rsid w:val="00A413E1"/>
    <w:rsid w:val="00A44224"/>
    <w:rsid w:val="00A50F3F"/>
    <w:rsid w:val="00A523C6"/>
    <w:rsid w:val="00A55508"/>
    <w:rsid w:val="00A56593"/>
    <w:rsid w:val="00A633F2"/>
    <w:rsid w:val="00A6686A"/>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24201"/>
    <w:rsid w:val="00B25711"/>
    <w:rsid w:val="00B25850"/>
    <w:rsid w:val="00B26F22"/>
    <w:rsid w:val="00B306DE"/>
    <w:rsid w:val="00B31400"/>
    <w:rsid w:val="00B3359A"/>
    <w:rsid w:val="00B33E84"/>
    <w:rsid w:val="00B372F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262"/>
    <w:rsid w:val="00BB6C46"/>
    <w:rsid w:val="00BB6D0A"/>
    <w:rsid w:val="00BC2095"/>
    <w:rsid w:val="00BC59BE"/>
    <w:rsid w:val="00BC7C16"/>
    <w:rsid w:val="00BD0618"/>
    <w:rsid w:val="00BD6CA0"/>
    <w:rsid w:val="00BE2177"/>
    <w:rsid w:val="00BE498D"/>
    <w:rsid w:val="00BF3466"/>
    <w:rsid w:val="00BF3D13"/>
    <w:rsid w:val="00BF5E4A"/>
    <w:rsid w:val="00BF7B1B"/>
    <w:rsid w:val="00C00012"/>
    <w:rsid w:val="00C026E9"/>
    <w:rsid w:val="00C12B6F"/>
    <w:rsid w:val="00C14375"/>
    <w:rsid w:val="00C16E7B"/>
    <w:rsid w:val="00C30885"/>
    <w:rsid w:val="00C3599E"/>
    <w:rsid w:val="00C40BED"/>
    <w:rsid w:val="00C516C4"/>
    <w:rsid w:val="00C531D9"/>
    <w:rsid w:val="00C5784F"/>
    <w:rsid w:val="00C6028A"/>
    <w:rsid w:val="00C67384"/>
    <w:rsid w:val="00C73C83"/>
    <w:rsid w:val="00C74B68"/>
    <w:rsid w:val="00C75312"/>
    <w:rsid w:val="00C75742"/>
    <w:rsid w:val="00C77EA9"/>
    <w:rsid w:val="00C8153C"/>
    <w:rsid w:val="00C843D3"/>
    <w:rsid w:val="00C85FA1"/>
    <w:rsid w:val="00C91FF7"/>
    <w:rsid w:val="00CA08E2"/>
    <w:rsid w:val="00CA45F4"/>
    <w:rsid w:val="00CA5322"/>
    <w:rsid w:val="00CA65F5"/>
    <w:rsid w:val="00CB3FE8"/>
    <w:rsid w:val="00CB403A"/>
    <w:rsid w:val="00CB42AA"/>
    <w:rsid w:val="00CB655F"/>
    <w:rsid w:val="00CC094F"/>
    <w:rsid w:val="00CC2E05"/>
    <w:rsid w:val="00CC6D50"/>
    <w:rsid w:val="00CD1FE9"/>
    <w:rsid w:val="00CD74CC"/>
    <w:rsid w:val="00CE2BB3"/>
    <w:rsid w:val="00CE3F94"/>
    <w:rsid w:val="00CE51EA"/>
    <w:rsid w:val="00CF5C63"/>
    <w:rsid w:val="00D010ED"/>
    <w:rsid w:val="00D01507"/>
    <w:rsid w:val="00D0152D"/>
    <w:rsid w:val="00D01A79"/>
    <w:rsid w:val="00D0379E"/>
    <w:rsid w:val="00D06B3E"/>
    <w:rsid w:val="00D14912"/>
    <w:rsid w:val="00D23AE1"/>
    <w:rsid w:val="00D24828"/>
    <w:rsid w:val="00D37E51"/>
    <w:rsid w:val="00D5111E"/>
    <w:rsid w:val="00D53155"/>
    <w:rsid w:val="00D60E7F"/>
    <w:rsid w:val="00D61F01"/>
    <w:rsid w:val="00D66B54"/>
    <w:rsid w:val="00D7134F"/>
    <w:rsid w:val="00D718C4"/>
    <w:rsid w:val="00D75620"/>
    <w:rsid w:val="00D75C47"/>
    <w:rsid w:val="00D81519"/>
    <w:rsid w:val="00D83AEA"/>
    <w:rsid w:val="00D87D4B"/>
    <w:rsid w:val="00D90789"/>
    <w:rsid w:val="00D910DE"/>
    <w:rsid w:val="00D9474E"/>
    <w:rsid w:val="00DB2FF2"/>
    <w:rsid w:val="00DB6F04"/>
    <w:rsid w:val="00DC2128"/>
    <w:rsid w:val="00DC4A9C"/>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3C20"/>
    <w:rsid w:val="00E45628"/>
    <w:rsid w:val="00E459B5"/>
    <w:rsid w:val="00E51953"/>
    <w:rsid w:val="00E6146E"/>
    <w:rsid w:val="00E61812"/>
    <w:rsid w:val="00E63B8D"/>
    <w:rsid w:val="00E64CF5"/>
    <w:rsid w:val="00E654BE"/>
    <w:rsid w:val="00E7401F"/>
    <w:rsid w:val="00E80B4D"/>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2BC8"/>
    <w:rsid w:val="00ED5305"/>
    <w:rsid w:val="00EE1AEE"/>
    <w:rsid w:val="00EF20DB"/>
    <w:rsid w:val="00EF30EE"/>
    <w:rsid w:val="00F075E4"/>
    <w:rsid w:val="00F1128F"/>
    <w:rsid w:val="00F13A37"/>
    <w:rsid w:val="00F14C6E"/>
    <w:rsid w:val="00F17292"/>
    <w:rsid w:val="00F22536"/>
    <w:rsid w:val="00F22F14"/>
    <w:rsid w:val="00F3080F"/>
    <w:rsid w:val="00F31A95"/>
    <w:rsid w:val="00F361C8"/>
    <w:rsid w:val="00F36888"/>
    <w:rsid w:val="00F42228"/>
    <w:rsid w:val="00F45647"/>
    <w:rsid w:val="00F47B23"/>
    <w:rsid w:val="00F5398C"/>
    <w:rsid w:val="00F54F54"/>
    <w:rsid w:val="00F62B90"/>
    <w:rsid w:val="00F636D9"/>
    <w:rsid w:val="00F66820"/>
    <w:rsid w:val="00F67F4A"/>
    <w:rsid w:val="00F7673B"/>
    <w:rsid w:val="00F8031B"/>
    <w:rsid w:val="00F857AF"/>
    <w:rsid w:val="00F94663"/>
    <w:rsid w:val="00FA1568"/>
    <w:rsid w:val="00FA47FF"/>
    <w:rsid w:val="00FA57A3"/>
    <w:rsid w:val="00FA5E32"/>
    <w:rsid w:val="00FA7B38"/>
    <w:rsid w:val="00FB04FE"/>
    <w:rsid w:val="00FB0884"/>
    <w:rsid w:val="00FB2F88"/>
    <w:rsid w:val="00FB56F9"/>
    <w:rsid w:val="00FC5ECC"/>
    <w:rsid w:val="00FC66BD"/>
    <w:rsid w:val="00FD019B"/>
    <w:rsid w:val="00FD2DAA"/>
    <w:rsid w:val="00FD43B2"/>
    <w:rsid w:val="00FD668C"/>
    <w:rsid w:val="00FD6D96"/>
    <w:rsid w:val="00FD7AB8"/>
    <w:rsid w:val="00FF0115"/>
    <w:rsid w:val="00FF16E1"/>
    <w:rsid w:val="00FF301F"/>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C8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40422514">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2013-12-05T08:00:00+00:00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132226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89D43D4D61744D8507A6A6C0DE9420" ma:contentTypeVersion="135" ma:contentTypeDescription="" ma:contentTypeScope="" ma:versionID="828f00f5ea18c486ccea6219e16434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B7C40-BCBD-4240-BB3A-AA6C6103813A}"/>
</file>

<file path=customXml/itemProps2.xml><?xml version="1.0" encoding="utf-8"?>
<ds:datastoreItem xmlns:ds="http://schemas.openxmlformats.org/officeDocument/2006/customXml" ds:itemID="{9A0E31F1-C4E1-43D3-AA20-097AE492A238}"/>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8EDA79D3-542B-423E-B24F-5E0B1E4D4C20}"/>
</file>

<file path=customXml/itemProps5.xml><?xml version="1.0" encoding="utf-8"?>
<ds:datastoreItem xmlns:ds="http://schemas.openxmlformats.org/officeDocument/2006/customXml" ds:itemID="{3BB3BD46-B6DE-44A6-B72D-0380D670776B}"/>
</file>

<file path=customXml/itemProps6.xml><?xml version="1.0" encoding="utf-8"?>
<ds:datastoreItem xmlns:ds="http://schemas.openxmlformats.org/officeDocument/2006/customXml" ds:itemID="{61DF372F-5F23-4DD6-BCCA-FBFC671B0AFD}"/>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UG-132226 Cascade Conservation Update memo</vt:lpstr>
    </vt:vector>
  </TitlesOfParts>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UG-132226 Cascade Conservation Update memo</dc:title>
  <dc:creator/>
  <cp:lastModifiedBy/>
  <cp:revision>1</cp:revision>
  <dcterms:created xsi:type="dcterms:W3CDTF">2013-12-12T22:22:00Z</dcterms:created>
  <dcterms:modified xsi:type="dcterms:W3CDTF">2013-12-12T22:22:00Z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0x0101006E56B4D1795A2E4DB2F0B01679ED314A00EB89D43D4D61744D8507A6A6C0DE9420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