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17" w:rsidRPr="00F2004F" w:rsidRDefault="00B86017" w:rsidP="00B86017">
      <w:pPr>
        <w:spacing w:line="264" w:lineRule="auto"/>
        <w:jc w:val="center"/>
        <w:rPr>
          <w:b/>
          <w:bCs/>
        </w:rPr>
      </w:pPr>
      <w:r w:rsidRPr="00F2004F">
        <w:rPr>
          <w:b/>
          <w:bCs/>
        </w:rPr>
        <w:t>BEFORE THE WASHINGTON</w:t>
      </w:r>
    </w:p>
    <w:p w:rsidR="00B86017" w:rsidRPr="00F2004F" w:rsidRDefault="00B86017" w:rsidP="00B86017">
      <w:pPr>
        <w:spacing w:line="264" w:lineRule="auto"/>
        <w:jc w:val="center"/>
        <w:rPr>
          <w:b/>
          <w:bCs/>
        </w:rPr>
      </w:pPr>
      <w:r w:rsidRPr="00F2004F">
        <w:rPr>
          <w:b/>
          <w:bCs/>
        </w:rPr>
        <w:t>UTILITIES AND TRANSPORTATION COMMISSION</w:t>
      </w:r>
    </w:p>
    <w:p w:rsidR="00B86017" w:rsidRPr="00F2004F" w:rsidRDefault="00B86017" w:rsidP="00B86017">
      <w:pPr>
        <w:spacing w:line="264" w:lineRule="auto"/>
        <w:jc w:val="center"/>
        <w:rPr>
          <w:bCs/>
        </w:rPr>
      </w:pP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B86017" w:rsidRPr="00F2004F" w:rsidTr="00DA1639">
        <w:tc>
          <w:tcPr>
            <w:tcW w:w="4708" w:type="dxa"/>
          </w:tcPr>
          <w:p w:rsidR="00B86017" w:rsidRPr="00F2004F" w:rsidRDefault="00B86017" w:rsidP="00DA1639">
            <w:pPr>
              <w:keepLines/>
            </w:pPr>
          </w:p>
          <w:p w:rsidR="00B86017" w:rsidRPr="00F2004F" w:rsidRDefault="00B86017" w:rsidP="00DA1639">
            <w:pPr>
              <w:keepLines/>
            </w:pPr>
          </w:p>
          <w:p w:rsidR="00B86017" w:rsidRDefault="00A41126" w:rsidP="00DA1639">
            <w:pPr>
              <w:spacing w:line="264" w:lineRule="auto"/>
            </w:pPr>
            <w:r>
              <w:t>WASHINGTON UTILITIES AND TRANSPORTATION COMMISSION,</w:t>
            </w:r>
          </w:p>
          <w:p w:rsidR="00A41126" w:rsidRDefault="00A41126" w:rsidP="00DA1639">
            <w:pPr>
              <w:spacing w:line="264" w:lineRule="auto"/>
            </w:pPr>
          </w:p>
          <w:p w:rsidR="00A41126" w:rsidRDefault="00731C2D" w:rsidP="00C83381">
            <w:pPr>
              <w:tabs>
                <w:tab w:val="left" w:pos="1440"/>
              </w:tabs>
              <w:spacing w:line="264" w:lineRule="auto"/>
            </w:pPr>
            <w:r>
              <w:tab/>
            </w:r>
            <w:r w:rsidR="00A41126">
              <w:t>Complainant,</w:t>
            </w:r>
          </w:p>
          <w:p w:rsidR="00A41126" w:rsidRDefault="00A41126" w:rsidP="00DA1639">
            <w:pPr>
              <w:spacing w:line="264" w:lineRule="auto"/>
            </w:pPr>
          </w:p>
          <w:p w:rsidR="00A41126" w:rsidRPr="00F2004F" w:rsidRDefault="00A41126" w:rsidP="00DA1639">
            <w:pPr>
              <w:spacing w:line="264" w:lineRule="auto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B86017" w:rsidRPr="00F2004F" w:rsidRDefault="00B86017" w:rsidP="00DA1639"/>
          <w:p w:rsidR="00B86017" w:rsidRDefault="000E70CB" w:rsidP="00DA1639">
            <w:pPr>
              <w:keepLines/>
              <w:rPr>
                <w:caps/>
              </w:rPr>
            </w:pPr>
            <w:r>
              <w:rPr>
                <w:caps/>
              </w:rPr>
              <w:t xml:space="preserve">COLLIER TECHNOLOGIES, LLC, ENVISION TECHNOLOGIES, INC. </w:t>
            </w:r>
            <w:r w:rsidRPr="000E70CB">
              <w:t>d/b/a</w:t>
            </w:r>
            <w:r>
              <w:rPr>
                <w:caps/>
              </w:rPr>
              <w:t xml:space="preserve"> ETI COMMUNICATIONS, GENEXT, LLC, INFOTELECOM HOLDINGS, LLC, MASTER CALL CORPORATION, MBC TELECOM, LLC, MIDWESTERN TELECOMMUNICATIONS, INCORPORATED, THINK 12 CORPORATION, UNITED AMERICAN TECHNOLOGY, INC., YAK COMMUNICATIONS (AMERICA), INC.</w:t>
            </w:r>
          </w:p>
          <w:p w:rsidR="000E70CB" w:rsidRPr="00F2004F" w:rsidRDefault="000E70CB" w:rsidP="00DA1639">
            <w:pPr>
              <w:keepLines/>
            </w:pPr>
          </w:p>
          <w:p w:rsidR="00B86017" w:rsidRPr="00F2004F" w:rsidRDefault="00B86017" w:rsidP="00DA1639">
            <w:pPr>
              <w:keepLines/>
            </w:pPr>
          </w:p>
          <w:p w:rsidR="00B86017" w:rsidRPr="00F2004F" w:rsidRDefault="00731C2D" w:rsidP="00C83381">
            <w:pPr>
              <w:keepLines/>
              <w:tabs>
                <w:tab w:val="left" w:pos="1440"/>
              </w:tabs>
            </w:pPr>
            <w:r>
              <w:tab/>
            </w:r>
            <w:r w:rsidR="00BF5BF0">
              <w:t>Respondents.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_____________________________________</w:t>
            </w:r>
          </w:p>
        </w:tc>
        <w:tc>
          <w:tcPr>
            <w:tcW w:w="500" w:type="dxa"/>
          </w:tcPr>
          <w:p w:rsidR="00B86017" w:rsidRPr="00F2004F" w:rsidRDefault="00B86017" w:rsidP="00DA1639">
            <w:pPr>
              <w:keepLines/>
              <w:spacing w:line="264" w:lineRule="auto"/>
            </w:pPr>
          </w:p>
          <w:p w:rsidR="00B86017" w:rsidRPr="00F2004F" w:rsidRDefault="00B86017" w:rsidP="00DA1639">
            <w:pPr>
              <w:keepLines/>
              <w:spacing w:line="264" w:lineRule="auto"/>
            </w:pP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:rsidR="00B86017" w:rsidRPr="00F2004F" w:rsidRDefault="00A41126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A41126" w:rsidP="00DA1639">
            <w:pPr>
              <w:keepLines/>
              <w:spacing w:line="264" w:lineRule="auto"/>
            </w:pPr>
            <w:r>
              <w:t>)</w:t>
            </w:r>
          </w:p>
          <w:p w:rsidR="00B86017" w:rsidRDefault="00A41126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:rsidR="00731C2D" w:rsidRPr="00F2004F" w:rsidRDefault="00731C2D" w:rsidP="00DA1639">
            <w:pPr>
              <w:keepLines/>
              <w:spacing w:line="264" w:lineRule="auto"/>
            </w:pPr>
            <w:r>
              <w:t>)</w:t>
            </w:r>
          </w:p>
        </w:tc>
        <w:tc>
          <w:tcPr>
            <w:tcW w:w="3988" w:type="dxa"/>
          </w:tcPr>
          <w:p w:rsidR="00B86017" w:rsidRPr="00F2004F" w:rsidRDefault="00B86017" w:rsidP="00DA1639">
            <w:pPr>
              <w:keepLines/>
              <w:spacing w:line="264" w:lineRule="auto"/>
            </w:pPr>
          </w:p>
          <w:p w:rsidR="00B86017" w:rsidRPr="00F2004F" w:rsidRDefault="00B86017" w:rsidP="00DA1639">
            <w:pPr>
              <w:keepLines/>
              <w:spacing w:line="264" w:lineRule="auto"/>
            </w:pPr>
          </w:p>
          <w:p w:rsidR="00B86017" w:rsidRPr="00F2004F" w:rsidRDefault="00696509" w:rsidP="00DA1639">
            <w:pPr>
              <w:keepLines/>
              <w:spacing w:line="264" w:lineRule="auto"/>
            </w:pPr>
            <w:r>
              <w:t>DOCKET UT</w:t>
            </w:r>
            <w:r w:rsidR="00F52267">
              <w:t>-</w:t>
            </w:r>
            <w:r w:rsidR="0041198C">
              <w:t>131818</w:t>
            </w:r>
          </w:p>
          <w:p w:rsidR="00B86017" w:rsidRPr="00F2004F" w:rsidRDefault="00B86017" w:rsidP="00DA1639">
            <w:pPr>
              <w:keepLines/>
              <w:spacing w:line="264" w:lineRule="auto"/>
            </w:pPr>
          </w:p>
          <w:p w:rsidR="00B86017" w:rsidRPr="00F2004F" w:rsidRDefault="00B86017" w:rsidP="00DA1639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Cs/>
              </w:rPr>
            </w:pPr>
          </w:p>
          <w:p w:rsidR="00B86017" w:rsidRPr="00F2004F" w:rsidRDefault="00B86017" w:rsidP="00DA1639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Cs/>
              </w:rPr>
            </w:pPr>
            <w:r w:rsidRPr="00F2004F">
              <w:rPr>
                <w:bCs/>
              </w:rPr>
              <w:t>DECLARATION OF</w:t>
            </w:r>
          </w:p>
          <w:p w:rsidR="00B86017" w:rsidRPr="00F2004F" w:rsidRDefault="000E70CB" w:rsidP="000E70CB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Cs/>
              </w:rPr>
            </w:pPr>
            <w:r>
              <w:rPr>
                <w:bCs/>
              </w:rPr>
              <w:t xml:space="preserve">LAUREN </w:t>
            </w:r>
            <w:proofErr w:type="spellStart"/>
            <w:r>
              <w:rPr>
                <w:bCs/>
              </w:rPr>
              <w:t>M</w:t>
            </w:r>
            <w:r>
              <w:rPr>
                <w:bCs/>
                <w:smallCaps/>
              </w:rPr>
              <w:t>c</w:t>
            </w:r>
            <w:r>
              <w:rPr>
                <w:bCs/>
              </w:rPr>
              <w:t>CLOY</w:t>
            </w:r>
            <w:proofErr w:type="spellEnd"/>
          </w:p>
        </w:tc>
      </w:tr>
    </w:tbl>
    <w:p w:rsidR="00731C2D" w:rsidRDefault="00731C2D" w:rsidP="00B86017"/>
    <w:p w:rsidR="00B86017" w:rsidRPr="00F2004F" w:rsidRDefault="000E70CB" w:rsidP="00B86017">
      <w:r>
        <w:t>Lauren McCloy</w:t>
      </w:r>
      <w:r w:rsidR="00B86017" w:rsidRPr="00F2004F">
        <w:t>, under penalty of perjury under the laws of the State of Washington, declares as follows:</w:t>
      </w:r>
    </w:p>
    <w:p w:rsidR="00B86017" w:rsidRPr="00F2004F" w:rsidRDefault="00B86017" w:rsidP="00B86017"/>
    <w:p w:rsidR="00B86017" w:rsidRPr="00F2004F" w:rsidRDefault="00B86017" w:rsidP="00B86017">
      <w:pPr>
        <w:numPr>
          <w:ilvl w:val="0"/>
          <w:numId w:val="1"/>
        </w:numPr>
        <w:spacing w:after="240"/>
      </w:pPr>
      <w:r w:rsidRPr="00F2004F">
        <w:t>I am employed by the Washington Utilities and Transportation Commission (Commission) as a Compliance Investigator in the Consumer Protecti</w:t>
      </w:r>
      <w:r w:rsidR="00093611">
        <w:t xml:space="preserve">on and Communications Section. </w:t>
      </w:r>
      <w:r w:rsidRPr="00F2004F">
        <w:t>As a Compliance Investigator, my responsibilities include conducting investigations regarding the business practices of regulated utility or transportation co</w:t>
      </w:r>
      <w:r w:rsidR="0040097E">
        <w:t>mpanies</w:t>
      </w:r>
      <w:r w:rsidR="00093611">
        <w:t xml:space="preserve">. </w:t>
      </w:r>
      <w:r w:rsidRPr="00F2004F">
        <w:t xml:space="preserve">As part of those duties, I investigate </w:t>
      </w:r>
      <w:r w:rsidR="0040097E">
        <w:t>telecommunications companies</w:t>
      </w:r>
      <w:r w:rsidRPr="00F2004F">
        <w:t xml:space="preserve"> that may be operating </w:t>
      </w:r>
      <w:r w:rsidR="00A41126">
        <w:t>in violation of</w:t>
      </w:r>
      <w:r w:rsidRPr="00F2004F">
        <w:t xml:space="preserve"> </w:t>
      </w:r>
      <w:r w:rsidR="00731C2D">
        <w:t xml:space="preserve">one or more </w:t>
      </w:r>
      <w:r w:rsidR="00A41126">
        <w:t>statute</w:t>
      </w:r>
      <w:r w:rsidR="00731C2D">
        <w:t>s</w:t>
      </w:r>
      <w:r w:rsidR="00A41126">
        <w:t xml:space="preserve"> or rule</w:t>
      </w:r>
      <w:r w:rsidR="00731C2D">
        <w:t xml:space="preserve">s enforced by the </w:t>
      </w:r>
      <w:r w:rsidR="00731C2D" w:rsidRPr="00F2004F">
        <w:t>Commission</w:t>
      </w:r>
      <w:r w:rsidRPr="00F2004F">
        <w:t>.</w:t>
      </w:r>
    </w:p>
    <w:p w:rsidR="005E7D7E" w:rsidRDefault="005E7D7E" w:rsidP="00617CDA">
      <w:pPr>
        <w:numPr>
          <w:ilvl w:val="0"/>
          <w:numId w:val="1"/>
        </w:numPr>
        <w:spacing w:after="240"/>
      </w:pPr>
      <w:r>
        <w:t>Regulated telecommunications companies must submit annual reports and file regulatory</w:t>
      </w:r>
      <w:r w:rsidR="00456554">
        <w:t xml:space="preserve"> fees by May 1 of each year.  Each year, t</w:t>
      </w:r>
      <w:r w:rsidR="00F26396">
        <w:t>he Commission distribute</w:t>
      </w:r>
      <w:r w:rsidR="00456554">
        <w:t>s</w:t>
      </w:r>
      <w:r w:rsidR="00F26396">
        <w:t xml:space="preserve"> an annual report </w:t>
      </w:r>
      <w:r>
        <w:t>form and</w:t>
      </w:r>
      <w:r w:rsidR="00F26396">
        <w:t xml:space="preserve"> a regulatory fee form</w:t>
      </w:r>
      <w:r>
        <w:t xml:space="preserve"> to facilitate these submissions</w:t>
      </w:r>
      <w:r w:rsidR="00F26396">
        <w:t>.</w:t>
      </w:r>
    </w:p>
    <w:p w:rsidR="00F26638" w:rsidRDefault="00617CDA" w:rsidP="00617CDA">
      <w:pPr>
        <w:numPr>
          <w:ilvl w:val="0"/>
          <w:numId w:val="1"/>
        </w:numPr>
        <w:spacing w:after="240"/>
      </w:pPr>
      <w:r>
        <w:t xml:space="preserve">On </w:t>
      </w:r>
      <w:r w:rsidR="000E70CB">
        <w:t>March</w:t>
      </w:r>
      <w:r>
        <w:t xml:space="preserve"> </w:t>
      </w:r>
      <w:r w:rsidR="000E70CB">
        <w:t>1</w:t>
      </w:r>
      <w:r>
        <w:t>, 201</w:t>
      </w:r>
      <w:r w:rsidR="000E70CB">
        <w:t>3</w:t>
      </w:r>
      <w:r>
        <w:t xml:space="preserve">, </w:t>
      </w:r>
      <w:r w:rsidR="00731C2D">
        <w:t xml:space="preserve">the Commission mailed </w:t>
      </w:r>
      <w:r w:rsidR="00CB4E2F">
        <w:t xml:space="preserve">an annual report </w:t>
      </w:r>
      <w:r w:rsidR="004F0953">
        <w:t xml:space="preserve">packet to </w:t>
      </w:r>
      <w:r w:rsidR="00AF2CAF">
        <w:t xml:space="preserve">each </w:t>
      </w:r>
      <w:r w:rsidR="00C800AD">
        <w:t xml:space="preserve">registered </w:t>
      </w:r>
      <w:r w:rsidR="00BA6D9A">
        <w:t>telecommunications</w:t>
      </w:r>
      <w:r w:rsidR="00421383">
        <w:t xml:space="preserve"> compan</w:t>
      </w:r>
      <w:r w:rsidR="00AF2CAF">
        <w:t>y</w:t>
      </w:r>
      <w:r w:rsidR="00CB4E2F">
        <w:t xml:space="preserve"> </w:t>
      </w:r>
      <w:r w:rsidR="00C800AD">
        <w:t xml:space="preserve">at the address on file </w:t>
      </w:r>
      <w:r w:rsidR="00CB4E2F">
        <w:t>with the Commission</w:t>
      </w:r>
      <w:r w:rsidR="00AF2CAF">
        <w:t xml:space="preserve">. </w:t>
      </w:r>
      <w:r w:rsidR="004F0953">
        <w:t xml:space="preserve"> The packet contained </w:t>
      </w:r>
      <w:r w:rsidR="005E7D7E">
        <w:t>a</w:t>
      </w:r>
      <w:r w:rsidR="00474D5E">
        <w:t>n “annual report</w:t>
      </w:r>
      <w:r w:rsidR="004F0953">
        <w:t xml:space="preserve"> form</w:t>
      </w:r>
      <w:r w:rsidR="00474D5E">
        <w:t>”</w:t>
      </w:r>
      <w:r w:rsidR="004F0953">
        <w:t xml:space="preserve"> and a letter from the </w:t>
      </w:r>
      <w:r w:rsidR="004F0953">
        <w:lastRenderedPageBreak/>
        <w:t xml:space="preserve">Commission’s Executive Director and Secretary, </w:t>
      </w:r>
      <w:r w:rsidR="000E70CB">
        <w:t>Steven V. King</w:t>
      </w:r>
      <w:r w:rsidR="00CB01B3">
        <w:t>, dated Feb. 28, 2013</w:t>
      </w:r>
      <w:r w:rsidR="004F0953">
        <w:t xml:space="preserve">. </w:t>
      </w:r>
      <w:r w:rsidR="005E7D7E">
        <w:t xml:space="preserve"> The </w:t>
      </w:r>
      <w:r w:rsidR="00474D5E">
        <w:t xml:space="preserve">annual report </w:t>
      </w:r>
      <w:r w:rsidR="005E7D7E">
        <w:t>form</w:t>
      </w:r>
      <w:r w:rsidR="004F0953">
        <w:t xml:space="preserve"> </w:t>
      </w:r>
      <w:r w:rsidR="00082035">
        <w:t xml:space="preserve">includes a regulatory fee calculation schedule and requires </w:t>
      </w:r>
      <w:r w:rsidR="002E696E">
        <w:t xml:space="preserve">a company to attach </w:t>
      </w:r>
      <w:r w:rsidR="00082035">
        <w:t xml:space="preserve">other </w:t>
      </w:r>
      <w:r w:rsidR="002E696E">
        <w:t>documents</w:t>
      </w:r>
      <w:r w:rsidR="00DA1723">
        <w:t xml:space="preserve"> as well</w:t>
      </w:r>
      <w:r w:rsidR="00082035">
        <w:t xml:space="preserve">.  </w:t>
      </w:r>
      <w:r w:rsidR="004F0953">
        <w:t>A completed</w:t>
      </w:r>
      <w:r w:rsidR="00474D5E">
        <w:t xml:space="preserve"> annual report</w:t>
      </w:r>
      <w:r w:rsidR="004F0953">
        <w:t xml:space="preserve"> form, with the necessary attachments, constit</w:t>
      </w:r>
      <w:r w:rsidR="00082035">
        <w:t>utes a company’s annual report.</w:t>
      </w:r>
    </w:p>
    <w:p w:rsidR="00617CDA" w:rsidRPr="00431F65" w:rsidRDefault="00B30EB1" w:rsidP="00617CDA">
      <w:pPr>
        <w:numPr>
          <w:ilvl w:val="0"/>
          <w:numId w:val="1"/>
        </w:numPr>
        <w:spacing w:after="240"/>
      </w:pPr>
      <w:r>
        <w:t xml:space="preserve">The </w:t>
      </w:r>
      <w:r w:rsidR="00EC6009">
        <w:t>letter from</w:t>
      </w:r>
      <w:r w:rsidR="00617CDA">
        <w:t xml:space="preserve"> </w:t>
      </w:r>
      <w:r w:rsidR="000E70CB">
        <w:t>Steven V. King</w:t>
      </w:r>
      <w:r w:rsidR="00EC6009">
        <w:t xml:space="preserve"> explained </w:t>
      </w:r>
      <w:r w:rsidR="00AF2CAF">
        <w:t xml:space="preserve">the annual report and regulatory fee </w:t>
      </w:r>
      <w:r w:rsidR="00CB4E2F">
        <w:t xml:space="preserve">submission </w:t>
      </w:r>
      <w:r w:rsidR="00AF2CAF">
        <w:t>requirements.</w:t>
      </w:r>
      <w:r w:rsidR="00617CDA">
        <w:t xml:space="preserve"> </w:t>
      </w:r>
      <w:r w:rsidR="00AF2CAF">
        <w:t xml:space="preserve">In the letter, </w:t>
      </w:r>
      <w:r w:rsidR="00383507">
        <w:t xml:space="preserve">Mr. </w:t>
      </w:r>
      <w:r w:rsidR="000E70CB">
        <w:t>King</w:t>
      </w:r>
      <w:r w:rsidR="00AF2CAF">
        <w:t xml:space="preserve"> instructed</w:t>
      </w:r>
      <w:r w:rsidR="00617CDA">
        <w:t xml:space="preserve"> the regulated company </w:t>
      </w:r>
      <w:r w:rsidR="00AF2CAF">
        <w:t>to</w:t>
      </w:r>
      <w:r w:rsidR="00617CDA">
        <w:t xml:space="preserve"> </w:t>
      </w:r>
      <w:r w:rsidR="00AF2CAF">
        <w:t xml:space="preserve">return the </w:t>
      </w:r>
      <w:r w:rsidR="00617CDA">
        <w:t>complete</w:t>
      </w:r>
      <w:r w:rsidR="00AF2CAF">
        <w:t>d</w:t>
      </w:r>
      <w:r w:rsidR="00617CDA">
        <w:t xml:space="preserve"> </w:t>
      </w:r>
      <w:r w:rsidR="00617CDA" w:rsidRPr="00431F65">
        <w:t>form</w:t>
      </w:r>
      <w:r w:rsidR="00AF2CAF">
        <w:t xml:space="preserve"> and</w:t>
      </w:r>
      <w:r w:rsidR="00617CDA" w:rsidRPr="00431F65">
        <w:t xml:space="preserve"> pay any regulatory fees by May 1, 201</w:t>
      </w:r>
      <w:r w:rsidR="000E70CB">
        <w:t>3</w:t>
      </w:r>
      <w:r w:rsidR="00617CDA" w:rsidRPr="00431F65">
        <w:t>.</w:t>
      </w:r>
      <w:r w:rsidR="007F7E6E">
        <w:t xml:space="preserve"> The letter further stated that, if the company failed to </w:t>
      </w:r>
      <w:r w:rsidR="00617CDA">
        <w:t xml:space="preserve">file a completed annual report and pay regulatory fees by May 1, </w:t>
      </w:r>
      <w:r w:rsidR="00234584">
        <w:t>201</w:t>
      </w:r>
      <w:r w:rsidR="000E70CB">
        <w:t>3</w:t>
      </w:r>
      <w:r w:rsidR="00234584">
        <w:t xml:space="preserve">, </w:t>
      </w:r>
      <w:r w:rsidR="00617CDA">
        <w:t>the</w:t>
      </w:r>
      <w:r w:rsidR="00421383">
        <w:t xml:space="preserve"> </w:t>
      </w:r>
      <w:r w:rsidR="007F7E6E">
        <w:t>C</w:t>
      </w:r>
      <w:r w:rsidR="00421383">
        <w:t>ommission would</w:t>
      </w:r>
      <w:r w:rsidR="00617CDA">
        <w:t xml:space="preserve"> assess a financial penalty of $100 for each business day after May 1 that the report </w:t>
      </w:r>
      <w:r w:rsidR="00421383">
        <w:t>was</w:t>
      </w:r>
      <w:r w:rsidR="00617CDA">
        <w:t xml:space="preserve"> not filed </w:t>
      </w:r>
      <w:r w:rsidR="00CB01B3">
        <w:t>or</w:t>
      </w:r>
      <w:r w:rsidR="00617CDA">
        <w:t xml:space="preserve"> the</w:t>
      </w:r>
      <w:r w:rsidR="00B567B2">
        <w:t xml:space="preserve"> regulatory</w:t>
      </w:r>
      <w:r w:rsidR="00617CDA">
        <w:t xml:space="preserve"> fees </w:t>
      </w:r>
      <w:r w:rsidR="007F7E6E">
        <w:t xml:space="preserve">remained </w:t>
      </w:r>
      <w:r w:rsidR="00617CDA">
        <w:t>unpaid. Those companies wishing to request an extension to file the annual report were instructed</w:t>
      </w:r>
      <w:r w:rsidR="00BC4794">
        <w:t xml:space="preserve"> in the letter</w:t>
      </w:r>
      <w:r w:rsidR="00617CDA">
        <w:t xml:space="preserve"> to do so before April 24, 201</w:t>
      </w:r>
      <w:r w:rsidR="000E70CB">
        <w:t>3</w:t>
      </w:r>
      <w:r w:rsidR="00617CDA">
        <w:t xml:space="preserve">, and to provide a reason for the extension. </w:t>
      </w:r>
      <w:r w:rsidR="007500F4">
        <w:t>In addition</w:t>
      </w:r>
      <w:r w:rsidR="00E44B98">
        <w:t xml:space="preserve">, the letter advised that Commission Staff </w:t>
      </w:r>
      <w:r w:rsidR="000E70CB">
        <w:t xml:space="preserve">may initiate proceedings to request the </w:t>
      </w:r>
      <w:r w:rsidR="00C727F7">
        <w:t>C</w:t>
      </w:r>
      <w:r w:rsidR="000E70CB">
        <w:t xml:space="preserve">ommission </w:t>
      </w:r>
      <w:r w:rsidR="00C727F7">
        <w:t xml:space="preserve">revoke </w:t>
      </w:r>
      <w:r w:rsidR="00E44B98">
        <w:t xml:space="preserve">the authority </w:t>
      </w:r>
      <w:r w:rsidR="000E70CB">
        <w:t xml:space="preserve">to operate in Washington </w:t>
      </w:r>
      <w:r w:rsidR="00E44B98">
        <w:t xml:space="preserve">of </w:t>
      </w:r>
      <w:r w:rsidR="000E70CB">
        <w:t xml:space="preserve">those </w:t>
      </w:r>
      <w:r w:rsidR="00E44B98">
        <w:t>companies that failed to file an annual report or pay regulatory fees</w:t>
      </w:r>
      <w:r w:rsidR="000E70CB">
        <w:t xml:space="preserve">. </w:t>
      </w:r>
      <w:r w:rsidR="00617CDA" w:rsidRPr="00431F65">
        <w:t>A copy of the letter is attached as Attachment A.</w:t>
      </w:r>
    </w:p>
    <w:p w:rsidR="00093611" w:rsidRPr="00923852" w:rsidRDefault="00617CDA" w:rsidP="00923852">
      <w:pPr>
        <w:numPr>
          <w:ilvl w:val="0"/>
          <w:numId w:val="1"/>
        </w:numPr>
        <w:tabs>
          <w:tab w:val="left" w:pos="0"/>
          <w:tab w:val="right" w:pos="10100"/>
        </w:tabs>
        <w:spacing w:after="240"/>
      </w:pPr>
      <w:r w:rsidRPr="00431F65">
        <w:t xml:space="preserve">On May </w:t>
      </w:r>
      <w:r>
        <w:t>1</w:t>
      </w:r>
      <w:r w:rsidR="000E70CB">
        <w:t>0</w:t>
      </w:r>
      <w:r w:rsidR="000A34DC">
        <w:t>, 201</w:t>
      </w:r>
      <w:r w:rsidR="000E70CB">
        <w:t>3</w:t>
      </w:r>
      <w:r w:rsidR="000A34DC">
        <w:t xml:space="preserve">, the </w:t>
      </w:r>
      <w:r w:rsidR="006D3B38">
        <w:t>C</w:t>
      </w:r>
      <w:r w:rsidR="000A34DC">
        <w:t>ommission sent</w:t>
      </w:r>
      <w:r w:rsidRPr="00431F65">
        <w:t xml:space="preserve"> letter</w:t>
      </w:r>
      <w:r w:rsidR="000A34DC">
        <w:t>s</w:t>
      </w:r>
      <w:r w:rsidRPr="00431F65">
        <w:t xml:space="preserve"> to those companies t</w:t>
      </w:r>
      <w:r w:rsidR="000A34DC">
        <w:t xml:space="preserve">hat had not yet filed their </w:t>
      </w:r>
      <w:r w:rsidR="006D3B38">
        <w:t xml:space="preserve">annual </w:t>
      </w:r>
      <w:r w:rsidRPr="00431F65">
        <w:t>report</w:t>
      </w:r>
      <w:r w:rsidR="000A34DC">
        <w:t>s.</w:t>
      </w:r>
      <w:r w:rsidR="00774019">
        <w:t xml:space="preserve"> The letter, signed by </w:t>
      </w:r>
      <w:r w:rsidR="000E70CB">
        <w:t>Steven V. King</w:t>
      </w:r>
      <w:r w:rsidR="000A34DC">
        <w:t>, informed the companies</w:t>
      </w:r>
      <w:r w:rsidRPr="00431F65">
        <w:t xml:space="preserve"> that, to date, they </w:t>
      </w:r>
      <w:r w:rsidR="00505026">
        <w:t xml:space="preserve">each </w:t>
      </w:r>
      <w:r w:rsidRPr="00431F65">
        <w:t>had incurred a penalty of $</w:t>
      </w:r>
      <w:r w:rsidR="000E70CB">
        <w:t>7</w:t>
      </w:r>
      <w:r w:rsidRPr="00431F65">
        <w:t>00.</w:t>
      </w:r>
      <w:r w:rsidR="000A34DC">
        <w:t xml:space="preserve"> In the letter, Mr. </w:t>
      </w:r>
      <w:r w:rsidR="000E70CB">
        <w:t>King</w:t>
      </w:r>
      <w:r w:rsidR="000A34DC">
        <w:t xml:space="preserve"> stated</w:t>
      </w:r>
      <w:r w:rsidRPr="00431F65">
        <w:t xml:space="preserve"> that companies who filed their ann</w:t>
      </w:r>
      <w:r w:rsidR="000E70CB">
        <w:t>ual reports no later than May 24</w:t>
      </w:r>
      <w:r w:rsidRPr="00431F65">
        <w:t>, 201</w:t>
      </w:r>
      <w:r w:rsidR="000E70CB">
        <w:t>3</w:t>
      </w:r>
      <w:r w:rsidRPr="00431F65">
        <w:t>, would receive mitigated penalties of $25 per day</w:t>
      </w:r>
      <w:r w:rsidR="00421383">
        <w:t>. Conversely,</w:t>
      </w:r>
      <w:r w:rsidRPr="00431F65">
        <w:t xml:space="preserve"> </w:t>
      </w:r>
      <w:r w:rsidR="006D3B38">
        <w:t xml:space="preserve">the Commission would impose </w:t>
      </w:r>
      <w:r w:rsidRPr="00431F65">
        <w:t xml:space="preserve">an additional $25 per day for each instance in the previous five years that the company </w:t>
      </w:r>
      <w:r w:rsidR="00505026">
        <w:t xml:space="preserve">had </w:t>
      </w:r>
      <w:r w:rsidRPr="00431F65">
        <w:t>received a penalty for filing a late report. A copy of the letter is attached as Attachment B.</w:t>
      </w:r>
    </w:p>
    <w:p w:rsidR="000A34DC" w:rsidRDefault="00CB31C5" w:rsidP="000A34DC">
      <w:pPr>
        <w:numPr>
          <w:ilvl w:val="0"/>
          <w:numId w:val="1"/>
        </w:numPr>
        <w:spacing w:after="240"/>
      </w:pPr>
      <w:r w:rsidRPr="00A70244">
        <w:t>In preparation for the annual revocation proceeding</w:t>
      </w:r>
      <w:r>
        <w:t>, I procured a list generated from the Commission’s Annual Report Tracking System (ARTS) of telecommunications companies registered with the Commission that still had not filed an annual report or paid r</w:t>
      </w:r>
      <w:r w:rsidR="000E70CB">
        <w:t xml:space="preserve">egulatory fees. As of </w:t>
      </w:r>
      <w:r w:rsidR="006766EC">
        <w:t>November 13</w:t>
      </w:r>
      <w:r>
        <w:t>, 201</w:t>
      </w:r>
      <w:r w:rsidR="000E70CB">
        <w:t>3</w:t>
      </w:r>
      <w:r>
        <w:t>, the Commission had received neither the 201</w:t>
      </w:r>
      <w:r w:rsidR="000E70CB">
        <w:t>2</w:t>
      </w:r>
      <w:r>
        <w:t xml:space="preserve"> annual report nor the 201</w:t>
      </w:r>
      <w:r w:rsidR="000E70CB">
        <w:t>3</w:t>
      </w:r>
      <w:r>
        <w:t xml:space="preserve"> regulatory fees</w:t>
      </w:r>
      <w:r w:rsidDel="006C0089">
        <w:t xml:space="preserve"> </w:t>
      </w:r>
      <w:r>
        <w:t>from the 1</w:t>
      </w:r>
      <w:r w:rsidR="000E70CB">
        <w:t>0</w:t>
      </w:r>
      <w:r>
        <w:t xml:space="preserve"> telecommunications companies in the attached draft complaint.</w:t>
      </w:r>
    </w:p>
    <w:p w:rsidR="00B86017" w:rsidRPr="00F2004F" w:rsidRDefault="00A72305" w:rsidP="00B86017">
      <w:pPr>
        <w:autoSpaceDE w:val="0"/>
        <w:autoSpaceDN w:val="0"/>
        <w:adjustRightInd w:val="0"/>
        <w:spacing w:after="240"/>
        <w:ind w:left="1100"/>
      </w:pPr>
      <w:proofErr w:type="gramStart"/>
      <w:r>
        <w:t xml:space="preserve">DATED this </w:t>
      </w:r>
      <w:r w:rsidR="005004B4">
        <w:t>1</w:t>
      </w:r>
      <w:r w:rsidR="006766EC">
        <w:t>3</w:t>
      </w:r>
      <w:r w:rsidR="002C2860" w:rsidRPr="002C2860">
        <w:rPr>
          <w:vertAlign w:val="superscript"/>
        </w:rPr>
        <w:t>th</w:t>
      </w:r>
      <w:r w:rsidR="00B86017" w:rsidRPr="00F2004F">
        <w:t xml:space="preserve"> day of</w:t>
      </w:r>
      <w:r w:rsidR="002C2860">
        <w:t xml:space="preserve"> </w:t>
      </w:r>
      <w:r w:rsidR="006766EC">
        <w:t>November</w:t>
      </w:r>
      <w:r w:rsidR="002C2860">
        <w:t>, 201</w:t>
      </w:r>
      <w:r w:rsidR="000E70CB">
        <w:t>3</w:t>
      </w:r>
      <w:r w:rsidR="00B86017" w:rsidRPr="00F2004F">
        <w:t>, at Olym</w:t>
      </w:r>
      <w:bookmarkStart w:id="0" w:name="_GoBack"/>
      <w:bookmarkEnd w:id="0"/>
      <w:r w:rsidR="00B86017" w:rsidRPr="00F2004F">
        <w:t>pia, Washington.</w:t>
      </w:r>
      <w:proofErr w:type="gramEnd"/>
    </w:p>
    <w:p w:rsidR="00B86017" w:rsidRPr="00F2004F" w:rsidRDefault="00B86017" w:rsidP="00B86017">
      <w:pPr>
        <w:ind w:left="2880"/>
      </w:pPr>
    </w:p>
    <w:p w:rsidR="00B86017" w:rsidRPr="00F2004F" w:rsidRDefault="00B86017" w:rsidP="00B86017">
      <w:pPr>
        <w:ind w:left="2880"/>
      </w:pPr>
    </w:p>
    <w:p w:rsidR="00B86017" w:rsidRPr="00F2004F" w:rsidRDefault="00B86017" w:rsidP="00B93A86">
      <w:pPr>
        <w:ind w:left="4320"/>
      </w:pPr>
      <w:r w:rsidRPr="00F2004F">
        <w:t>________________________________</w:t>
      </w:r>
      <w:r w:rsidR="00B93A86" w:rsidRPr="00F2004F">
        <w:t>______</w:t>
      </w:r>
    </w:p>
    <w:p w:rsidR="00B86017" w:rsidRPr="00F2004F" w:rsidRDefault="000E70CB" w:rsidP="00B93A86">
      <w:pPr>
        <w:ind w:left="4320"/>
        <w:sectPr w:rsidR="00B86017" w:rsidRPr="00F2004F" w:rsidSect="00DA1639">
          <w:footerReference w:type="default" r:id="rId9"/>
          <w:pgSz w:w="12240" w:h="15840" w:code="1"/>
          <w:pgMar w:top="1440" w:right="1440" w:bottom="1440" w:left="1872" w:header="720" w:footer="720" w:gutter="0"/>
          <w:cols w:space="720"/>
          <w:docGrid w:linePitch="360"/>
        </w:sectPr>
      </w:pPr>
      <w:r>
        <w:t xml:space="preserve">LAUREN </w:t>
      </w:r>
      <w:proofErr w:type="spellStart"/>
      <w:r>
        <w:t>McCLOY</w:t>
      </w:r>
      <w:proofErr w:type="spellEnd"/>
    </w:p>
    <w:p w:rsidR="003F068C" w:rsidRDefault="00244C94" w:rsidP="00244C94">
      <w:pPr>
        <w:jc w:val="center"/>
        <w:rPr>
          <w:b/>
        </w:rPr>
      </w:pPr>
      <w:r w:rsidRPr="00F2004F">
        <w:rPr>
          <w:b/>
        </w:rPr>
        <w:lastRenderedPageBreak/>
        <w:t>Attachment A</w:t>
      </w:r>
      <w:r w:rsidR="00CB01B3">
        <w:rPr>
          <w:b/>
          <w:noProof/>
        </w:rPr>
        <w:drawing>
          <wp:inline distT="0" distB="0" distL="0" distR="0" wp14:anchorId="3A988BF8" wp14:editId="093E6C15">
            <wp:extent cx="5943600" cy="7626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1B3">
        <w:rPr>
          <w:noProof/>
        </w:rPr>
        <w:lastRenderedPageBreak/>
        <w:drawing>
          <wp:inline distT="0" distB="0" distL="0" distR="0" wp14:anchorId="0BC1F46E" wp14:editId="2ACAC547">
            <wp:extent cx="5943600" cy="7573693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1B3">
        <w:rPr>
          <w:noProof/>
        </w:rPr>
        <w:lastRenderedPageBreak/>
        <w:drawing>
          <wp:inline distT="0" distB="0" distL="0" distR="0" wp14:anchorId="374BA677" wp14:editId="6C3DFC65">
            <wp:extent cx="5943600" cy="80035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B3" w:rsidRDefault="00CB01B3" w:rsidP="00244C94">
      <w:pPr>
        <w:jc w:val="center"/>
        <w:rPr>
          <w:b/>
        </w:rPr>
      </w:pPr>
    </w:p>
    <w:p w:rsidR="00CB01B3" w:rsidRPr="00F2004F" w:rsidRDefault="00CB01B3" w:rsidP="00244C94">
      <w:pPr>
        <w:jc w:val="center"/>
        <w:rPr>
          <w:b/>
        </w:rPr>
      </w:pPr>
      <w:r>
        <w:rPr>
          <w:b/>
        </w:rPr>
        <w:lastRenderedPageBreak/>
        <w:t>Attachment B</w:t>
      </w:r>
      <w:r>
        <w:rPr>
          <w:noProof/>
        </w:rPr>
        <w:drawing>
          <wp:inline distT="0" distB="0" distL="0" distR="0" wp14:anchorId="31434B00" wp14:editId="7DA0FFF6">
            <wp:extent cx="5943600" cy="7838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1B3" w:rsidRPr="00F2004F" w:rsidSect="00050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8C" w:rsidRDefault="0041198C" w:rsidP="00DB1FAA">
      <w:r>
        <w:separator/>
      </w:r>
    </w:p>
  </w:endnote>
  <w:endnote w:type="continuationSeparator" w:id="0">
    <w:p w:rsidR="0041198C" w:rsidRDefault="0041198C" w:rsidP="00DB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8C" w:rsidRPr="00674E52" w:rsidRDefault="0041198C" w:rsidP="00DA1639">
    <w:pPr>
      <w:pStyle w:val="Footer"/>
      <w:rPr>
        <w:sz w:val="22"/>
        <w:szCs w:val="22"/>
      </w:rPr>
    </w:pPr>
    <w:r>
      <w:rPr>
        <w:sz w:val="22"/>
        <w:szCs w:val="22"/>
      </w:rPr>
      <w:t xml:space="preserve">DECLARATION OF LAUREN </w:t>
    </w:r>
    <w:proofErr w:type="spellStart"/>
    <w:r>
      <w:rPr>
        <w:sz w:val="22"/>
        <w:szCs w:val="22"/>
      </w:rPr>
      <w:t>McCLOY</w:t>
    </w:r>
    <w:proofErr w:type="spellEnd"/>
    <w:r w:rsidRPr="00674E52">
      <w:rPr>
        <w:sz w:val="22"/>
        <w:szCs w:val="22"/>
      </w:rPr>
      <w:t xml:space="preserve">- </w:t>
    </w:r>
    <w:r w:rsidRPr="00674E52">
      <w:rPr>
        <w:sz w:val="22"/>
        <w:szCs w:val="22"/>
      </w:rPr>
      <w:fldChar w:fldCharType="begin"/>
    </w:r>
    <w:r w:rsidRPr="00674E52">
      <w:rPr>
        <w:sz w:val="22"/>
        <w:szCs w:val="22"/>
      </w:rPr>
      <w:instrText xml:space="preserve"> PAGE   \* MERGEFORMAT </w:instrText>
    </w:r>
    <w:r w:rsidRPr="00674E52">
      <w:rPr>
        <w:sz w:val="22"/>
        <w:szCs w:val="22"/>
      </w:rPr>
      <w:fldChar w:fldCharType="separate"/>
    </w:r>
    <w:r w:rsidR="006766EC">
      <w:rPr>
        <w:noProof/>
        <w:sz w:val="22"/>
        <w:szCs w:val="22"/>
      </w:rPr>
      <w:t>2</w:t>
    </w:r>
    <w:r w:rsidRPr="00674E52">
      <w:rPr>
        <w:sz w:val="22"/>
        <w:szCs w:val="22"/>
      </w:rPr>
      <w:fldChar w:fldCharType="end"/>
    </w:r>
  </w:p>
  <w:p w:rsidR="0041198C" w:rsidRDefault="00411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8C" w:rsidRDefault="0041198C" w:rsidP="00DB1FAA">
      <w:r>
        <w:separator/>
      </w:r>
    </w:p>
  </w:footnote>
  <w:footnote w:type="continuationSeparator" w:id="0">
    <w:p w:rsidR="0041198C" w:rsidRDefault="0041198C" w:rsidP="00DB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9B"/>
    <w:multiLevelType w:val="hybridMultilevel"/>
    <w:tmpl w:val="E5A6A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B7DB0"/>
    <w:multiLevelType w:val="hybridMultilevel"/>
    <w:tmpl w:val="4118A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00B5E"/>
    <w:multiLevelType w:val="hybridMultilevel"/>
    <w:tmpl w:val="9CB41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10F3A"/>
    <w:multiLevelType w:val="hybridMultilevel"/>
    <w:tmpl w:val="D38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0442D"/>
    <w:multiLevelType w:val="hybridMultilevel"/>
    <w:tmpl w:val="A89CE962"/>
    <w:lvl w:ilvl="0" w:tplc="927E9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2538C"/>
    <w:multiLevelType w:val="hybridMultilevel"/>
    <w:tmpl w:val="640455D8"/>
    <w:lvl w:ilvl="0" w:tplc="BE822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17"/>
    <w:rsid w:val="00024E42"/>
    <w:rsid w:val="00043CCF"/>
    <w:rsid w:val="0004477F"/>
    <w:rsid w:val="000463E5"/>
    <w:rsid w:val="00050115"/>
    <w:rsid w:val="00082035"/>
    <w:rsid w:val="00093611"/>
    <w:rsid w:val="000A34DC"/>
    <w:rsid w:val="000B03AB"/>
    <w:rsid w:val="000B4B8F"/>
    <w:rsid w:val="000C2D1D"/>
    <w:rsid w:val="000E70CB"/>
    <w:rsid w:val="000F2D2A"/>
    <w:rsid w:val="00111C52"/>
    <w:rsid w:val="001507F9"/>
    <w:rsid w:val="00177724"/>
    <w:rsid w:val="001A0D08"/>
    <w:rsid w:val="001E4C28"/>
    <w:rsid w:val="001E6A31"/>
    <w:rsid w:val="002136EA"/>
    <w:rsid w:val="00234349"/>
    <w:rsid w:val="00234584"/>
    <w:rsid w:val="00244C94"/>
    <w:rsid w:val="0024576D"/>
    <w:rsid w:val="00260425"/>
    <w:rsid w:val="00271660"/>
    <w:rsid w:val="002720BC"/>
    <w:rsid w:val="00290A3E"/>
    <w:rsid w:val="002B039E"/>
    <w:rsid w:val="002B5668"/>
    <w:rsid w:val="002C2860"/>
    <w:rsid w:val="002E696E"/>
    <w:rsid w:val="002F7FDF"/>
    <w:rsid w:val="003328EA"/>
    <w:rsid w:val="00347EC8"/>
    <w:rsid w:val="003668CB"/>
    <w:rsid w:val="00375C5D"/>
    <w:rsid w:val="00383507"/>
    <w:rsid w:val="003979A4"/>
    <w:rsid w:val="003A33C9"/>
    <w:rsid w:val="003A5CC1"/>
    <w:rsid w:val="003C0BF7"/>
    <w:rsid w:val="003C1C72"/>
    <w:rsid w:val="003C564D"/>
    <w:rsid w:val="003D44B8"/>
    <w:rsid w:val="003F068C"/>
    <w:rsid w:val="003F0967"/>
    <w:rsid w:val="003F721D"/>
    <w:rsid w:val="003F76A5"/>
    <w:rsid w:val="0040097E"/>
    <w:rsid w:val="004049BD"/>
    <w:rsid w:val="0041198C"/>
    <w:rsid w:val="004163B9"/>
    <w:rsid w:val="00421383"/>
    <w:rsid w:val="004541F9"/>
    <w:rsid w:val="00456554"/>
    <w:rsid w:val="00462609"/>
    <w:rsid w:val="004718D7"/>
    <w:rsid w:val="00474D5E"/>
    <w:rsid w:val="00492533"/>
    <w:rsid w:val="004B3C47"/>
    <w:rsid w:val="004E7631"/>
    <w:rsid w:val="004F0953"/>
    <w:rsid w:val="004F0E67"/>
    <w:rsid w:val="005004B4"/>
    <w:rsid w:val="00505026"/>
    <w:rsid w:val="00514929"/>
    <w:rsid w:val="00536586"/>
    <w:rsid w:val="00541455"/>
    <w:rsid w:val="005454E0"/>
    <w:rsid w:val="00550F55"/>
    <w:rsid w:val="00564545"/>
    <w:rsid w:val="00565768"/>
    <w:rsid w:val="005736B2"/>
    <w:rsid w:val="00576F40"/>
    <w:rsid w:val="0059383E"/>
    <w:rsid w:val="00594484"/>
    <w:rsid w:val="005B1D15"/>
    <w:rsid w:val="005B41F7"/>
    <w:rsid w:val="005C3B62"/>
    <w:rsid w:val="005C582E"/>
    <w:rsid w:val="005E1ECA"/>
    <w:rsid w:val="005E4144"/>
    <w:rsid w:val="005E7D7E"/>
    <w:rsid w:val="00604D00"/>
    <w:rsid w:val="00606226"/>
    <w:rsid w:val="006077A7"/>
    <w:rsid w:val="00617CDA"/>
    <w:rsid w:val="00636C38"/>
    <w:rsid w:val="0065527F"/>
    <w:rsid w:val="00667DCF"/>
    <w:rsid w:val="00670988"/>
    <w:rsid w:val="00672F9D"/>
    <w:rsid w:val="006766EC"/>
    <w:rsid w:val="0068574A"/>
    <w:rsid w:val="00691229"/>
    <w:rsid w:val="00694982"/>
    <w:rsid w:val="00695C8D"/>
    <w:rsid w:val="00696509"/>
    <w:rsid w:val="006976B0"/>
    <w:rsid w:val="006D3B38"/>
    <w:rsid w:val="006D4EC0"/>
    <w:rsid w:val="006E3D6A"/>
    <w:rsid w:val="007019B2"/>
    <w:rsid w:val="00703B87"/>
    <w:rsid w:val="00722377"/>
    <w:rsid w:val="00731C2D"/>
    <w:rsid w:val="007500F4"/>
    <w:rsid w:val="00752304"/>
    <w:rsid w:val="00766B22"/>
    <w:rsid w:val="00774019"/>
    <w:rsid w:val="007926E6"/>
    <w:rsid w:val="007938CA"/>
    <w:rsid w:val="00797B74"/>
    <w:rsid w:val="007B1FE2"/>
    <w:rsid w:val="007B6A8A"/>
    <w:rsid w:val="007C2090"/>
    <w:rsid w:val="007E1D2E"/>
    <w:rsid w:val="007F6E2E"/>
    <w:rsid w:val="007F7E6E"/>
    <w:rsid w:val="00803668"/>
    <w:rsid w:val="0082627A"/>
    <w:rsid w:val="008367B8"/>
    <w:rsid w:val="00840E8D"/>
    <w:rsid w:val="00847657"/>
    <w:rsid w:val="00853884"/>
    <w:rsid w:val="008641B8"/>
    <w:rsid w:val="008928AF"/>
    <w:rsid w:val="008A3603"/>
    <w:rsid w:val="008C42CE"/>
    <w:rsid w:val="008D5CEF"/>
    <w:rsid w:val="008D785A"/>
    <w:rsid w:val="008F1BC1"/>
    <w:rsid w:val="008F70F4"/>
    <w:rsid w:val="009153E0"/>
    <w:rsid w:val="009222E0"/>
    <w:rsid w:val="00923852"/>
    <w:rsid w:val="009310D2"/>
    <w:rsid w:val="00934A1E"/>
    <w:rsid w:val="009579B7"/>
    <w:rsid w:val="00996AE2"/>
    <w:rsid w:val="009A2AF7"/>
    <w:rsid w:val="009A399F"/>
    <w:rsid w:val="009C0B7D"/>
    <w:rsid w:val="009E4095"/>
    <w:rsid w:val="009E6302"/>
    <w:rsid w:val="009F0C88"/>
    <w:rsid w:val="009F5E79"/>
    <w:rsid w:val="00A21CF1"/>
    <w:rsid w:val="00A230E6"/>
    <w:rsid w:val="00A41126"/>
    <w:rsid w:val="00A54131"/>
    <w:rsid w:val="00A61986"/>
    <w:rsid w:val="00A7015E"/>
    <w:rsid w:val="00A72305"/>
    <w:rsid w:val="00A9549A"/>
    <w:rsid w:val="00AB2D78"/>
    <w:rsid w:val="00AC6C63"/>
    <w:rsid w:val="00AF2CAF"/>
    <w:rsid w:val="00B20B46"/>
    <w:rsid w:val="00B30EB1"/>
    <w:rsid w:val="00B41A10"/>
    <w:rsid w:val="00B567B2"/>
    <w:rsid w:val="00B57DC5"/>
    <w:rsid w:val="00B633A9"/>
    <w:rsid w:val="00B66FE9"/>
    <w:rsid w:val="00B86017"/>
    <w:rsid w:val="00B93A86"/>
    <w:rsid w:val="00BA0F60"/>
    <w:rsid w:val="00BA3C21"/>
    <w:rsid w:val="00BA6D9A"/>
    <w:rsid w:val="00BB1A00"/>
    <w:rsid w:val="00BB7588"/>
    <w:rsid w:val="00BC4794"/>
    <w:rsid w:val="00BC62BF"/>
    <w:rsid w:val="00BD47A2"/>
    <w:rsid w:val="00BF0178"/>
    <w:rsid w:val="00BF5BF0"/>
    <w:rsid w:val="00C04188"/>
    <w:rsid w:val="00C056F4"/>
    <w:rsid w:val="00C15891"/>
    <w:rsid w:val="00C17C2F"/>
    <w:rsid w:val="00C61E0F"/>
    <w:rsid w:val="00C64105"/>
    <w:rsid w:val="00C64784"/>
    <w:rsid w:val="00C727F7"/>
    <w:rsid w:val="00C800AD"/>
    <w:rsid w:val="00C83381"/>
    <w:rsid w:val="00CB01B3"/>
    <w:rsid w:val="00CB0C7F"/>
    <w:rsid w:val="00CB31C5"/>
    <w:rsid w:val="00CB4E2F"/>
    <w:rsid w:val="00CD6F8E"/>
    <w:rsid w:val="00CE6B4D"/>
    <w:rsid w:val="00D21844"/>
    <w:rsid w:val="00D275AE"/>
    <w:rsid w:val="00D44EE3"/>
    <w:rsid w:val="00D477FB"/>
    <w:rsid w:val="00D6222A"/>
    <w:rsid w:val="00D6408D"/>
    <w:rsid w:val="00D757F9"/>
    <w:rsid w:val="00D81ADA"/>
    <w:rsid w:val="00D86749"/>
    <w:rsid w:val="00D94840"/>
    <w:rsid w:val="00DA1639"/>
    <w:rsid w:val="00DA1723"/>
    <w:rsid w:val="00DA1880"/>
    <w:rsid w:val="00DA7D42"/>
    <w:rsid w:val="00DB1FAA"/>
    <w:rsid w:val="00DB494F"/>
    <w:rsid w:val="00DC05E5"/>
    <w:rsid w:val="00DC2763"/>
    <w:rsid w:val="00DD1042"/>
    <w:rsid w:val="00DD739D"/>
    <w:rsid w:val="00DE3A95"/>
    <w:rsid w:val="00E0640B"/>
    <w:rsid w:val="00E0699D"/>
    <w:rsid w:val="00E20F15"/>
    <w:rsid w:val="00E44B98"/>
    <w:rsid w:val="00E5515E"/>
    <w:rsid w:val="00E67260"/>
    <w:rsid w:val="00E71AED"/>
    <w:rsid w:val="00E72BD9"/>
    <w:rsid w:val="00E840CF"/>
    <w:rsid w:val="00EA2C04"/>
    <w:rsid w:val="00EA61D7"/>
    <w:rsid w:val="00EB6D99"/>
    <w:rsid w:val="00EC6009"/>
    <w:rsid w:val="00ED341A"/>
    <w:rsid w:val="00ED3C02"/>
    <w:rsid w:val="00ED48EC"/>
    <w:rsid w:val="00EE2F61"/>
    <w:rsid w:val="00F00F2C"/>
    <w:rsid w:val="00F037E7"/>
    <w:rsid w:val="00F06718"/>
    <w:rsid w:val="00F2004F"/>
    <w:rsid w:val="00F26396"/>
    <w:rsid w:val="00F26638"/>
    <w:rsid w:val="00F266D3"/>
    <w:rsid w:val="00F42287"/>
    <w:rsid w:val="00F52267"/>
    <w:rsid w:val="00F7450C"/>
    <w:rsid w:val="00F827BC"/>
    <w:rsid w:val="00F853CE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1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E4C2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6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601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B86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6017"/>
    <w:rPr>
      <w:rFonts w:eastAsia="Times New Roman" w:cs="Times New Roman"/>
      <w:szCs w:val="24"/>
    </w:rPr>
  </w:style>
  <w:style w:type="character" w:styleId="Hyperlink">
    <w:name w:val="Hyperlink"/>
    <w:basedOn w:val="DefaultParagraphFont"/>
    <w:rsid w:val="00B8601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C5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82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C58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18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657"/>
    <w:pPr>
      <w:spacing w:after="0" w:line="240" w:lineRule="auto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093611"/>
    <w:pPr>
      <w:ind w:left="720"/>
    </w:pPr>
    <w:rPr>
      <w:rFonts w:ascii="Palatino Linotype" w:hAnsi="Palatino Linotype"/>
    </w:rPr>
  </w:style>
  <w:style w:type="character" w:customStyle="1" w:styleId="BodyTextIndentChar">
    <w:name w:val="Body Text Indent Char"/>
    <w:basedOn w:val="DefaultParagraphFont"/>
    <w:link w:val="BodyTextIndent"/>
    <w:rsid w:val="00093611"/>
    <w:rPr>
      <w:rFonts w:ascii="Palatino Linotype" w:eastAsia="Times New Roman" w:hAnsi="Palatino Linotype" w:cs="Times New Roman"/>
      <w:szCs w:val="24"/>
    </w:rPr>
  </w:style>
  <w:style w:type="paragraph" w:styleId="ListParagraph">
    <w:name w:val="List Paragraph"/>
    <w:basedOn w:val="Normal"/>
    <w:uiPriority w:val="34"/>
    <w:qFormat/>
    <w:rsid w:val="00093611"/>
    <w:pPr>
      <w:ind w:left="720"/>
      <w:contextualSpacing/>
    </w:pPr>
    <w:rPr>
      <w:rFonts w:ascii="Palatino Linotype" w:hAnsi="Palatino Linotype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1E4C28"/>
    <w:rPr>
      <w:rFonts w:eastAsia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1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E4C2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6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601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B86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6017"/>
    <w:rPr>
      <w:rFonts w:eastAsia="Times New Roman" w:cs="Times New Roman"/>
      <w:szCs w:val="24"/>
    </w:rPr>
  </w:style>
  <w:style w:type="character" w:styleId="Hyperlink">
    <w:name w:val="Hyperlink"/>
    <w:basedOn w:val="DefaultParagraphFont"/>
    <w:rsid w:val="00B8601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C5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82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C58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18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657"/>
    <w:pPr>
      <w:spacing w:after="0" w:line="240" w:lineRule="auto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093611"/>
    <w:pPr>
      <w:ind w:left="720"/>
    </w:pPr>
    <w:rPr>
      <w:rFonts w:ascii="Palatino Linotype" w:hAnsi="Palatino Linotype"/>
    </w:rPr>
  </w:style>
  <w:style w:type="character" w:customStyle="1" w:styleId="BodyTextIndentChar">
    <w:name w:val="Body Text Indent Char"/>
    <w:basedOn w:val="DefaultParagraphFont"/>
    <w:link w:val="BodyTextIndent"/>
    <w:rsid w:val="00093611"/>
    <w:rPr>
      <w:rFonts w:ascii="Palatino Linotype" w:eastAsia="Times New Roman" w:hAnsi="Palatino Linotype" w:cs="Times New Roman"/>
      <w:szCs w:val="24"/>
    </w:rPr>
  </w:style>
  <w:style w:type="paragraph" w:styleId="ListParagraph">
    <w:name w:val="List Paragraph"/>
    <w:basedOn w:val="Normal"/>
    <w:uiPriority w:val="34"/>
    <w:qFormat/>
    <w:rsid w:val="00093611"/>
    <w:pPr>
      <w:ind w:left="720"/>
      <w:contextualSpacing/>
    </w:pPr>
    <w:rPr>
      <w:rFonts w:ascii="Palatino Linotype" w:hAnsi="Palatino Linotype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1E4C28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2013-09-25T07:00:00+00:00</OpenedDate>
    <Date1 xmlns="dc463f71-b30c-4ab2-9473-d307f9d35888">2013-11-13T08:00:00+00:00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Collier Technologies, LLC;Envision Technologies, Inc.;Genext, LLC;Infotelecom Holdings, LLC;Master Call Corporation;MBC TELECOM, LLC;Midwestern Telecommunications, Incorporated;Think 12 Corporation;United American Technology, Inc.;Yak Communications (America), Inc.</CaseCompanyNames>
    <DocketNumber xmlns="dc463f71-b30c-4ab2-9473-d307f9d35888">131818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E8E660BA7AD44681C51FEB78395E6E" ma:contentTypeVersion="135" ma:contentTypeDescription="" ma:contentTypeScope="" ma:versionID="cb31461175b20549d26dc4dd541dcf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564505-7CBB-4428-9AD0-C0F0961952F9}"/>
</file>

<file path=customXml/itemProps2.xml><?xml version="1.0" encoding="utf-8"?>
<ds:datastoreItem xmlns:ds="http://schemas.openxmlformats.org/officeDocument/2006/customXml" ds:itemID="{46B30E39-8E48-4857-8B13-8043607850B1}"/>
</file>

<file path=customXml/itemProps3.xml><?xml version="1.0" encoding="utf-8"?>
<ds:datastoreItem xmlns:ds="http://schemas.openxmlformats.org/officeDocument/2006/customXml" ds:itemID="{BD928FC3-1369-40EB-B99E-EB727DFE961F}"/>
</file>

<file path=customXml/itemProps4.xml><?xml version="1.0" encoding="utf-8"?>
<ds:datastoreItem xmlns:ds="http://schemas.openxmlformats.org/officeDocument/2006/customXml" ds:itemID="{9AEB1699-FD87-4EC1-94C7-C9847CF75170}"/>
</file>

<file path=customXml/itemProps5.xml><?xml version="1.0" encoding="utf-8"?>
<ds:datastoreItem xmlns:ds="http://schemas.openxmlformats.org/officeDocument/2006/customXml" ds:itemID="{62A6AA9A-B7DD-4015-A639-B119503CD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Yonker</dc:creator>
  <cp:lastModifiedBy>Fassio, Michael (UTC)</cp:lastModifiedBy>
  <cp:revision>6</cp:revision>
  <cp:lastPrinted>2012-12-19T23:04:00Z</cp:lastPrinted>
  <dcterms:created xsi:type="dcterms:W3CDTF">2013-10-14T18:36:00Z</dcterms:created>
  <dcterms:modified xsi:type="dcterms:W3CDTF">2013-11-13T19:26:00Z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0x0101006E56B4D1795A2E4DB2F0B01679ED314A00DDE8E660BA7AD44681C51FEB78395E6E</vt:lpwstr>
  </property>
  <property fmtid="{D5CDD505-2E9C-101B-9397-08002B2CF9AE}" pid="3" name="_docset_NoMedatataSyncRequired">
    <vt:lpwstr>False</vt:lpwstr>
  </property>
</Properties>
</file>