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6E" w:rsidRDefault="008D7E6E" w:rsidP="008D7E6E">
      <w:pPr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22010 76</w:t>
      </w:r>
      <w:r w:rsidRPr="00EF5EC4">
        <w:rPr>
          <w:rFonts w:ascii="Arial" w:hAnsi="Arial" w:cs="Arial"/>
          <w:sz w:val="18"/>
          <w:vertAlign w:val="superscript"/>
        </w:rPr>
        <w:t>th</w:t>
      </w:r>
      <w:r>
        <w:rPr>
          <w:rFonts w:ascii="Arial" w:hAnsi="Arial" w:cs="Arial"/>
          <w:sz w:val="18"/>
        </w:rPr>
        <w:t xml:space="preserve"> Ave S</w:t>
      </w:r>
    </w:p>
    <w:p w:rsidR="00BC7391" w:rsidRDefault="008D7E6E" w:rsidP="008D7E6E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Kent, WA 98032</w:t>
      </w:r>
      <w:r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  <w:sz w:val="16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Pr="00374108" w:rsidRDefault="008D7E6E" w:rsidP="00BC7391">
      <w:pPr>
        <w:rPr>
          <w:rFonts w:ascii="Arial" w:hAnsi="Arial" w:cs="Arial"/>
        </w:rPr>
      </w:pPr>
      <w:r>
        <w:rPr>
          <w:rFonts w:ascii="Arial" w:hAnsi="Arial" w:cs="Arial"/>
        </w:rPr>
        <w:t>July 31</w:t>
      </w:r>
      <w:r w:rsidRPr="008D7E6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2013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8D7E6E">
        <w:rPr>
          <w:rFonts w:ascii="Arial" w:hAnsi="Arial" w:cs="Arial"/>
        </w:rPr>
        <w:t>Republic</w:t>
      </w:r>
      <w:r w:rsidR="008A6CF3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 xml:space="preserve">Services </w:t>
      </w:r>
      <w:r w:rsidR="008A6CF3">
        <w:rPr>
          <w:rFonts w:ascii="Arial" w:hAnsi="Arial" w:cs="Arial"/>
        </w:rPr>
        <w:t xml:space="preserve">of </w:t>
      </w:r>
      <w:r w:rsidR="001D3A91">
        <w:rPr>
          <w:rFonts w:ascii="Arial" w:hAnsi="Arial" w:cs="Arial"/>
        </w:rPr>
        <w:t>Kent</w:t>
      </w:r>
      <w:r w:rsidR="008A6CF3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</w:rPr>
        <w:t>areas of King County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8D7E6E" w:rsidRDefault="0029100D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1D3A91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623AD9">
        <w:rPr>
          <w:rFonts w:ascii="Arial" w:hAnsi="Arial" w:cs="Arial"/>
        </w:rPr>
        <w:t xml:space="preserve">Allied Waste of </w:t>
      </w:r>
      <w:r w:rsidR="001D3A91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 xml:space="preserve">ates will become effective </w:t>
      </w:r>
      <w:r w:rsidR="008D7E6E">
        <w:rPr>
          <w:rFonts w:ascii="Arial" w:hAnsi="Arial" w:cs="Arial"/>
          <w:b/>
          <w:bCs/>
        </w:rPr>
        <w:t>September</w:t>
      </w:r>
      <w:r w:rsidR="00BC5B84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1D3A91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tbl>
      <w:tblPr>
        <w:tblW w:w="9253" w:type="dxa"/>
        <w:tblLook w:val="01E0" w:firstRow="1" w:lastRow="1" w:firstColumn="1" w:lastColumn="1" w:noHBand="0" w:noVBand="0"/>
      </w:tblPr>
      <w:tblGrid>
        <w:gridCol w:w="2352"/>
        <w:gridCol w:w="1357"/>
        <w:gridCol w:w="1467"/>
        <w:gridCol w:w="1780"/>
        <w:gridCol w:w="1038"/>
        <w:gridCol w:w="1259"/>
      </w:tblGrid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$3.60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$3.71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$1.25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$1.25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$16.65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$19.18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$10.80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$10.80 </w:t>
            </w:r>
          </w:p>
        </w:tc>
      </w:tr>
      <w:tr w:rsidR="00AC1B77" w:rsidRPr="009C78A8" w:rsidTr="00346A5C">
        <w:trPr>
          <w:trHeight w:val="258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$23.94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$25.70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$11.25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$11.25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$30.80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$35.77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$11.95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$11.95 </w:t>
            </w:r>
          </w:p>
        </w:tc>
      </w:tr>
      <w:tr w:rsidR="00AC1B77" w:rsidRPr="009C78A8" w:rsidTr="00346A5C">
        <w:trPr>
          <w:trHeight w:val="258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$46.30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$50.76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$12.80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$12.80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$60.84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$63.26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$13.70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$96.40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$94.44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$16.25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$16.25 </w:t>
            </w:r>
          </w:p>
        </w:tc>
      </w:tr>
      <w:tr w:rsidR="00AC1B77" w:rsidRPr="009C78A8" w:rsidTr="00346A5C">
        <w:trPr>
          <w:trHeight w:val="258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$127.35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$119.37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$18.85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$18.85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1B77" w:rsidRPr="009C78A8" w:rsidTr="00346A5C">
        <w:trPr>
          <w:trHeight w:val="258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$124.70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$128.65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$45.00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$45.00 </w:t>
            </w:r>
          </w:p>
        </w:tc>
      </w:tr>
      <w:tr w:rsidR="00AC1B77" w:rsidRPr="009C78A8" w:rsidTr="00346A5C">
        <w:trPr>
          <w:trHeight w:val="241"/>
        </w:trPr>
        <w:tc>
          <w:tcPr>
            <w:tcW w:w="0" w:type="auto"/>
          </w:tcPr>
          <w:p w:rsidR="00AC1B77" w:rsidRPr="009C78A8" w:rsidRDefault="00AC1B77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AC1B77" w:rsidRPr="009C78A8" w:rsidRDefault="00AC1B77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$90.00 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$90.00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C1B77" w:rsidRDefault="00AC1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7391" w:rsidRPr="007F1AAD" w:rsidRDefault="00BC7391" w:rsidP="00BC7391">
      <w:pPr>
        <w:rPr>
          <w:rFonts w:ascii="Arial" w:hAnsi="Arial" w:cs="Arial"/>
          <w:sz w:val="16"/>
          <w:szCs w:val="16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Pr="004258F1">
        <w:rPr>
          <w:rFonts w:ascii="Arial" w:hAnsi="Arial" w:cs="Arial"/>
        </w:rPr>
        <w:t xml:space="preserve">from </w:t>
      </w:r>
      <w:r w:rsidR="00AC1B77">
        <w:rPr>
          <w:rFonts w:ascii="Arial" w:hAnsi="Arial" w:cs="Arial"/>
        </w:rPr>
        <w:t>-6.3</w:t>
      </w:r>
      <w:r w:rsidRPr="004258F1">
        <w:rPr>
          <w:rFonts w:ascii="Arial" w:hAnsi="Arial" w:cs="Arial"/>
        </w:rPr>
        <w:t xml:space="preserve">% to </w:t>
      </w:r>
      <w:r w:rsidR="00AC1B77">
        <w:rPr>
          <w:rFonts w:ascii="Arial" w:hAnsi="Arial" w:cs="Arial"/>
        </w:rPr>
        <w:t>16.1</w:t>
      </w:r>
      <w:r w:rsidRPr="004258F1">
        <w:rPr>
          <w:rFonts w:ascii="Arial" w:hAnsi="Arial" w:cs="Arial"/>
        </w:rPr>
        <w:t xml:space="preserve">% and not all services are listed above. </w:t>
      </w:r>
      <w:r w:rsidR="00AC1B77">
        <w:rPr>
          <w:rFonts w:ascii="Arial" w:hAnsi="Arial" w:cs="Arial"/>
        </w:rPr>
        <w:t>The average incre</w:t>
      </w:r>
      <w:r w:rsidRPr="004258F1">
        <w:rPr>
          <w:rFonts w:ascii="Arial" w:hAnsi="Arial" w:cs="Arial"/>
        </w:rPr>
        <w:t xml:space="preserve">ase </w:t>
      </w:r>
      <w:r w:rsidR="00AC1B77">
        <w:rPr>
          <w:rFonts w:ascii="Arial" w:hAnsi="Arial" w:cs="Arial"/>
        </w:rPr>
        <w:t>will be approximately 7.5% across all services</w:t>
      </w:r>
      <w:r w:rsidRPr="004258F1">
        <w:rPr>
          <w:rFonts w:ascii="Arial" w:hAnsi="Arial" w:cs="Arial"/>
        </w:rPr>
        <w:t>.</w:t>
      </w:r>
    </w:p>
    <w:p w:rsidR="007F1AAD" w:rsidRDefault="007F1AAD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BF716D">
        <w:rPr>
          <w:rFonts w:ascii="Arial" w:hAnsi="Arial" w:cs="Arial"/>
        </w:rPr>
        <w:t xml:space="preserve"> may contact the company at </w:t>
      </w:r>
      <w:r w:rsidR="00BF716D" w:rsidRPr="003C6047">
        <w:rPr>
          <w:rFonts w:ascii="Arial" w:hAnsi="Arial" w:cs="Arial"/>
        </w:rPr>
        <w:t>(</w:t>
      </w:r>
      <w:r w:rsidR="001D3A91">
        <w:rPr>
          <w:rFonts w:ascii="Arial" w:hAnsi="Arial" w:cs="Arial"/>
        </w:rPr>
        <w:t>253</w:t>
      </w:r>
      <w:r w:rsidRPr="003C6047">
        <w:rPr>
          <w:rFonts w:ascii="Arial" w:hAnsi="Arial" w:cs="Arial"/>
        </w:rPr>
        <w:t>)</w:t>
      </w:r>
      <w:r w:rsidR="00BF716D" w:rsidRPr="003C6047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>872</w:t>
      </w:r>
      <w:r w:rsidR="00BF716D" w:rsidRPr="003C6047">
        <w:rPr>
          <w:rFonts w:ascii="Arial" w:hAnsi="Arial" w:cs="Arial"/>
        </w:rPr>
        <w:t>-</w:t>
      </w:r>
      <w:r w:rsidR="001D3A91">
        <w:rPr>
          <w:rFonts w:ascii="Arial" w:hAnsi="Arial" w:cs="Arial"/>
        </w:rPr>
        <w:t>7220</w:t>
      </w:r>
      <w:r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29100D" w:rsidRPr="002B5C56" w:rsidRDefault="0029100D" w:rsidP="0029100D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8D7E6E">
        <w:rPr>
          <w:rFonts w:ascii="Arial" w:hAnsi="Arial" w:cs="Arial"/>
          <w:szCs w:val="24"/>
        </w:rPr>
        <w:t>August 29</w:t>
      </w:r>
      <w:r w:rsidRPr="009F59AE">
        <w:rPr>
          <w:rFonts w:ascii="Arial" w:hAnsi="Arial" w:cs="Arial"/>
          <w:szCs w:val="24"/>
        </w:rPr>
        <w:t>, 201</w:t>
      </w:r>
      <w:r w:rsidR="001D3A91">
        <w:rPr>
          <w:rFonts w:ascii="Arial" w:hAnsi="Arial" w:cs="Arial"/>
          <w:szCs w:val="24"/>
        </w:rPr>
        <w:t>3</w:t>
      </w:r>
      <w:r w:rsidRPr="00D77067">
        <w:rPr>
          <w:rFonts w:ascii="Arial" w:hAnsi="Arial" w:cs="Arial"/>
          <w:szCs w:val="24"/>
        </w:rPr>
        <w:t>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9100D" w:rsidRPr="002B5C56" w:rsidRDefault="0029100D" w:rsidP="0029100D">
      <w:pPr>
        <w:rPr>
          <w:rFonts w:ascii="Arial" w:hAnsi="Arial" w:cs="Arial"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8D7E6E">
      <w:r>
        <w:rPr>
          <w:rFonts w:ascii="Arial" w:hAnsi="Arial" w:cs="Arial"/>
        </w:rPr>
        <w:t>Republic Services</w:t>
      </w:r>
      <w:r w:rsidR="00BC7391" w:rsidRPr="00374108">
        <w:rPr>
          <w:rFonts w:ascii="Arial" w:hAnsi="Arial" w:cs="Arial"/>
        </w:rPr>
        <w:t xml:space="preserve"> of </w:t>
      </w:r>
      <w:r w:rsidR="00A00B32">
        <w:rPr>
          <w:rFonts w:ascii="Arial" w:hAnsi="Arial" w:cs="Arial"/>
        </w:rPr>
        <w:t>Kent</w:t>
      </w:r>
    </w:p>
    <w:sectPr w:rsidR="006F4767" w:rsidSect="00A00B32">
      <w:headerReference w:type="default" r:id="rId9"/>
      <w:pgSz w:w="12240" w:h="15840"/>
      <w:pgMar w:top="144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13" w:rsidRDefault="00B03113" w:rsidP="006B4E45">
      <w:r>
        <w:separator/>
      </w:r>
    </w:p>
  </w:endnote>
  <w:endnote w:type="continuationSeparator" w:id="0">
    <w:p w:rsidR="00B03113" w:rsidRDefault="00B03113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13" w:rsidRDefault="00B03113" w:rsidP="006B4E45">
      <w:r>
        <w:separator/>
      </w:r>
    </w:p>
  </w:footnote>
  <w:footnote w:type="continuationSeparator" w:id="0">
    <w:p w:rsidR="00B03113" w:rsidRDefault="00B03113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C9" w:rsidRDefault="008D7E6E" w:rsidP="003B7973">
    <w:pPr>
      <w:pStyle w:val="Header"/>
      <w:ind w:left="-360"/>
    </w:pPr>
    <w:r>
      <w:rPr>
        <w:noProof/>
      </w:rPr>
      <w:drawing>
        <wp:inline distT="0" distB="0" distL="0" distR="0" wp14:anchorId="32F1E881" wp14:editId="05717B34">
          <wp:extent cx="1666875" cy="561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%20Standard%20logo_9_20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867" cy="56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133F3C"/>
    <w:rsid w:val="00155B78"/>
    <w:rsid w:val="001C063F"/>
    <w:rsid w:val="001D3A91"/>
    <w:rsid w:val="00203C66"/>
    <w:rsid w:val="0029100D"/>
    <w:rsid w:val="00346A5C"/>
    <w:rsid w:val="003B7973"/>
    <w:rsid w:val="003C3169"/>
    <w:rsid w:val="003C6047"/>
    <w:rsid w:val="00466CD0"/>
    <w:rsid w:val="0049208E"/>
    <w:rsid w:val="00623AD9"/>
    <w:rsid w:val="006A7AC9"/>
    <w:rsid w:val="006B4E45"/>
    <w:rsid w:val="006C197E"/>
    <w:rsid w:val="006F4767"/>
    <w:rsid w:val="00737649"/>
    <w:rsid w:val="007D6906"/>
    <w:rsid w:val="007F1354"/>
    <w:rsid w:val="007F1AAD"/>
    <w:rsid w:val="008A6CF3"/>
    <w:rsid w:val="008D7E6E"/>
    <w:rsid w:val="00934952"/>
    <w:rsid w:val="00A00B32"/>
    <w:rsid w:val="00A1147C"/>
    <w:rsid w:val="00A94E12"/>
    <w:rsid w:val="00AC1B77"/>
    <w:rsid w:val="00B03113"/>
    <w:rsid w:val="00B158A2"/>
    <w:rsid w:val="00B82BD7"/>
    <w:rsid w:val="00BC532A"/>
    <w:rsid w:val="00BC5B84"/>
    <w:rsid w:val="00BC7391"/>
    <w:rsid w:val="00BF716D"/>
    <w:rsid w:val="00C33FCD"/>
    <w:rsid w:val="00C90AD9"/>
    <w:rsid w:val="00CE3CD0"/>
    <w:rsid w:val="00EA49F3"/>
    <w:rsid w:val="00EB4A1E"/>
    <w:rsid w:val="00F24F46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2013-07-17T07:00:00+00:00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131329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5CA4CB3CCBAE40BDE7F7BEE4EC8128" ma:contentTypeVersion="135" ma:contentTypeDescription="" ma:contentTypeScope="" ma:versionID="6a880d85a72fe9792b1703438d12c4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70DB7-CCC8-4DD9-A807-42D18C2487F0}"/>
</file>

<file path=customXml/itemProps2.xml><?xml version="1.0" encoding="utf-8"?>
<ds:datastoreItem xmlns:ds="http://schemas.openxmlformats.org/officeDocument/2006/customXml" ds:itemID="{FE8F7BA6-48AA-4D4B-BD5A-7390895DC7B7}"/>
</file>

<file path=customXml/itemProps3.xml><?xml version="1.0" encoding="utf-8"?>
<ds:datastoreItem xmlns:ds="http://schemas.openxmlformats.org/officeDocument/2006/customXml" ds:itemID="{019764EF-CDB9-48F9-BF16-C2E5759365B9}"/>
</file>

<file path=customXml/itemProps4.xml><?xml version="1.0" encoding="utf-8"?>
<ds:datastoreItem xmlns:ds="http://schemas.openxmlformats.org/officeDocument/2006/customXml" ds:itemID="{E8A1A7F9-3FA4-4142-8E86-51874B7A3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2926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creator>Alex Brenner</dc:creator>
  <cp:lastModifiedBy>Joni Higgins</cp:lastModifiedBy>
  <cp:revision>2</cp:revision>
  <cp:lastPrinted>2012-08-28T18:00:00Z</cp:lastPrinted>
  <dcterms:created xsi:type="dcterms:W3CDTF">2013-07-17T20:59:00Z</dcterms:created>
  <dcterms:modified xsi:type="dcterms:W3CDTF">2013-07-17T20:59:00Z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0x0101006E56B4D1795A2E4DB2F0B01679ED314A00AD5CA4CB3CCBAE40BDE7F7BEE4EC8128</vt:lpwstr>
  </property>
  <property fmtid="{D5CDD505-2E9C-101B-9397-08002B2CF9AE}" pid="3" name="_docset_NoMedatataSyncRequired">
    <vt:lpwstr>False</vt:lpwstr>
  </property>
</Properties>
</file>