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10" w:rsidRDefault="00DC7878">
      <w:pPr>
        <w:rPr>
          <w:sz w:val="22"/>
          <w:szCs w:val="22"/>
        </w:rPr>
      </w:pPr>
      <w:r>
        <w:rPr>
          <w:sz w:val="22"/>
          <w:szCs w:val="22"/>
        </w:rPr>
        <w:t xml:space="preserve">May </w:t>
      </w:r>
      <w:r w:rsidR="00AB3471">
        <w:rPr>
          <w:sz w:val="22"/>
          <w:szCs w:val="22"/>
        </w:rPr>
        <w:t>10</w:t>
      </w:r>
      <w:r w:rsidR="0050061F">
        <w:rPr>
          <w:sz w:val="22"/>
          <w:szCs w:val="22"/>
        </w:rPr>
        <w:t>, 2013</w:t>
      </w:r>
    </w:p>
    <w:p w:rsidR="00C26210" w:rsidRDefault="00C26210">
      <w:pPr>
        <w:rPr>
          <w:sz w:val="22"/>
          <w:szCs w:val="22"/>
        </w:rPr>
      </w:pPr>
    </w:p>
    <w:p w:rsidR="00C26210" w:rsidRDefault="00932905">
      <w:pPr>
        <w:pStyle w:val="Heading3"/>
      </w:pPr>
      <w:r>
        <w:t>Electronic Filing</w:t>
      </w:r>
    </w:p>
    <w:p w:rsidR="00C26210" w:rsidRDefault="00C26210">
      <w:pPr>
        <w:rPr>
          <w:sz w:val="22"/>
          <w:szCs w:val="22"/>
        </w:rPr>
      </w:pPr>
    </w:p>
    <w:p w:rsidR="00C26210" w:rsidRDefault="0050061F">
      <w:pPr>
        <w:rPr>
          <w:sz w:val="22"/>
          <w:szCs w:val="22"/>
        </w:rPr>
      </w:pPr>
      <w:r>
        <w:rPr>
          <w:sz w:val="22"/>
          <w:szCs w:val="22"/>
        </w:rPr>
        <w:t>Steven King</w:t>
      </w:r>
      <w:r w:rsidR="008347CE">
        <w:rPr>
          <w:sz w:val="22"/>
          <w:szCs w:val="22"/>
        </w:rPr>
        <w:t xml:space="preserve">, </w:t>
      </w:r>
      <w:r>
        <w:rPr>
          <w:sz w:val="22"/>
          <w:szCs w:val="22"/>
        </w:rPr>
        <w:t xml:space="preserve">Acting </w:t>
      </w:r>
      <w:r w:rsidR="008347CE">
        <w:rPr>
          <w:sz w:val="22"/>
          <w:szCs w:val="22"/>
        </w:rPr>
        <w:t>Executive Director and Secretary</w:t>
      </w:r>
    </w:p>
    <w:p w:rsidR="00C26210" w:rsidRDefault="00C26210">
      <w:pPr>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&amp; Transportation Commission</w:t>
      </w:r>
    </w:p>
    <w:p w:rsidR="00C26210" w:rsidRDefault="00C26210">
      <w:pPr>
        <w:rPr>
          <w:sz w:val="22"/>
          <w:szCs w:val="22"/>
        </w:rPr>
      </w:pPr>
      <w:r>
        <w:rPr>
          <w:sz w:val="22"/>
          <w:szCs w:val="22"/>
        </w:rPr>
        <w:t>1300 S. Evergreen Park Drive S. W.</w:t>
      </w:r>
    </w:p>
    <w:p w:rsidR="00C26210" w:rsidRPr="00775669" w:rsidRDefault="00C26210">
      <w:pPr>
        <w:rPr>
          <w:sz w:val="22"/>
          <w:szCs w:val="22"/>
        </w:rPr>
      </w:pPr>
      <w:r>
        <w:rPr>
          <w:sz w:val="22"/>
          <w:szCs w:val="22"/>
        </w:rPr>
        <w:t xml:space="preserve">P.O. </w:t>
      </w:r>
      <w:r w:rsidRPr="00775669">
        <w:rPr>
          <w:sz w:val="22"/>
          <w:szCs w:val="22"/>
        </w:rPr>
        <w:t>Box 47250</w:t>
      </w:r>
    </w:p>
    <w:p w:rsidR="00C26210" w:rsidRPr="00775669" w:rsidRDefault="00C26210">
      <w:pPr>
        <w:rPr>
          <w:sz w:val="22"/>
          <w:szCs w:val="22"/>
        </w:rPr>
      </w:pPr>
      <w:r w:rsidRPr="00775669">
        <w:rPr>
          <w:sz w:val="22"/>
          <w:szCs w:val="22"/>
        </w:rPr>
        <w:t>Olympia, Washington 98504-7250</w:t>
      </w:r>
    </w:p>
    <w:p w:rsidR="00C26210" w:rsidRPr="00775669" w:rsidRDefault="00C26210">
      <w:pPr>
        <w:rPr>
          <w:sz w:val="22"/>
          <w:szCs w:val="22"/>
        </w:rPr>
      </w:pPr>
    </w:p>
    <w:p w:rsidR="00AF7FCB" w:rsidRPr="00775669" w:rsidRDefault="00AF7FCB" w:rsidP="00C83AC0">
      <w:pPr>
        <w:jc w:val="both"/>
        <w:rPr>
          <w:sz w:val="22"/>
          <w:szCs w:val="22"/>
        </w:rPr>
      </w:pPr>
      <w:r w:rsidRPr="00775669">
        <w:rPr>
          <w:sz w:val="22"/>
          <w:szCs w:val="22"/>
        </w:rPr>
        <w:t>Tariff WN U-</w:t>
      </w:r>
      <w:r w:rsidR="00001DC1">
        <w:rPr>
          <w:sz w:val="22"/>
          <w:szCs w:val="22"/>
        </w:rPr>
        <w:t>29</w:t>
      </w:r>
      <w:r w:rsidR="00775669" w:rsidRPr="00775669">
        <w:rPr>
          <w:sz w:val="22"/>
          <w:szCs w:val="22"/>
        </w:rPr>
        <w:t xml:space="preserve">, </w:t>
      </w:r>
      <w:r w:rsidR="00DC7878">
        <w:rPr>
          <w:sz w:val="22"/>
          <w:szCs w:val="22"/>
        </w:rPr>
        <w:t>Natural Gas</w:t>
      </w:r>
      <w:r w:rsidR="0050061F">
        <w:rPr>
          <w:sz w:val="22"/>
          <w:szCs w:val="22"/>
        </w:rPr>
        <w:t xml:space="preserve"> </w:t>
      </w:r>
      <w:r w:rsidRPr="00775669">
        <w:rPr>
          <w:sz w:val="22"/>
          <w:szCs w:val="22"/>
        </w:rPr>
        <w:t>Service</w:t>
      </w:r>
    </w:p>
    <w:p w:rsidR="00C26210" w:rsidRDefault="00C26210" w:rsidP="00C83AC0">
      <w:pPr>
        <w:jc w:val="both"/>
        <w:rPr>
          <w:sz w:val="22"/>
          <w:szCs w:val="22"/>
        </w:rPr>
      </w:pPr>
    </w:p>
    <w:p w:rsidR="007D50BC" w:rsidRDefault="007D50BC" w:rsidP="00C83AC0">
      <w:pPr>
        <w:jc w:val="both"/>
        <w:rPr>
          <w:sz w:val="22"/>
          <w:szCs w:val="22"/>
        </w:rPr>
      </w:pPr>
      <w:r>
        <w:rPr>
          <w:sz w:val="22"/>
          <w:szCs w:val="22"/>
        </w:rPr>
        <w:t>Dear Mr. King:</w:t>
      </w:r>
    </w:p>
    <w:p w:rsidR="007D50BC" w:rsidRPr="00775669" w:rsidRDefault="007D50BC" w:rsidP="00C83AC0">
      <w:pPr>
        <w:jc w:val="both"/>
        <w:rPr>
          <w:sz w:val="22"/>
          <w:szCs w:val="22"/>
        </w:rPr>
      </w:pPr>
    </w:p>
    <w:p w:rsidR="00AF7FCB" w:rsidRPr="00775669" w:rsidRDefault="00AF7FCB" w:rsidP="00C83AC0">
      <w:pPr>
        <w:jc w:val="both"/>
        <w:rPr>
          <w:sz w:val="22"/>
          <w:szCs w:val="22"/>
        </w:rPr>
      </w:pPr>
      <w:r w:rsidRPr="00775669">
        <w:rPr>
          <w:sz w:val="22"/>
          <w:szCs w:val="22"/>
        </w:rPr>
        <w:t xml:space="preserve">Attached for filing with the Commission </w:t>
      </w:r>
      <w:r w:rsidR="007D50BC">
        <w:rPr>
          <w:sz w:val="22"/>
          <w:szCs w:val="22"/>
        </w:rPr>
        <w:t>are</w:t>
      </w:r>
      <w:r w:rsidRPr="00775669">
        <w:rPr>
          <w:sz w:val="22"/>
          <w:szCs w:val="22"/>
        </w:rPr>
        <w:t xml:space="preserve"> </w:t>
      </w:r>
      <w:r w:rsidR="00043771">
        <w:rPr>
          <w:sz w:val="22"/>
          <w:szCs w:val="22"/>
        </w:rPr>
        <w:t>Avista’s</w:t>
      </w:r>
      <w:r w:rsidRPr="00775669">
        <w:rPr>
          <w:sz w:val="22"/>
          <w:szCs w:val="22"/>
        </w:rPr>
        <w:t xml:space="preserve"> proposed tariff revision</w:t>
      </w:r>
      <w:r w:rsidR="00D82470">
        <w:rPr>
          <w:sz w:val="22"/>
          <w:szCs w:val="22"/>
        </w:rPr>
        <w:t>s</w:t>
      </w:r>
      <w:r w:rsidR="007D50BC">
        <w:rPr>
          <w:sz w:val="22"/>
          <w:szCs w:val="22"/>
        </w:rPr>
        <w:t xml:space="preserve"> which are being </w:t>
      </w:r>
      <w:r w:rsidR="007D50BC" w:rsidRPr="00775669">
        <w:rPr>
          <w:sz w:val="22"/>
          <w:szCs w:val="22"/>
        </w:rPr>
        <w:t>submitted under the guidelines of the UTC’s Electroni</w:t>
      </w:r>
      <w:r w:rsidR="007D50BC">
        <w:rPr>
          <w:sz w:val="22"/>
          <w:szCs w:val="22"/>
        </w:rPr>
        <w:t>c Tariff Filing Program</w:t>
      </w:r>
      <w:r w:rsidRPr="00775669">
        <w:rPr>
          <w:sz w:val="22"/>
          <w:szCs w:val="22"/>
        </w:rPr>
        <w:t>:</w:t>
      </w:r>
    </w:p>
    <w:p w:rsidR="00AF7FCB" w:rsidRDefault="00AF7FCB" w:rsidP="00FE3298">
      <w:pPr>
        <w:jc w:val="both"/>
        <w:rPr>
          <w:sz w:val="22"/>
          <w:szCs w:val="22"/>
        </w:rPr>
      </w:pPr>
    </w:p>
    <w:p w:rsidR="00C23EE0" w:rsidRPr="00775669" w:rsidRDefault="00C23EE0" w:rsidP="00C23EE0">
      <w:pPr>
        <w:ind w:firstLine="720"/>
        <w:jc w:val="both"/>
        <w:rPr>
          <w:sz w:val="22"/>
          <w:szCs w:val="22"/>
        </w:rPr>
      </w:pPr>
      <w:r>
        <w:rPr>
          <w:sz w:val="22"/>
          <w:szCs w:val="22"/>
        </w:rPr>
        <w:t>Seventh Revision Sheet B</w:t>
      </w:r>
      <w:r w:rsidRPr="00775669">
        <w:rPr>
          <w:sz w:val="22"/>
          <w:szCs w:val="22"/>
        </w:rPr>
        <w:tab/>
        <w:t>Canceling</w:t>
      </w:r>
      <w:r w:rsidRPr="00775669">
        <w:rPr>
          <w:sz w:val="22"/>
          <w:szCs w:val="22"/>
        </w:rPr>
        <w:tab/>
      </w:r>
      <w:r>
        <w:rPr>
          <w:sz w:val="22"/>
          <w:szCs w:val="22"/>
        </w:rPr>
        <w:t>Substitute Sixth Revision Sheet B</w:t>
      </w:r>
    </w:p>
    <w:p w:rsidR="00AF7FCB" w:rsidRPr="00775669" w:rsidRDefault="00AF7FCB" w:rsidP="00C83AC0">
      <w:pPr>
        <w:jc w:val="both"/>
        <w:rPr>
          <w:sz w:val="22"/>
          <w:szCs w:val="22"/>
        </w:rPr>
      </w:pPr>
      <w:r w:rsidRPr="00775669">
        <w:rPr>
          <w:sz w:val="22"/>
          <w:szCs w:val="22"/>
        </w:rPr>
        <w:tab/>
      </w:r>
      <w:r w:rsidR="00DC7878">
        <w:rPr>
          <w:sz w:val="22"/>
          <w:szCs w:val="22"/>
        </w:rPr>
        <w:t>Eleventh</w:t>
      </w:r>
      <w:r w:rsidRPr="00775669">
        <w:rPr>
          <w:sz w:val="22"/>
          <w:szCs w:val="22"/>
        </w:rPr>
        <w:t xml:space="preserve"> Revision Sheet </w:t>
      </w:r>
      <w:r w:rsidR="00DC7878">
        <w:rPr>
          <w:sz w:val="22"/>
          <w:szCs w:val="22"/>
        </w:rPr>
        <w:t>101</w:t>
      </w:r>
      <w:r w:rsidR="009A2062" w:rsidRPr="00775669">
        <w:rPr>
          <w:sz w:val="22"/>
          <w:szCs w:val="22"/>
        </w:rPr>
        <w:tab/>
        <w:t>Canceling</w:t>
      </w:r>
      <w:r w:rsidR="009A2062" w:rsidRPr="00775669">
        <w:rPr>
          <w:sz w:val="22"/>
          <w:szCs w:val="22"/>
        </w:rPr>
        <w:tab/>
      </w:r>
      <w:r w:rsidR="00DC7878">
        <w:rPr>
          <w:sz w:val="22"/>
          <w:szCs w:val="22"/>
        </w:rPr>
        <w:t>Tenth Revision Sheet 101</w:t>
      </w:r>
    </w:p>
    <w:p w:rsidR="00AF7FCB" w:rsidRDefault="0050061F" w:rsidP="00C83AC0">
      <w:pPr>
        <w:jc w:val="both"/>
        <w:rPr>
          <w:sz w:val="22"/>
          <w:szCs w:val="22"/>
        </w:rPr>
      </w:pPr>
      <w:r>
        <w:rPr>
          <w:sz w:val="22"/>
          <w:szCs w:val="22"/>
        </w:rPr>
        <w:tab/>
      </w:r>
      <w:r w:rsidR="00DC7878">
        <w:rPr>
          <w:sz w:val="22"/>
          <w:szCs w:val="22"/>
        </w:rPr>
        <w:t>Eleventh</w:t>
      </w:r>
      <w:r w:rsidRPr="00775669">
        <w:rPr>
          <w:sz w:val="22"/>
          <w:szCs w:val="22"/>
        </w:rPr>
        <w:t xml:space="preserve"> Revision Sheet </w:t>
      </w:r>
      <w:r w:rsidR="00DC7878">
        <w:rPr>
          <w:sz w:val="22"/>
          <w:szCs w:val="22"/>
        </w:rPr>
        <w:t>111</w:t>
      </w:r>
      <w:r w:rsidRPr="00775669">
        <w:rPr>
          <w:sz w:val="22"/>
          <w:szCs w:val="22"/>
        </w:rPr>
        <w:tab/>
        <w:t>Canceling</w:t>
      </w:r>
      <w:r w:rsidRPr="00775669">
        <w:rPr>
          <w:sz w:val="22"/>
          <w:szCs w:val="22"/>
        </w:rPr>
        <w:tab/>
      </w:r>
      <w:r w:rsidR="00DC7878">
        <w:rPr>
          <w:sz w:val="22"/>
          <w:szCs w:val="22"/>
        </w:rPr>
        <w:t>Tenth Revision Sheet 111</w:t>
      </w:r>
    </w:p>
    <w:p w:rsidR="00500E5B" w:rsidRDefault="00500E5B" w:rsidP="00C83AC0">
      <w:pPr>
        <w:jc w:val="both"/>
        <w:rPr>
          <w:sz w:val="22"/>
          <w:szCs w:val="22"/>
        </w:rPr>
      </w:pPr>
      <w:r>
        <w:rPr>
          <w:sz w:val="22"/>
          <w:szCs w:val="22"/>
        </w:rPr>
        <w:tab/>
        <w:t>Original Sheet 111A</w:t>
      </w:r>
    </w:p>
    <w:p w:rsidR="0050061F" w:rsidRDefault="0050061F" w:rsidP="00C83AC0">
      <w:pPr>
        <w:jc w:val="both"/>
        <w:rPr>
          <w:sz w:val="22"/>
          <w:szCs w:val="22"/>
        </w:rPr>
      </w:pPr>
      <w:r>
        <w:rPr>
          <w:sz w:val="22"/>
          <w:szCs w:val="22"/>
        </w:rPr>
        <w:tab/>
      </w:r>
      <w:r w:rsidR="00DC7878">
        <w:rPr>
          <w:sz w:val="22"/>
          <w:szCs w:val="22"/>
        </w:rPr>
        <w:t>Eleventh</w:t>
      </w:r>
      <w:r w:rsidRPr="00775669">
        <w:rPr>
          <w:sz w:val="22"/>
          <w:szCs w:val="22"/>
        </w:rPr>
        <w:t xml:space="preserve"> Revision Sheet </w:t>
      </w:r>
      <w:r w:rsidR="00DC7878">
        <w:rPr>
          <w:sz w:val="22"/>
          <w:szCs w:val="22"/>
        </w:rPr>
        <w:t>112</w:t>
      </w:r>
      <w:r w:rsidRPr="00775669">
        <w:rPr>
          <w:sz w:val="22"/>
          <w:szCs w:val="22"/>
        </w:rPr>
        <w:tab/>
        <w:t>Canceling</w:t>
      </w:r>
      <w:r w:rsidRPr="00775669">
        <w:rPr>
          <w:sz w:val="22"/>
          <w:szCs w:val="22"/>
        </w:rPr>
        <w:tab/>
      </w:r>
      <w:r w:rsidR="00DC7878">
        <w:rPr>
          <w:sz w:val="22"/>
          <w:szCs w:val="22"/>
        </w:rPr>
        <w:t>Tenth Revision Sheet 112</w:t>
      </w:r>
    </w:p>
    <w:p w:rsidR="00500E5B" w:rsidRDefault="00500E5B" w:rsidP="00C83AC0">
      <w:pPr>
        <w:jc w:val="both"/>
        <w:rPr>
          <w:sz w:val="22"/>
          <w:szCs w:val="22"/>
        </w:rPr>
      </w:pPr>
      <w:r>
        <w:rPr>
          <w:sz w:val="22"/>
          <w:szCs w:val="22"/>
        </w:rPr>
        <w:tab/>
        <w:t>Original Sheet 112A</w:t>
      </w:r>
    </w:p>
    <w:p w:rsidR="0050061F" w:rsidRDefault="00814886" w:rsidP="00C83AC0">
      <w:pPr>
        <w:jc w:val="both"/>
        <w:rPr>
          <w:sz w:val="22"/>
          <w:szCs w:val="22"/>
        </w:rPr>
      </w:pPr>
      <w:r>
        <w:rPr>
          <w:sz w:val="22"/>
          <w:szCs w:val="22"/>
        </w:rPr>
        <w:tab/>
      </w:r>
      <w:r w:rsidR="00DC7878">
        <w:rPr>
          <w:sz w:val="22"/>
          <w:szCs w:val="22"/>
        </w:rPr>
        <w:t>Eleventh</w:t>
      </w:r>
      <w:r w:rsidRPr="00775669">
        <w:rPr>
          <w:sz w:val="22"/>
          <w:szCs w:val="22"/>
        </w:rPr>
        <w:t xml:space="preserve"> Revision Sheet </w:t>
      </w:r>
      <w:r w:rsidR="00DC7878">
        <w:rPr>
          <w:sz w:val="22"/>
          <w:szCs w:val="22"/>
        </w:rPr>
        <w:t>121</w:t>
      </w:r>
      <w:r w:rsidRPr="00775669">
        <w:rPr>
          <w:sz w:val="22"/>
          <w:szCs w:val="22"/>
        </w:rPr>
        <w:tab/>
        <w:t>Canceling</w:t>
      </w:r>
      <w:r w:rsidRPr="00775669">
        <w:rPr>
          <w:sz w:val="22"/>
          <w:szCs w:val="22"/>
        </w:rPr>
        <w:tab/>
      </w:r>
      <w:r w:rsidR="00DC7878">
        <w:rPr>
          <w:sz w:val="22"/>
          <w:szCs w:val="22"/>
        </w:rPr>
        <w:t>Tenth Revision Sheet 121</w:t>
      </w:r>
    </w:p>
    <w:p w:rsidR="00500E5B" w:rsidRDefault="00500E5B" w:rsidP="00C83AC0">
      <w:pPr>
        <w:jc w:val="both"/>
        <w:rPr>
          <w:sz w:val="22"/>
          <w:szCs w:val="22"/>
        </w:rPr>
      </w:pPr>
      <w:r>
        <w:rPr>
          <w:sz w:val="22"/>
          <w:szCs w:val="22"/>
        </w:rPr>
        <w:tab/>
        <w:t>Second Revision Sheet 121A</w:t>
      </w:r>
      <w:r>
        <w:rPr>
          <w:sz w:val="22"/>
          <w:szCs w:val="22"/>
        </w:rPr>
        <w:tab/>
        <w:t>Canceling</w:t>
      </w:r>
      <w:r>
        <w:rPr>
          <w:sz w:val="22"/>
          <w:szCs w:val="22"/>
        </w:rPr>
        <w:tab/>
        <w:t>First Revision Sheet 121A</w:t>
      </w:r>
    </w:p>
    <w:p w:rsidR="00814886" w:rsidRDefault="00814886" w:rsidP="00C83AC0">
      <w:pPr>
        <w:jc w:val="both"/>
        <w:rPr>
          <w:sz w:val="22"/>
          <w:szCs w:val="22"/>
        </w:rPr>
      </w:pPr>
      <w:r>
        <w:rPr>
          <w:sz w:val="22"/>
          <w:szCs w:val="22"/>
        </w:rPr>
        <w:tab/>
      </w:r>
      <w:r w:rsidR="00DC7878">
        <w:rPr>
          <w:sz w:val="22"/>
          <w:szCs w:val="22"/>
        </w:rPr>
        <w:t>Eleventh</w:t>
      </w:r>
      <w:r w:rsidRPr="00775669">
        <w:rPr>
          <w:sz w:val="22"/>
          <w:szCs w:val="22"/>
        </w:rPr>
        <w:t xml:space="preserve"> Revision Sheet </w:t>
      </w:r>
      <w:r w:rsidR="00DC7878">
        <w:rPr>
          <w:sz w:val="22"/>
          <w:szCs w:val="22"/>
        </w:rPr>
        <w:t>122</w:t>
      </w:r>
      <w:r w:rsidRPr="00775669">
        <w:rPr>
          <w:sz w:val="22"/>
          <w:szCs w:val="22"/>
        </w:rPr>
        <w:tab/>
        <w:t>Canceling</w:t>
      </w:r>
      <w:r w:rsidRPr="00775669">
        <w:rPr>
          <w:sz w:val="22"/>
          <w:szCs w:val="22"/>
        </w:rPr>
        <w:tab/>
      </w:r>
      <w:r w:rsidR="00DC7878">
        <w:rPr>
          <w:sz w:val="22"/>
          <w:szCs w:val="22"/>
        </w:rPr>
        <w:t>Tenth Revision Sheet 122</w:t>
      </w:r>
    </w:p>
    <w:p w:rsidR="00500E5B" w:rsidRDefault="00500E5B" w:rsidP="00C83AC0">
      <w:pPr>
        <w:jc w:val="both"/>
        <w:rPr>
          <w:sz w:val="22"/>
          <w:szCs w:val="22"/>
        </w:rPr>
      </w:pPr>
      <w:r>
        <w:rPr>
          <w:sz w:val="22"/>
          <w:szCs w:val="22"/>
        </w:rPr>
        <w:tab/>
        <w:t>Second Revision Sheet 122A</w:t>
      </w:r>
      <w:r>
        <w:rPr>
          <w:sz w:val="22"/>
          <w:szCs w:val="22"/>
        </w:rPr>
        <w:tab/>
        <w:t>Canceling</w:t>
      </w:r>
      <w:r>
        <w:rPr>
          <w:sz w:val="22"/>
          <w:szCs w:val="22"/>
        </w:rPr>
        <w:tab/>
        <w:t>First Revision Sheet 122A</w:t>
      </w:r>
    </w:p>
    <w:p w:rsidR="00715BD3" w:rsidRDefault="00DC7878" w:rsidP="00001DC1">
      <w:pPr>
        <w:ind w:left="720"/>
        <w:jc w:val="both"/>
        <w:rPr>
          <w:sz w:val="22"/>
          <w:szCs w:val="22"/>
        </w:rPr>
      </w:pPr>
      <w:r>
        <w:rPr>
          <w:sz w:val="22"/>
          <w:szCs w:val="22"/>
        </w:rPr>
        <w:t>Eleventh</w:t>
      </w:r>
      <w:r w:rsidR="00715BD3" w:rsidRPr="00775669">
        <w:rPr>
          <w:sz w:val="22"/>
          <w:szCs w:val="22"/>
        </w:rPr>
        <w:t xml:space="preserve"> Revision Sheet </w:t>
      </w:r>
      <w:r>
        <w:rPr>
          <w:sz w:val="22"/>
          <w:szCs w:val="22"/>
        </w:rPr>
        <w:t>131</w:t>
      </w:r>
      <w:r w:rsidR="00715BD3" w:rsidRPr="00775669">
        <w:rPr>
          <w:sz w:val="22"/>
          <w:szCs w:val="22"/>
        </w:rPr>
        <w:tab/>
        <w:t>Canceling</w:t>
      </w:r>
      <w:r w:rsidR="00715BD3" w:rsidRPr="00775669">
        <w:rPr>
          <w:sz w:val="22"/>
          <w:szCs w:val="22"/>
        </w:rPr>
        <w:tab/>
      </w:r>
      <w:r>
        <w:rPr>
          <w:sz w:val="22"/>
          <w:szCs w:val="22"/>
        </w:rPr>
        <w:t>Tenth Revision Sheet 131</w:t>
      </w:r>
    </w:p>
    <w:p w:rsidR="00500E5B" w:rsidRDefault="00500E5B" w:rsidP="00001DC1">
      <w:pPr>
        <w:ind w:left="720"/>
        <w:jc w:val="both"/>
        <w:rPr>
          <w:sz w:val="22"/>
          <w:szCs w:val="22"/>
        </w:rPr>
      </w:pPr>
      <w:r>
        <w:rPr>
          <w:sz w:val="22"/>
          <w:szCs w:val="22"/>
        </w:rPr>
        <w:t>Second Revision Sheet 131A</w:t>
      </w:r>
      <w:r>
        <w:rPr>
          <w:sz w:val="22"/>
          <w:szCs w:val="22"/>
        </w:rPr>
        <w:tab/>
        <w:t>Canceling</w:t>
      </w:r>
      <w:r>
        <w:rPr>
          <w:sz w:val="22"/>
          <w:szCs w:val="22"/>
        </w:rPr>
        <w:tab/>
        <w:t>First Revision Sheet 131A</w:t>
      </w:r>
    </w:p>
    <w:p w:rsidR="00500E5B" w:rsidRDefault="00500E5B" w:rsidP="00001DC1">
      <w:pPr>
        <w:ind w:left="720"/>
        <w:jc w:val="both"/>
        <w:rPr>
          <w:sz w:val="22"/>
          <w:szCs w:val="22"/>
        </w:rPr>
      </w:pPr>
      <w:r>
        <w:rPr>
          <w:sz w:val="22"/>
          <w:szCs w:val="22"/>
        </w:rPr>
        <w:t>First Revision Sheet 131B</w:t>
      </w:r>
      <w:r>
        <w:rPr>
          <w:sz w:val="22"/>
          <w:szCs w:val="22"/>
        </w:rPr>
        <w:tab/>
        <w:t>Canceling</w:t>
      </w:r>
      <w:r>
        <w:rPr>
          <w:sz w:val="22"/>
          <w:szCs w:val="22"/>
        </w:rPr>
        <w:tab/>
        <w:t>Original Sheet 131B</w:t>
      </w:r>
    </w:p>
    <w:p w:rsidR="00DC7878" w:rsidRDefault="00DC7878" w:rsidP="00001DC1">
      <w:pPr>
        <w:ind w:left="720"/>
        <w:jc w:val="both"/>
        <w:rPr>
          <w:sz w:val="22"/>
          <w:szCs w:val="22"/>
        </w:rPr>
      </w:pPr>
      <w:r>
        <w:rPr>
          <w:sz w:val="22"/>
          <w:szCs w:val="22"/>
        </w:rPr>
        <w:t>Eleventh Revision Sheet 132</w:t>
      </w:r>
      <w:r>
        <w:rPr>
          <w:sz w:val="22"/>
          <w:szCs w:val="22"/>
        </w:rPr>
        <w:tab/>
        <w:t>Canceling</w:t>
      </w:r>
      <w:r>
        <w:rPr>
          <w:sz w:val="22"/>
          <w:szCs w:val="22"/>
        </w:rPr>
        <w:tab/>
        <w:t>Tenth Revision Sheet 132</w:t>
      </w:r>
    </w:p>
    <w:p w:rsidR="00500E5B" w:rsidRDefault="00500E5B" w:rsidP="00001DC1">
      <w:pPr>
        <w:ind w:left="720"/>
        <w:jc w:val="both"/>
        <w:rPr>
          <w:sz w:val="22"/>
          <w:szCs w:val="22"/>
        </w:rPr>
      </w:pPr>
      <w:r>
        <w:rPr>
          <w:sz w:val="22"/>
          <w:szCs w:val="22"/>
        </w:rPr>
        <w:t>Second Revision Sheet 132A</w:t>
      </w:r>
      <w:r>
        <w:rPr>
          <w:sz w:val="22"/>
          <w:szCs w:val="22"/>
        </w:rPr>
        <w:tab/>
        <w:t>Canceling</w:t>
      </w:r>
      <w:r>
        <w:rPr>
          <w:sz w:val="22"/>
          <w:szCs w:val="22"/>
        </w:rPr>
        <w:tab/>
        <w:t>First Revision Sheet 132A</w:t>
      </w:r>
    </w:p>
    <w:p w:rsidR="00500E5B" w:rsidRDefault="00500E5B" w:rsidP="00001DC1">
      <w:pPr>
        <w:ind w:left="720"/>
        <w:jc w:val="both"/>
        <w:rPr>
          <w:sz w:val="22"/>
          <w:szCs w:val="22"/>
        </w:rPr>
      </w:pPr>
      <w:r>
        <w:rPr>
          <w:sz w:val="22"/>
          <w:szCs w:val="22"/>
        </w:rPr>
        <w:t>First Revision Sheet 132B</w:t>
      </w:r>
      <w:r>
        <w:rPr>
          <w:sz w:val="22"/>
          <w:szCs w:val="22"/>
        </w:rPr>
        <w:tab/>
        <w:t>Canceling</w:t>
      </w:r>
      <w:r>
        <w:rPr>
          <w:sz w:val="22"/>
          <w:szCs w:val="22"/>
        </w:rPr>
        <w:tab/>
        <w:t>Original Sheet 132B</w:t>
      </w:r>
    </w:p>
    <w:p w:rsidR="00DC7878" w:rsidRDefault="00DC7878" w:rsidP="00001DC1">
      <w:pPr>
        <w:ind w:left="720"/>
        <w:jc w:val="both"/>
        <w:rPr>
          <w:sz w:val="22"/>
          <w:szCs w:val="22"/>
        </w:rPr>
      </w:pPr>
      <w:r>
        <w:rPr>
          <w:sz w:val="22"/>
          <w:szCs w:val="22"/>
        </w:rPr>
        <w:t xml:space="preserve">Eleventh Revision Sheet 146 </w:t>
      </w:r>
      <w:r>
        <w:rPr>
          <w:sz w:val="22"/>
          <w:szCs w:val="22"/>
        </w:rPr>
        <w:tab/>
        <w:t>Canceling</w:t>
      </w:r>
      <w:r>
        <w:rPr>
          <w:sz w:val="22"/>
          <w:szCs w:val="22"/>
        </w:rPr>
        <w:tab/>
        <w:t>Tenth Revision Sheet 146</w:t>
      </w:r>
    </w:p>
    <w:p w:rsidR="00500E5B" w:rsidRDefault="00500E5B" w:rsidP="00001DC1">
      <w:pPr>
        <w:ind w:left="720"/>
        <w:jc w:val="both"/>
        <w:rPr>
          <w:sz w:val="22"/>
          <w:szCs w:val="22"/>
        </w:rPr>
      </w:pPr>
      <w:r>
        <w:rPr>
          <w:sz w:val="22"/>
          <w:szCs w:val="22"/>
        </w:rPr>
        <w:t>Third Revision Sheet 146A</w:t>
      </w:r>
      <w:r>
        <w:rPr>
          <w:sz w:val="22"/>
          <w:szCs w:val="22"/>
        </w:rPr>
        <w:tab/>
        <w:t>Canceling</w:t>
      </w:r>
      <w:r>
        <w:rPr>
          <w:sz w:val="22"/>
          <w:szCs w:val="22"/>
        </w:rPr>
        <w:tab/>
        <w:t>Second Revision Sheet 146A</w:t>
      </w:r>
    </w:p>
    <w:p w:rsidR="00DC7878" w:rsidRDefault="00DC7878" w:rsidP="00001DC1">
      <w:pPr>
        <w:ind w:left="720"/>
        <w:jc w:val="both"/>
        <w:rPr>
          <w:sz w:val="22"/>
          <w:szCs w:val="22"/>
        </w:rPr>
      </w:pPr>
      <w:r>
        <w:rPr>
          <w:sz w:val="22"/>
          <w:szCs w:val="22"/>
        </w:rPr>
        <w:t>Thirteenth Revision Sheet 150</w:t>
      </w:r>
      <w:r>
        <w:rPr>
          <w:sz w:val="22"/>
          <w:szCs w:val="22"/>
        </w:rPr>
        <w:tab/>
        <w:t>Canceling</w:t>
      </w:r>
      <w:r>
        <w:rPr>
          <w:sz w:val="22"/>
          <w:szCs w:val="22"/>
        </w:rPr>
        <w:tab/>
        <w:t>Twelfth Revision Sheet 150</w:t>
      </w:r>
    </w:p>
    <w:p w:rsidR="00715BD3" w:rsidRDefault="00715BD3" w:rsidP="00C83AC0">
      <w:pPr>
        <w:jc w:val="both"/>
        <w:rPr>
          <w:sz w:val="22"/>
          <w:szCs w:val="22"/>
        </w:rPr>
      </w:pPr>
    </w:p>
    <w:p w:rsidR="007D50BC" w:rsidRDefault="00AF7FCB" w:rsidP="00814886">
      <w:pPr>
        <w:jc w:val="both"/>
        <w:rPr>
          <w:sz w:val="22"/>
          <w:szCs w:val="22"/>
        </w:rPr>
      </w:pPr>
      <w:r w:rsidRPr="00775669">
        <w:rPr>
          <w:sz w:val="22"/>
          <w:szCs w:val="22"/>
        </w:rPr>
        <w:t xml:space="preserve">The purpose of this filing is to </w:t>
      </w:r>
      <w:r w:rsidR="00D82470">
        <w:rPr>
          <w:sz w:val="22"/>
          <w:szCs w:val="22"/>
        </w:rPr>
        <w:t xml:space="preserve">make </w:t>
      </w:r>
      <w:r w:rsidR="001913A3">
        <w:rPr>
          <w:sz w:val="22"/>
          <w:szCs w:val="22"/>
        </w:rPr>
        <w:t xml:space="preserve">changes to </w:t>
      </w:r>
      <w:r w:rsidR="00D82470">
        <w:rPr>
          <w:sz w:val="22"/>
          <w:szCs w:val="22"/>
        </w:rPr>
        <w:t xml:space="preserve">the </w:t>
      </w:r>
      <w:r w:rsidR="007D50BC">
        <w:rPr>
          <w:sz w:val="22"/>
          <w:szCs w:val="22"/>
        </w:rPr>
        <w:t>Company’s natural gas tariff schedules</w:t>
      </w:r>
      <w:r w:rsidR="00D82470">
        <w:rPr>
          <w:sz w:val="22"/>
          <w:szCs w:val="22"/>
        </w:rPr>
        <w:t xml:space="preserve"> </w:t>
      </w:r>
      <w:r w:rsidR="001913A3">
        <w:rPr>
          <w:sz w:val="22"/>
          <w:szCs w:val="22"/>
        </w:rPr>
        <w:t xml:space="preserve">which we believe will make the tariffs </w:t>
      </w:r>
      <w:r w:rsidR="00D82470">
        <w:rPr>
          <w:sz w:val="22"/>
          <w:szCs w:val="22"/>
        </w:rPr>
        <w:t>easier for customers to understand</w:t>
      </w:r>
      <w:r w:rsidR="007D50BC">
        <w:rPr>
          <w:sz w:val="22"/>
          <w:szCs w:val="22"/>
        </w:rPr>
        <w:t xml:space="preserve">.  </w:t>
      </w:r>
      <w:r w:rsidR="001913A3">
        <w:rPr>
          <w:sz w:val="22"/>
          <w:szCs w:val="22"/>
        </w:rPr>
        <w:t xml:space="preserve">With the exception of Schedule 150, </w:t>
      </w:r>
      <w:r w:rsidR="007D50BC">
        <w:rPr>
          <w:sz w:val="22"/>
          <w:szCs w:val="22"/>
        </w:rPr>
        <w:t xml:space="preserve">the tariff sheets noted above </w:t>
      </w:r>
      <w:r w:rsidR="001913A3">
        <w:rPr>
          <w:sz w:val="22"/>
          <w:szCs w:val="22"/>
        </w:rPr>
        <w:t>list</w:t>
      </w:r>
      <w:r w:rsidR="007D50BC">
        <w:rPr>
          <w:sz w:val="22"/>
          <w:szCs w:val="22"/>
        </w:rPr>
        <w:t xml:space="preserve"> the Company’s base rates.  </w:t>
      </w:r>
      <w:r w:rsidR="001913A3">
        <w:rPr>
          <w:sz w:val="22"/>
          <w:szCs w:val="22"/>
        </w:rPr>
        <w:t>Those b</w:t>
      </w:r>
      <w:r w:rsidR="007D50BC">
        <w:rPr>
          <w:sz w:val="22"/>
          <w:szCs w:val="22"/>
        </w:rPr>
        <w:t>ase rates include</w:t>
      </w:r>
      <w:r w:rsidR="001913A3">
        <w:rPr>
          <w:sz w:val="22"/>
          <w:szCs w:val="22"/>
        </w:rPr>
        <w:t xml:space="preserve"> both</w:t>
      </w:r>
      <w:r w:rsidR="007D50BC">
        <w:rPr>
          <w:sz w:val="22"/>
          <w:szCs w:val="22"/>
        </w:rPr>
        <w:t xml:space="preserve"> distribution margin as well as some level of natural gas commodity and transportation costs.  The rates noted on those sheets, however, are not the all-in </w:t>
      </w:r>
      <w:r w:rsidR="007D50BC" w:rsidRPr="007D50BC">
        <w:rPr>
          <w:sz w:val="22"/>
          <w:szCs w:val="22"/>
          <w:u w:val="single"/>
        </w:rPr>
        <w:t>billing</w:t>
      </w:r>
      <w:r w:rsidR="007D50BC">
        <w:rPr>
          <w:sz w:val="22"/>
          <w:szCs w:val="22"/>
        </w:rPr>
        <w:t xml:space="preserve"> rate customers actually pay</w:t>
      </w:r>
      <w:r w:rsidR="007D50BC">
        <w:rPr>
          <w:rStyle w:val="FootnoteReference"/>
          <w:sz w:val="22"/>
          <w:szCs w:val="22"/>
        </w:rPr>
        <w:footnoteReference w:id="1"/>
      </w:r>
      <w:r w:rsidR="007D50BC">
        <w:rPr>
          <w:sz w:val="22"/>
          <w:szCs w:val="22"/>
        </w:rPr>
        <w:t xml:space="preserve">.  As such, when a customer refers to a certain rate schedule to determine their “rate”, the rate that is listed may not be the same as the billing rate, and the customer may not be aware that there are other rate schedules that will impact their billing rate.  </w:t>
      </w:r>
      <w:r w:rsidR="00D82470">
        <w:rPr>
          <w:sz w:val="22"/>
          <w:szCs w:val="22"/>
        </w:rPr>
        <w:t xml:space="preserve"> </w:t>
      </w:r>
    </w:p>
    <w:p w:rsidR="009C3F21" w:rsidRDefault="007D50BC" w:rsidP="00814886">
      <w:pPr>
        <w:jc w:val="both"/>
        <w:rPr>
          <w:sz w:val="22"/>
          <w:szCs w:val="22"/>
        </w:rPr>
      </w:pPr>
      <w:r>
        <w:rPr>
          <w:sz w:val="22"/>
          <w:szCs w:val="22"/>
        </w:rPr>
        <w:lastRenderedPageBreak/>
        <w:t xml:space="preserve">Therefore, the Company believes that the base rates listed on the Company’s tariff schedules should only reflect the </w:t>
      </w:r>
      <w:r w:rsidR="001913A3">
        <w:rPr>
          <w:sz w:val="22"/>
          <w:szCs w:val="22"/>
        </w:rPr>
        <w:t>rates related to the Company’s local distribution company operations, and should not include any costs related to commodity or transportation.  Commodity and transportation costs should be contained in a standalone schedule (Schedule 150), similar to the other standalone schedules noted in Footnote #1.  Further, t</w:t>
      </w:r>
      <w:r>
        <w:rPr>
          <w:sz w:val="22"/>
          <w:szCs w:val="22"/>
        </w:rPr>
        <w:t>he Company believes that all of the</w:t>
      </w:r>
      <w:r w:rsidR="001913A3">
        <w:rPr>
          <w:sz w:val="22"/>
          <w:szCs w:val="22"/>
        </w:rPr>
        <w:t xml:space="preserve"> standalone</w:t>
      </w:r>
      <w:r>
        <w:rPr>
          <w:sz w:val="22"/>
          <w:szCs w:val="22"/>
        </w:rPr>
        <w:t xml:space="preserve"> schedules</w:t>
      </w:r>
      <w:r w:rsidR="001913A3">
        <w:rPr>
          <w:sz w:val="22"/>
          <w:szCs w:val="22"/>
        </w:rPr>
        <w:t xml:space="preserve"> and rates</w:t>
      </w:r>
      <w:r>
        <w:rPr>
          <w:sz w:val="22"/>
          <w:szCs w:val="22"/>
        </w:rPr>
        <w:t xml:space="preserve"> </w:t>
      </w:r>
      <w:r w:rsidR="001913A3">
        <w:rPr>
          <w:sz w:val="22"/>
          <w:szCs w:val="22"/>
        </w:rPr>
        <w:t>which</w:t>
      </w:r>
      <w:r>
        <w:rPr>
          <w:sz w:val="22"/>
          <w:szCs w:val="22"/>
        </w:rPr>
        <w:t xml:space="preserve"> are applicable to the base rate schedule</w:t>
      </w:r>
      <w:r w:rsidR="001913A3">
        <w:rPr>
          <w:sz w:val="22"/>
          <w:szCs w:val="22"/>
        </w:rPr>
        <w:t>s</w:t>
      </w:r>
      <w:r>
        <w:rPr>
          <w:sz w:val="22"/>
          <w:szCs w:val="22"/>
        </w:rPr>
        <w:t xml:space="preserve"> should also be listed</w:t>
      </w:r>
      <w:r w:rsidR="00E31B87">
        <w:rPr>
          <w:sz w:val="22"/>
          <w:szCs w:val="22"/>
        </w:rPr>
        <w:t xml:space="preserve"> on the base tariff sheet</w:t>
      </w:r>
      <w:r w:rsidR="00CF0EF1">
        <w:rPr>
          <w:sz w:val="22"/>
          <w:szCs w:val="22"/>
        </w:rPr>
        <w:t>s</w:t>
      </w:r>
      <w:r w:rsidR="00E31B87">
        <w:rPr>
          <w:sz w:val="22"/>
          <w:szCs w:val="22"/>
        </w:rPr>
        <w:t>.</w:t>
      </w:r>
      <w:r w:rsidR="00CF0EF1">
        <w:rPr>
          <w:sz w:val="22"/>
          <w:szCs w:val="22"/>
        </w:rPr>
        <w:t xml:space="preserve">  By doing so, customers will be able to easily ascertain their base rate (including basic charge) and their billing rate.</w:t>
      </w:r>
    </w:p>
    <w:p w:rsidR="009C3F21" w:rsidRDefault="009C3F21" w:rsidP="00814886">
      <w:pPr>
        <w:jc w:val="both"/>
        <w:rPr>
          <w:sz w:val="22"/>
          <w:szCs w:val="22"/>
        </w:rPr>
      </w:pPr>
    </w:p>
    <w:p w:rsidR="004E50DC" w:rsidRDefault="004E50DC" w:rsidP="004E50DC">
      <w:pPr>
        <w:jc w:val="both"/>
        <w:rPr>
          <w:sz w:val="22"/>
          <w:szCs w:val="22"/>
        </w:rPr>
      </w:pPr>
      <w:r>
        <w:rPr>
          <w:sz w:val="22"/>
          <w:szCs w:val="22"/>
        </w:rPr>
        <w:t>In addition</w:t>
      </w:r>
      <w:r w:rsidR="00CF0EF1">
        <w:rPr>
          <w:sz w:val="22"/>
          <w:szCs w:val="22"/>
        </w:rPr>
        <w:t xml:space="preserve"> to the changes noted above</w:t>
      </w:r>
      <w:r>
        <w:rPr>
          <w:sz w:val="22"/>
          <w:szCs w:val="22"/>
        </w:rPr>
        <w:t xml:space="preserve">, the Company would like to </w:t>
      </w:r>
      <w:r w:rsidR="00CF0EF1">
        <w:rPr>
          <w:sz w:val="22"/>
          <w:szCs w:val="22"/>
        </w:rPr>
        <w:t>cancel</w:t>
      </w:r>
      <w:r>
        <w:rPr>
          <w:sz w:val="22"/>
          <w:szCs w:val="22"/>
        </w:rPr>
        <w:t xml:space="preserve"> the following tariff sheet</w:t>
      </w:r>
      <w:r w:rsidR="00CF0EF1">
        <w:rPr>
          <w:sz w:val="22"/>
          <w:szCs w:val="22"/>
        </w:rPr>
        <w:t>:</w:t>
      </w:r>
    </w:p>
    <w:p w:rsidR="004E50DC" w:rsidRDefault="004E50DC" w:rsidP="004E50DC">
      <w:pPr>
        <w:jc w:val="both"/>
        <w:rPr>
          <w:sz w:val="22"/>
          <w:szCs w:val="22"/>
        </w:rPr>
      </w:pPr>
    </w:p>
    <w:p w:rsidR="004E50DC" w:rsidRDefault="004E50DC" w:rsidP="004E50DC">
      <w:pPr>
        <w:ind w:firstLine="720"/>
        <w:jc w:val="both"/>
        <w:rPr>
          <w:sz w:val="22"/>
          <w:szCs w:val="22"/>
        </w:rPr>
      </w:pPr>
      <w:r>
        <w:rPr>
          <w:sz w:val="22"/>
          <w:szCs w:val="22"/>
        </w:rPr>
        <w:t>Seventeenth Revision Sheet 156 – Purchase Gas Cost Adjustment</w:t>
      </w:r>
    </w:p>
    <w:p w:rsidR="004E50DC" w:rsidRDefault="004E50DC" w:rsidP="004E50DC">
      <w:pPr>
        <w:jc w:val="both"/>
        <w:rPr>
          <w:sz w:val="22"/>
          <w:szCs w:val="22"/>
        </w:rPr>
      </w:pPr>
    </w:p>
    <w:p w:rsidR="004E50DC" w:rsidRDefault="004E50DC" w:rsidP="004E50DC">
      <w:pPr>
        <w:jc w:val="both"/>
        <w:rPr>
          <w:sz w:val="22"/>
          <w:szCs w:val="22"/>
        </w:rPr>
      </w:pPr>
      <w:r>
        <w:rPr>
          <w:sz w:val="22"/>
          <w:szCs w:val="22"/>
        </w:rPr>
        <w:t xml:space="preserve">The purpose of </w:t>
      </w:r>
      <w:r w:rsidR="00D82470">
        <w:rPr>
          <w:sz w:val="22"/>
          <w:szCs w:val="22"/>
        </w:rPr>
        <w:t>Schedule 156</w:t>
      </w:r>
      <w:r w:rsidR="00AD774D">
        <w:rPr>
          <w:sz w:val="22"/>
          <w:szCs w:val="22"/>
        </w:rPr>
        <w:t xml:space="preserve"> (Purchase Gas Cost Adjustment)</w:t>
      </w:r>
      <w:r>
        <w:rPr>
          <w:sz w:val="22"/>
          <w:szCs w:val="22"/>
        </w:rPr>
        <w:t xml:space="preserve"> is to track purchased gas cost changes when Schedule 150 (Purchased Gas Cost Adjustment) is unable to be used because it has been suspended as part o</w:t>
      </w:r>
      <w:r w:rsidR="00FC2741">
        <w:rPr>
          <w:sz w:val="22"/>
          <w:szCs w:val="22"/>
        </w:rPr>
        <w:t>f a general rate case filing.  In the past</w:t>
      </w:r>
      <w:r w:rsidR="00F01EDB">
        <w:rPr>
          <w:sz w:val="22"/>
          <w:szCs w:val="22"/>
        </w:rPr>
        <w:t>,</w:t>
      </w:r>
      <w:r w:rsidR="00FC2741">
        <w:rPr>
          <w:sz w:val="22"/>
          <w:szCs w:val="22"/>
        </w:rPr>
        <w:t xml:space="preserve"> w</w:t>
      </w:r>
      <w:r>
        <w:rPr>
          <w:sz w:val="22"/>
          <w:szCs w:val="22"/>
        </w:rPr>
        <w:t xml:space="preserve">hen the Company </w:t>
      </w:r>
      <w:r w:rsidR="00F01EDB">
        <w:rPr>
          <w:sz w:val="22"/>
          <w:szCs w:val="22"/>
        </w:rPr>
        <w:t>has filed</w:t>
      </w:r>
      <w:r>
        <w:rPr>
          <w:sz w:val="22"/>
          <w:szCs w:val="22"/>
        </w:rPr>
        <w:t xml:space="preserve"> a general rate case</w:t>
      </w:r>
      <w:r w:rsidR="00CF0EF1">
        <w:rPr>
          <w:sz w:val="22"/>
          <w:szCs w:val="22"/>
        </w:rPr>
        <w:t>,</w:t>
      </w:r>
      <w:r>
        <w:rPr>
          <w:sz w:val="22"/>
          <w:szCs w:val="22"/>
        </w:rPr>
        <w:t xml:space="preserve"> any current gas cost adjustments, whether </w:t>
      </w:r>
      <w:r w:rsidR="00FC2741">
        <w:rPr>
          <w:sz w:val="22"/>
          <w:szCs w:val="22"/>
        </w:rPr>
        <w:t>in Schedule 150 or 156,</w:t>
      </w:r>
      <w:r>
        <w:rPr>
          <w:sz w:val="22"/>
          <w:szCs w:val="22"/>
        </w:rPr>
        <w:t xml:space="preserve"> </w:t>
      </w:r>
      <w:r w:rsidR="00F01EDB">
        <w:rPr>
          <w:sz w:val="22"/>
          <w:szCs w:val="22"/>
        </w:rPr>
        <w:t xml:space="preserve">have been transferred </w:t>
      </w:r>
      <w:r>
        <w:rPr>
          <w:sz w:val="22"/>
          <w:szCs w:val="22"/>
        </w:rPr>
        <w:t xml:space="preserve">into base rates.  By doing so the current tariff in effect </w:t>
      </w:r>
      <w:r w:rsidR="00F01EDB">
        <w:rPr>
          <w:sz w:val="22"/>
          <w:szCs w:val="22"/>
        </w:rPr>
        <w:t xml:space="preserve">(Schedule 150 or 156) </w:t>
      </w:r>
      <w:r>
        <w:rPr>
          <w:sz w:val="22"/>
          <w:szCs w:val="22"/>
        </w:rPr>
        <w:t>is suspended</w:t>
      </w:r>
      <w:r w:rsidR="00C23EE0">
        <w:rPr>
          <w:sz w:val="22"/>
          <w:szCs w:val="22"/>
        </w:rPr>
        <w:t xml:space="preserve"> with all other general rate case tariffs</w:t>
      </w:r>
      <w:r>
        <w:rPr>
          <w:sz w:val="22"/>
          <w:szCs w:val="22"/>
        </w:rPr>
        <w:t>, forcing the Company to utilize a second tariff for any new gas cost adjustments that</w:t>
      </w:r>
      <w:r w:rsidR="00F01EDB">
        <w:rPr>
          <w:sz w:val="22"/>
          <w:szCs w:val="22"/>
        </w:rPr>
        <w:t xml:space="preserve"> are made during a PGA filing.</w:t>
      </w:r>
      <w:r>
        <w:rPr>
          <w:sz w:val="22"/>
          <w:szCs w:val="22"/>
        </w:rPr>
        <w:t xml:space="preserve">  By separating all gas costs into one tariff schedule (Schedule 150), the Company would eliminate the need to file Schedule 150 during general rate cases, which would in turn eliminate the need for Schedule 156 altogether.</w:t>
      </w:r>
    </w:p>
    <w:p w:rsidR="004E50DC" w:rsidRDefault="004E50DC" w:rsidP="00814886">
      <w:pPr>
        <w:jc w:val="both"/>
        <w:rPr>
          <w:sz w:val="22"/>
          <w:szCs w:val="22"/>
        </w:rPr>
      </w:pPr>
    </w:p>
    <w:p w:rsidR="00A43498" w:rsidRDefault="00814886" w:rsidP="00814886">
      <w:pPr>
        <w:jc w:val="both"/>
        <w:rPr>
          <w:sz w:val="22"/>
          <w:szCs w:val="22"/>
        </w:rPr>
      </w:pPr>
      <w:r>
        <w:rPr>
          <w:sz w:val="22"/>
          <w:szCs w:val="22"/>
        </w:rPr>
        <w:t>Below is a summary of the changes that</w:t>
      </w:r>
      <w:r w:rsidR="00764FE1">
        <w:rPr>
          <w:sz w:val="22"/>
          <w:szCs w:val="22"/>
        </w:rPr>
        <w:t xml:space="preserve"> were made</w:t>
      </w:r>
      <w:r w:rsidR="00CF0EF1">
        <w:rPr>
          <w:sz w:val="22"/>
          <w:szCs w:val="22"/>
        </w:rPr>
        <w:t xml:space="preserve"> to the tariff sheets in this filing</w:t>
      </w:r>
      <w:r w:rsidR="00764FE1">
        <w:rPr>
          <w:sz w:val="22"/>
          <w:szCs w:val="22"/>
        </w:rPr>
        <w:t>:</w:t>
      </w:r>
    </w:p>
    <w:p w:rsidR="00814886" w:rsidRDefault="00814886" w:rsidP="00814886">
      <w:pPr>
        <w:jc w:val="both"/>
        <w:rPr>
          <w:sz w:val="22"/>
          <w:szCs w:val="22"/>
        </w:rPr>
      </w:pPr>
    </w:p>
    <w:p w:rsidR="009C3F21" w:rsidRDefault="009C3F21" w:rsidP="009C3F21">
      <w:pPr>
        <w:widowControl w:val="0"/>
        <w:jc w:val="both"/>
        <w:outlineLvl w:val="0"/>
        <w:rPr>
          <w:sz w:val="22"/>
          <w:szCs w:val="22"/>
        </w:rPr>
      </w:pPr>
      <w:r>
        <w:rPr>
          <w:b/>
          <w:sz w:val="22"/>
          <w:szCs w:val="22"/>
        </w:rPr>
        <w:t>Sheet B</w:t>
      </w:r>
      <w:r w:rsidRPr="00FD588B">
        <w:rPr>
          <w:sz w:val="22"/>
          <w:szCs w:val="22"/>
        </w:rPr>
        <w:t xml:space="preserve"> – </w:t>
      </w:r>
      <w:r>
        <w:rPr>
          <w:sz w:val="22"/>
          <w:szCs w:val="22"/>
        </w:rPr>
        <w:t>Updating the Table of Contents to reflect removal of Schedule 156.</w:t>
      </w:r>
    </w:p>
    <w:p w:rsidR="009C3F21" w:rsidRPr="00FD588B" w:rsidRDefault="009C3F21" w:rsidP="009C3F21">
      <w:pPr>
        <w:widowControl w:val="0"/>
        <w:jc w:val="both"/>
        <w:outlineLvl w:val="0"/>
        <w:rPr>
          <w:sz w:val="22"/>
          <w:szCs w:val="22"/>
        </w:rPr>
      </w:pPr>
    </w:p>
    <w:p w:rsidR="009C3F21" w:rsidRPr="009C3F21" w:rsidRDefault="009C3F21" w:rsidP="009C3F21">
      <w:pPr>
        <w:widowControl w:val="0"/>
        <w:jc w:val="both"/>
        <w:outlineLvl w:val="0"/>
        <w:rPr>
          <w:sz w:val="22"/>
          <w:szCs w:val="22"/>
        </w:rPr>
      </w:pPr>
      <w:r w:rsidRPr="00FD588B">
        <w:rPr>
          <w:b/>
          <w:sz w:val="22"/>
          <w:szCs w:val="22"/>
        </w:rPr>
        <w:t>Schedule</w:t>
      </w:r>
      <w:r>
        <w:rPr>
          <w:b/>
          <w:sz w:val="22"/>
          <w:szCs w:val="22"/>
        </w:rPr>
        <w:t>s 101, 111, 112, 121, 122, 131, 132 and 146</w:t>
      </w:r>
      <w:r>
        <w:rPr>
          <w:sz w:val="22"/>
          <w:szCs w:val="22"/>
        </w:rPr>
        <w:t xml:space="preserve"> – T</w:t>
      </w:r>
      <w:r w:rsidRPr="00FD588B">
        <w:rPr>
          <w:sz w:val="22"/>
          <w:szCs w:val="22"/>
        </w:rPr>
        <w:t>he proposed tariff revisions show not only the act</w:t>
      </w:r>
      <w:r w:rsidR="00A03C9B">
        <w:rPr>
          <w:sz w:val="22"/>
          <w:szCs w:val="22"/>
        </w:rPr>
        <w:t>ual distribution margin for the</w:t>
      </w:r>
      <w:r w:rsidRPr="00FD588B">
        <w:rPr>
          <w:sz w:val="22"/>
          <w:szCs w:val="22"/>
        </w:rPr>
        <w:t xml:space="preserve"> schedule as denoted by “Base Rate”, but also provides a table detailing all of the other stand-alone schedul</w:t>
      </w:r>
      <w:r>
        <w:rPr>
          <w:sz w:val="22"/>
          <w:szCs w:val="22"/>
        </w:rPr>
        <w:t>es (as proposed in this filing)</w:t>
      </w:r>
      <w:r w:rsidRPr="00FD588B">
        <w:rPr>
          <w:sz w:val="22"/>
          <w:szCs w:val="22"/>
        </w:rPr>
        <w:t xml:space="preserve"> for purposes of showing the actual billing rate.  By showing the Base and Billing rates on the same tariff sheet, customers can clearly see what they are paying for each therm of natural gas.  </w:t>
      </w:r>
    </w:p>
    <w:p w:rsidR="009C3F21" w:rsidRPr="00FD588B" w:rsidRDefault="009C3F21" w:rsidP="009C3F21">
      <w:pPr>
        <w:widowControl w:val="0"/>
        <w:jc w:val="both"/>
        <w:outlineLvl w:val="0"/>
        <w:rPr>
          <w:b/>
          <w:sz w:val="22"/>
          <w:szCs w:val="22"/>
        </w:rPr>
      </w:pPr>
    </w:p>
    <w:p w:rsidR="009C3F21" w:rsidRDefault="009C3F21" w:rsidP="009C3F21">
      <w:pPr>
        <w:widowControl w:val="0"/>
        <w:jc w:val="both"/>
        <w:outlineLvl w:val="0"/>
        <w:rPr>
          <w:sz w:val="22"/>
          <w:szCs w:val="22"/>
        </w:rPr>
      </w:pPr>
      <w:r w:rsidRPr="00FD588B">
        <w:rPr>
          <w:b/>
          <w:sz w:val="22"/>
          <w:szCs w:val="22"/>
        </w:rPr>
        <w:t xml:space="preserve">Schedule </w:t>
      </w:r>
      <w:r>
        <w:rPr>
          <w:b/>
          <w:sz w:val="22"/>
          <w:szCs w:val="22"/>
        </w:rPr>
        <w:t>150</w:t>
      </w:r>
      <w:r w:rsidRPr="00FD588B">
        <w:rPr>
          <w:sz w:val="22"/>
          <w:szCs w:val="22"/>
        </w:rPr>
        <w:t xml:space="preserve"> – </w:t>
      </w:r>
      <w:r w:rsidRPr="00377D5A">
        <w:rPr>
          <w:sz w:val="22"/>
          <w:szCs w:val="22"/>
        </w:rPr>
        <w:t xml:space="preserve">The purpose of Tariff Sheet </w:t>
      </w:r>
      <w:r>
        <w:rPr>
          <w:sz w:val="22"/>
          <w:szCs w:val="22"/>
        </w:rPr>
        <w:t>150 will be</w:t>
      </w:r>
      <w:r w:rsidRPr="00377D5A">
        <w:rPr>
          <w:sz w:val="22"/>
          <w:szCs w:val="22"/>
        </w:rPr>
        <w:t xml:space="preserve"> to allow the Company, on established adjustment date</w:t>
      </w:r>
      <w:r w:rsidR="00C23EE0">
        <w:rPr>
          <w:sz w:val="22"/>
          <w:szCs w:val="22"/>
        </w:rPr>
        <w:t>s, to</w:t>
      </w:r>
      <w:r w:rsidRPr="00377D5A">
        <w:rPr>
          <w:sz w:val="22"/>
          <w:szCs w:val="22"/>
        </w:rPr>
        <w:t xml:space="preserve"> </w:t>
      </w:r>
      <w:r w:rsidR="00FC2741">
        <w:rPr>
          <w:sz w:val="22"/>
          <w:szCs w:val="22"/>
        </w:rPr>
        <w:t xml:space="preserve">adjust </w:t>
      </w:r>
      <w:r w:rsidRPr="00377D5A">
        <w:rPr>
          <w:sz w:val="22"/>
          <w:szCs w:val="22"/>
        </w:rPr>
        <w:t xml:space="preserve">for changes in the cost of </w:t>
      </w:r>
      <w:r>
        <w:rPr>
          <w:sz w:val="22"/>
          <w:szCs w:val="22"/>
        </w:rPr>
        <w:t>gas purchased.  This schedule will be</w:t>
      </w:r>
      <w:r w:rsidRPr="00377D5A">
        <w:rPr>
          <w:sz w:val="22"/>
          <w:szCs w:val="22"/>
        </w:rPr>
        <w:t xml:space="preserve"> updated annually with the PGA filing to reflect the current weighted average cost of gas (WACOG)</w:t>
      </w:r>
      <w:r w:rsidR="00CF0EF1">
        <w:rPr>
          <w:sz w:val="22"/>
          <w:szCs w:val="22"/>
        </w:rPr>
        <w:t xml:space="preserve"> and transportation costs</w:t>
      </w:r>
      <w:r w:rsidRPr="00377D5A">
        <w:rPr>
          <w:sz w:val="22"/>
          <w:szCs w:val="22"/>
        </w:rPr>
        <w:t xml:space="preserve"> that customers will pay over the next twelve months</w:t>
      </w:r>
      <w:r>
        <w:rPr>
          <w:sz w:val="22"/>
          <w:szCs w:val="22"/>
        </w:rPr>
        <w:t xml:space="preserve">.  </w:t>
      </w:r>
      <w:r w:rsidR="00FC2741">
        <w:rPr>
          <w:sz w:val="22"/>
          <w:szCs w:val="22"/>
        </w:rPr>
        <w:t xml:space="preserve">In the </w:t>
      </w:r>
      <w:r>
        <w:rPr>
          <w:sz w:val="22"/>
          <w:szCs w:val="22"/>
        </w:rPr>
        <w:t>Thirteenth Revision Sheet 150</w:t>
      </w:r>
      <w:r w:rsidRPr="00377D5A">
        <w:rPr>
          <w:sz w:val="22"/>
          <w:szCs w:val="22"/>
        </w:rPr>
        <w:t xml:space="preserve">, the Company is proposing to transfer the previously embedded gas costs from the base tariffs and combining them with the incremental gas costs currently listed in </w:t>
      </w:r>
      <w:r>
        <w:rPr>
          <w:sz w:val="22"/>
          <w:szCs w:val="22"/>
        </w:rPr>
        <w:t>Seventeenth Revision Sheet 156 from the Company’s most recent PGA filing</w:t>
      </w:r>
      <w:r w:rsidRPr="00377D5A">
        <w:rPr>
          <w:sz w:val="22"/>
          <w:szCs w:val="22"/>
        </w:rPr>
        <w:t>.</w:t>
      </w:r>
      <w:r w:rsidR="00CF0EF1">
        <w:rPr>
          <w:sz w:val="22"/>
          <w:szCs w:val="22"/>
        </w:rPr>
        <w:t xml:space="preserve">  The Company has provided workpapers showing the transfer of commodity and transportation costs from base rates and Schedule 156 to Schedule 150.</w:t>
      </w:r>
    </w:p>
    <w:p w:rsidR="00CF0EF1" w:rsidRDefault="00CF0EF1" w:rsidP="009C3F21">
      <w:pPr>
        <w:widowControl w:val="0"/>
        <w:jc w:val="both"/>
        <w:outlineLvl w:val="0"/>
        <w:rPr>
          <w:sz w:val="22"/>
          <w:szCs w:val="22"/>
        </w:rPr>
      </w:pPr>
    </w:p>
    <w:p w:rsidR="009A2062" w:rsidRDefault="007B6F9C" w:rsidP="00C83AC0">
      <w:pPr>
        <w:jc w:val="both"/>
        <w:rPr>
          <w:sz w:val="22"/>
          <w:szCs w:val="22"/>
        </w:rPr>
      </w:pPr>
      <w:r>
        <w:rPr>
          <w:sz w:val="22"/>
          <w:szCs w:val="22"/>
        </w:rPr>
        <w:t>Avista requests the tariff revision</w:t>
      </w:r>
      <w:r w:rsidR="00934225">
        <w:rPr>
          <w:sz w:val="22"/>
          <w:szCs w:val="22"/>
        </w:rPr>
        <w:t>s</w:t>
      </w:r>
      <w:r>
        <w:rPr>
          <w:sz w:val="22"/>
          <w:szCs w:val="22"/>
        </w:rPr>
        <w:t xml:space="preserve"> to </w:t>
      </w:r>
      <w:r w:rsidR="002160A9">
        <w:rPr>
          <w:sz w:val="22"/>
          <w:szCs w:val="22"/>
        </w:rPr>
        <w:t xml:space="preserve">become effective </w:t>
      </w:r>
      <w:r w:rsidR="00C06DC5">
        <w:rPr>
          <w:sz w:val="22"/>
          <w:szCs w:val="22"/>
        </w:rPr>
        <w:t>June</w:t>
      </w:r>
      <w:r w:rsidR="00934225">
        <w:rPr>
          <w:sz w:val="22"/>
          <w:szCs w:val="22"/>
        </w:rPr>
        <w:t xml:space="preserve"> </w:t>
      </w:r>
      <w:r w:rsidR="00533E4F">
        <w:rPr>
          <w:sz w:val="22"/>
          <w:szCs w:val="22"/>
        </w:rPr>
        <w:t>10</w:t>
      </w:r>
      <w:r w:rsidR="00934225">
        <w:rPr>
          <w:sz w:val="22"/>
          <w:szCs w:val="22"/>
        </w:rPr>
        <w:t>, 2013</w:t>
      </w:r>
      <w:r>
        <w:rPr>
          <w:sz w:val="22"/>
          <w:szCs w:val="22"/>
        </w:rPr>
        <w:t>.</w:t>
      </w:r>
      <w:r w:rsidR="003934F2">
        <w:rPr>
          <w:sz w:val="22"/>
          <w:szCs w:val="22"/>
        </w:rPr>
        <w:t xml:space="preserve">  </w:t>
      </w:r>
      <w:r w:rsidR="00C26210">
        <w:rPr>
          <w:sz w:val="22"/>
          <w:szCs w:val="22"/>
        </w:rPr>
        <w:t xml:space="preserve">If you have any questions regarding this filing, please contact </w:t>
      </w:r>
      <w:r w:rsidR="0068644C">
        <w:rPr>
          <w:sz w:val="22"/>
          <w:szCs w:val="22"/>
        </w:rPr>
        <w:t xml:space="preserve">Joe Miller at 509-495-4546 or </w:t>
      </w:r>
      <w:r w:rsidR="00775669">
        <w:rPr>
          <w:sz w:val="22"/>
          <w:szCs w:val="22"/>
        </w:rPr>
        <w:t>me</w:t>
      </w:r>
      <w:r w:rsidR="009A2062">
        <w:rPr>
          <w:sz w:val="22"/>
          <w:szCs w:val="22"/>
        </w:rPr>
        <w:t xml:space="preserve"> </w:t>
      </w:r>
      <w:r w:rsidR="00C706E6">
        <w:rPr>
          <w:sz w:val="22"/>
          <w:szCs w:val="22"/>
        </w:rPr>
        <w:t>at 509-495-</w:t>
      </w:r>
      <w:r w:rsidR="00775669">
        <w:rPr>
          <w:sz w:val="22"/>
          <w:szCs w:val="22"/>
        </w:rPr>
        <w:t>8620</w:t>
      </w:r>
      <w:r w:rsidR="009A2062">
        <w:rPr>
          <w:sz w:val="22"/>
          <w:szCs w:val="22"/>
        </w:rPr>
        <w:t>.</w:t>
      </w:r>
    </w:p>
    <w:p w:rsidR="00C26210" w:rsidRDefault="00C26210" w:rsidP="00C83AC0">
      <w:pPr>
        <w:jc w:val="both"/>
        <w:rPr>
          <w:sz w:val="22"/>
          <w:szCs w:val="22"/>
        </w:rPr>
      </w:pPr>
      <w:r>
        <w:rPr>
          <w:sz w:val="22"/>
          <w:szCs w:val="22"/>
        </w:rPr>
        <w:tab/>
      </w:r>
    </w:p>
    <w:p w:rsidR="00C26210" w:rsidRDefault="00C26210">
      <w:pPr>
        <w:rPr>
          <w:sz w:val="22"/>
          <w:szCs w:val="22"/>
        </w:rPr>
      </w:pPr>
      <w:r>
        <w:rPr>
          <w:sz w:val="22"/>
          <w:szCs w:val="22"/>
        </w:rPr>
        <w:t>Sincerely,</w:t>
      </w:r>
    </w:p>
    <w:p w:rsidR="00C26210" w:rsidRDefault="00C26210">
      <w:pPr>
        <w:rPr>
          <w:noProof/>
          <w:sz w:val="22"/>
          <w:szCs w:val="22"/>
        </w:rPr>
      </w:pPr>
    </w:p>
    <w:p w:rsidR="00714F01" w:rsidRDefault="00714F01">
      <w:pPr>
        <w:rPr>
          <w:sz w:val="22"/>
          <w:szCs w:val="22"/>
        </w:rPr>
      </w:pPr>
    </w:p>
    <w:p w:rsidR="00C26210" w:rsidRDefault="001B4E73">
      <w:pPr>
        <w:rPr>
          <w:sz w:val="22"/>
          <w:szCs w:val="22"/>
        </w:rPr>
      </w:pPr>
      <w:r>
        <w:rPr>
          <w:sz w:val="22"/>
          <w:szCs w:val="22"/>
        </w:rPr>
        <w:t>Patrick Ehrbar</w:t>
      </w:r>
    </w:p>
    <w:p w:rsidR="00C26210" w:rsidRDefault="00C83AC0">
      <w:pPr>
        <w:rPr>
          <w:sz w:val="22"/>
          <w:szCs w:val="22"/>
        </w:rPr>
      </w:pPr>
      <w:r>
        <w:rPr>
          <w:sz w:val="22"/>
          <w:szCs w:val="22"/>
        </w:rPr>
        <w:t>Manager, Rates &amp; Tariffs</w:t>
      </w:r>
    </w:p>
    <w:p w:rsidR="00740B21" w:rsidRDefault="00740B21">
      <w:pPr>
        <w:rPr>
          <w:sz w:val="22"/>
          <w:szCs w:val="22"/>
        </w:rPr>
      </w:pPr>
      <w:r>
        <w:rPr>
          <w:sz w:val="22"/>
          <w:szCs w:val="22"/>
        </w:rPr>
        <w:t>Ph: 509-495-</w:t>
      </w:r>
      <w:r w:rsidR="001B4E73">
        <w:rPr>
          <w:sz w:val="22"/>
          <w:szCs w:val="22"/>
        </w:rPr>
        <w:t>8620</w:t>
      </w:r>
    </w:p>
    <w:p w:rsidR="00740B21" w:rsidRDefault="00A677CC">
      <w:pPr>
        <w:rPr>
          <w:sz w:val="22"/>
          <w:szCs w:val="22"/>
        </w:rPr>
      </w:pPr>
      <w:hyperlink r:id="rId7" w:history="1">
        <w:r w:rsidR="001B4E73" w:rsidRPr="00CD2CE2">
          <w:rPr>
            <w:rStyle w:val="Hyperlink"/>
            <w:sz w:val="22"/>
            <w:szCs w:val="22"/>
          </w:rPr>
          <w:t>pat.ehrbar@avistacorp.com</w:t>
        </w:r>
      </w:hyperlink>
    </w:p>
    <w:p w:rsidR="00C26210" w:rsidRDefault="00C26210">
      <w:pPr>
        <w:rPr>
          <w:sz w:val="22"/>
          <w:szCs w:val="22"/>
        </w:rPr>
      </w:pPr>
    </w:p>
    <w:sectPr w:rsidR="00C26210" w:rsidSect="007D407C">
      <w:headerReference w:type="default" r:id="rId8"/>
      <w:headerReference w:type="first" r:id="rId9"/>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87" w:rsidRDefault="00E31B87">
      <w:r>
        <w:separator/>
      </w:r>
    </w:p>
  </w:endnote>
  <w:endnote w:type="continuationSeparator" w:id="0">
    <w:p w:rsidR="00E31B87" w:rsidRDefault="00E3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87" w:rsidRDefault="00E31B87">
      <w:r>
        <w:separator/>
      </w:r>
    </w:p>
  </w:footnote>
  <w:footnote w:type="continuationSeparator" w:id="0">
    <w:p w:rsidR="00E31B87" w:rsidRDefault="00E31B87">
      <w:r>
        <w:continuationSeparator/>
      </w:r>
    </w:p>
  </w:footnote>
  <w:footnote w:id="1">
    <w:p w:rsidR="00E31B87" w:rsidRDefault="00E31B87" w:rsidP="007D50BC">
      <w:pPr>
        <w:pStyle w:val="FootnoteText"/>
        <w:jc w:val="both"/>
      </w:pPr>
      <w:r>
        <w:rPr>
          <w:rStyle w:val="FootnoteReference"/>
        </w:rPr>
        <w:footnoteRef/>
      </w:r>
      <w:r>
        <w:t xml:space="preserve"> The </w:t>
      </w:r>
      <w:r w:rsidRPr="007D50BC">
        <w:rPr>
          <w:szCs w:val="22"/>
        </w:rPr>
        <w:t xml:space="preserve">rate schedules </w:t>
      </w:r>
      <w:r>
        <w:rPr>
          <w:szCs w:val="22"/>
        </w:rPr>
        <w:t xml:space="preserve">that </w:t>
      </w:r>
      <w:r w:rsidRPr="007D50BC">
        <w:rPr>
          <w:szCs w:val="22"/>
        </w:rPr>
        <w:t>are stand-alone tariffs and not embedded in base rates</w:t>
      </w:r>
      <w:r>
        <w:rPr>
          <w:szCs w:val="22"/>
        </w:rPr>
        <w:t xml:space="preserve"> are Schedule 150 (Purchase Gas Cost Adjustment), </w:t>
      </w:r>
      <w:r w:rsidRPr="007D50BC">
        <w:rPr>
          <w:szCs w:val="22"/>
        </w:rPr>
        <w:t xml:space="preserve">Schedule 155 (Gas Rate Adjustment), </w:t>
      </w:r>
      <w:r>
        <w:rPr>
          <w:szCs w:val="22"/>
        </w:rPr>
        <w:t xml:space="preserve">Schedule 156 (Purchase Gas Cost Adjustment), </w:t>
      </w:r>
      <w:r w:rsidRPr="007D50BC">
        <w:rPr>
          <w:szCs w:val="22"/>
        </w:rPr>
        <w:t xml:space="preserve">Schedule 159 (Natural Gas Decoupling Gas Rate Adjustment) and Schedule 191 (Public Purposes Rider Adjustment).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87" w:rsidRDefault="00E31B87">
    <w:pPr>
      <w:pStyle w:val="Header"/>
      <w:rPr>
        <w:rStyle w:val="PageNumber"/>
      </w:rPr>
    </w:pPr>
  </w:p>
  <w:p w:rsidR="00E31B87" w:rsidRDefault="00E31B87">
    <w:pPr>
      <w:pStyle w:val="Header"/>
      <w:rPr>
        <w:rStyle w:val="PageNumber"/>
      </w:rPr>
    </w:pPr>
  </w:p>
  <w:p w:rsidR="00E31B87" w:rsidRDefault="00E31B87">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E31B87">
      <w:tc>
        <w:tcPr>
          <w:tcW w:w="4788" w:type="dxa"/>
          <w:tcBorders>
            <w:top w:val="nil"/>
            <w:left w:val="nil"/>
            <w:bottom w:val="nil"/>
            <w:right w:val="nil"/>
          </w:tcBorders>
        </w:tcPr>
        <w:p w:rsidR="00E31B87" w:rsidRDefault="00E31B87">
          <w:pPr>
            <w:pStyle w:val="Header"/>
            <w:rPr>
              <w:rFonts w:ascii="Arial" w:hAnsi="Arial" w:cs="Arial"/>
              <w:b/>
              <w:bCs/>
              <w:sz w:val="18"/>
              <w:szCs w:val="18"/>
            </w:rPr>
          </w:pPr>
          <w:r>
            <w:rPr>
              <w:rFonts w:ascii="Arial" w:hAnsi="Arial" w:cs="Arial"/>
              <w:b/>
              <w:bCs/>
              <w:sz w:val="18"/>
              <w:szCs w:val="18"/>
            </w:rPr>
            <w:t>Avista Corp.</w:t>
          </w:r>
        </w:p>
        <w:p w:rsidR="00E31B87" w:rsidRDefault="00E31B87">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E31B87" w:rsidRDefault="00E31B87">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E31B87" w:rsidRDefault="00E31B87">
          <w:pPr>
            <w:pStyle w:val="Header"/>
            <w:rPr>
              <w:rFonts w:ascii="Arial" w:hAnsi="Arial" w:cs="Arial"/>
              <w:sz w:val="18"/>
              <w:szCs w:val="18"/>
            </w:rPr>
          </w:pPr>
          <w:r>
            <w:rPr>
              <w:rFonts w:ascii="Arial" w:hAnsi="Arial" w:cs="Arial"/>
              <w:sz w:val="18"/>
              <w:szCs w:val="18"/>
            </w:rPr>
            <w:t>Telephone 509-489-0500</w:t>
          </w:r>
        </w:p>
        <w:p w:rsidR="00E31B87" w:rsidRDefault="00E31B87">
          <w:pPr>
            <w:pStyle w:val="Header"/>
            <w:rPr>
              <w:sz w:val="18"/>
              <w:szCs w:val="18"/>
            </w:rPr>
          </w:pPr>
          <w:r>
            <w:rPr>
              <w:rFonts w:ascii="Arial" w:hAnsi="Arial" w:cs="Arial"/>
              <w:sz w:val="18"/>
              <w:szCs w:val="18"/>
            </w:rPr>
            <w:t>Toll Free   800-727-9170</w:t>
          </w:r>
        </w:p>
        <w:p w:rsidR="00E31B87" w:rsidRDefault="00E31B87">
          <w:pPr>
            <w:pStyle w:val="Header"/>
            <w:rPr>
              <w:rFonts w:ascii="Arial" w:hAnsi="Arial" w:cs="Arial"/>
              <w:b/>
              <w:bCs/>
              <w:sz w:val="18"/>
              <w:szCs w:val="18"/>
            </w:rPr>
          </w:pPr>
        </w:p>
      </w:tc>
      <w:tc>
        <w:tcPr>
          <w:tcW w:w="4788" w:type="dxa"/>
          <w:tcBorders>
            <w:top w:val="nil"/>
            <w:left w:val="nil"/>
            <w:bottom w:val="nil"/>
            <w:right w:val="nil"/>
          </w:tcBorders>
        </w:tcPr>
        <w:p w:rsidR="00E31B87" w:rsidRDefault="00E31B87">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2385" cy="534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E31B87" w:rsidRDefault="00E31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8C1B3C"/>
    <w:rsid w:val="000015AC"/>
    <w:rsid w:val="00001DC1"/>
    <w:rsid w:val="00015429"/>
    <w:rsid w:val="00043771"/>
    <w:rsid w:val="000A0621"/>
    <w:rsid w:val="000C32C0"/>
    <w:rsid w:val="000D0C11"/>
    <w:rsid w:val="00112502"/>
    <w:rsid w:val="0016455D"/>
    <w:rsid w:val="001913A3"/>
    <w:rsid w:val="001B4E73"/>
    <w:rsid w:val="001F0174"/>
    <w:rsid w:val="002160A9"/>
    <w:rsid w:val="00287BFD"/>
    <w:rsid w:val="002E62E7"/>
    <w:rsid w:val="0033722B"/>
    <w:rsid w:val="003934F2"/>
    <w:rsid w:val="003C06F6"/>
    <w:rsid w:val="003E1FD7"/>
    <w:rsid w:val="003E58C9"/>
    <w:rsid w:val="00466876"/>
    <w:rsid w:val="00490A7D"/>
    <w:rsid w:val="004E26E9"/>
    <w:rsid w:val="004E300E"/>
    <w:rsid w:val="004E50DC"/>
    <w:rsid w:val="0050061F"/>
    <w:rsid w:val="00500E5B"/>
    <w:rsid w:val="00520250"/>
    <w:rsid w:val="00523934"/>
    <w:rsid w:val="00533E4F"/>
    <w:rsid w:val="00555AB9"/>
    <w:rsid w:val="0059397F"/>
    <w:rsid w:val="005B38D4"/>
    <w:rsid w:val="0061557B"/>
    <w:rsid w:val="0068644C"/>
    <w:rsid w:val="00713995"/>
    <w:rsid w:val="00714F01"/>
    <w:rsid w:val="00715BD3"/>
    <w:rsid w:val="00740B21"/>
    <w:rsid w:val="00764FE1"/>
    <w:rsid w:val="00775669"/>
    <w:rsid w:val="00793C34"/>
    <w:rsid w:val="007B6F9C"/>
    <w:rsid w:val="007D2606"/>
    <w:rsid w:val="007D407C"/>
    <w:rsid w:val="007D50BC"/>
    <w:rsid w:val="00814886"/>
    <w:rsid w:val="008347CE"/>
    <w:rsid w:val="008B440B"/>
    <w:rsid w:val="008C1B3C"/>
    <w:rsid w:val="00924EEF"/>
    <w:rsid w:val="00932905"/>
    <w:rsid w:val="00934225"/>
    <w:rsid w:val="00961070"/>
    <w:rsid w:val="0098538E"/>
    <w:rsid w:val="009A2062"/>
    <w:rsid w:val="009C3F21"/>
    <w:rsid w:val="009D1A36"/>
    <w:rsid w:val="00A03C9B"/>
    <w:rsid w:val="00A43498"/>
    <w:rsid w:val="00A677CC"/>
    <w:rsid w:val="00AA215C"/>
    <w:rsid w:val="00AB3471"/>
    <w:rsid w:val="00AD774D"/>
    <w:rsid w:val="00AF7FCB"/>
    <w:rsid w:val="00B05A71"/>
    <w:rsid w:val="00B52112"/>
    <w:rsid w:val="00B629E8"/>
    <w:rsid w:val="00B73AE7"/>
    <w:rsid w:val="00B801E6"/>
    <w:rsid w:val="00BD7936"/>
    <w:rsid w:val="00C06DC5"/>
    <w:rsid w:val="00C23EE0"/>
    <w:rsid w:val="00C26210"/>
    <w:rsid w:val="00C36612"/>
    <w:rsid w:val="00C706E6"/>
    <w:rsid w:val="00C83AC0"/>
    <w:rsid w:val="00C9231E"/>
    <w:rsid w:val="00CA7C78"/>
    <w:rsid w:val="00CC7446"/>
    <w:rsid w:val="00CD29EC"/>
    <w:rsid w:val="00CD2CE2"/>
    <w:rsid w:val="00CF0EF1"/>
    <w:rsid w:val="00D42716"/>
    <w:rsid w:val="00D73C1D"/>
    <w:rsid w:val="00D82470"/>
    <w:rsid w:val="00D93652"/>
    <w:rsid w:val="00DC7878"/>
    <w:rsid w:val="00E31B87"/>
    <w:rsid w:val="00F01EDB"/>
    <w:rsid w:val="00F661B8"/>
    <w:rsid w:val="00FC2741"/>
    <w:rsid w:val="00FE3298"/>
    <w:rsid w:val="00FE4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7C"/>
    <w:pPr>
      <w:spacing w:after="0" w:line="240" w:lineRule="auto"/>
    </w:pPr>
    <w:rPr>
      <w:sz w:val="20"/>
      <w:szCs w:val="20"/>
    </w:rPr>
  </w:style>
  <w:style w:type="paragraph" w:styleId="Heading1">
    <w:name w:val="heading 1"/>
    <w:basedOn w:val="Normal"/>
    <w:next w:val="Normal"/>
    <w:link w:val="Heading1Char"/>
    <w:uiPriority w:val="99"/>
    <w:qFormat/>
    <w:rsid w:val="007D407C"/>
    <w:pPr>
      <w:keepNext/>
      <w:tabs>
        <w:tab w:val="left" w:pos="450"/>
        <w:tab w:val="left" w:pos="3780"/>
        <w:tab w:val="left" w:pos="5760"/>
      </w:tabs>
      <w:outlineLvl w:val="0"/>
    </w:pPr>
    <w:rPr>
      <w:sz w:val="24"/>
      <w:szCs w:val="24"/>
    </w:rPr>
  </w:style>
  <w:style w:type="paragraph" w:styleId="Heading2">
    <w:name w:val="heading 2"/>
    <w:basedOn w:val="Normal"/>
    <w:next w:val="Normal"/>
    <w:link w:val="Heading2Char"/>
    <w:uiPriority w:val="99"/>
    <w:qFormat/>
    <w:rsid w:val="007D407C"/>
    <w:pPr>
      <w:keepNext/>
      <w:outlineLvl w:val="1"/>
    </w:pPr>
    <w:rPr>
      <w:b/>
      <w:bCs/>
      <w:sz w:val="22"/>
      <w:szCs w:val="22"/>
    </w:rPr>
  </w:style>
  <w:style w:type="paragraph" w:styleId="Heading3">
    <w:name w:val="heading 3"/>
    <w:basedOn w:val="Normal"/>
    <w:next w:val="Normal"/>
    <w:link w:val="Heading3Char"/>
    <w:uiPriority w:val="99"/>
    <w:qFormat/>
    <w:rsid w:val="007D407C"/>
    <w:pPr>
      <w:keepNex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40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D40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7D407C"/>
    <w:rPr>
      <w:rFonts w:asciiTheme="majorHAnsi" w:eastAsiaTheme="majorEastAsia" w:hAnsiTheme="majorHAnsi" w:cstheme="majorBidi"/>
      <w:b/>
      <w:bCs/>
      <w:sz w:val="26"/>
      <w:szCs w:val="26"/>
    </w:rPr>
  </w:style>
  <w:style w:type="paragraph" w:styleId="Header">
    <w:name w:val="header"/>
    <w:basedOn w:val="Normal"/>
    <w:link w:val="HeaderChar"/>
    <w:uiPriority w:val="99"/>
    <w:rsid w:val="007D407C"/>
    <w:pPr>
      <w:tabs>
        <w:tab w:val="center" w:pos="4320"/>
        <w:tab w:val="right" w:pos="8640"/>
      </w:tabs>
    </w:pPr>
  </w:style>
  <w:style w:type="character" w:customStyle="1" w:styleId="HeaderChar">
    <w:name w:val="Header Char"/>
    <w:basedOn w:val="DefaultParagraphFont"/>
    <w:link w:val="Header"/>
    <w:uiPriority w:val="99"/>
    <w:semiHidden/>
    <w:locked/>
    <w:rsid w:val="007D407C"/>
    <w:rPr>
      <w:rFonts w:cs="Times New Roman"/>
      <w:sz w:val="20"/>
      <w:szCs w:val="20"/>
    </w:rPr>
  </w:style>
  <w:style w:type="paragraph" w:styleId="Footer">
    <w:name w:val="footer"/>
    <w:basedOn w:val="Normal"/>
    <w:link w:val="FooterChar"/>
    <w:uiPriority w:val="99"/>
    <w:rsid w:val="007D407C"/>
    <w:pPr>
      <w:tabs>
        <w:tab w:val="center" w:pos="4320"/>
        <w:tab w:val="right" w:pos="8640"/>
      </w:tabs>
    </w:pPr>
  </w:style>
  <w:style w:type="character" w:customStyle="1" w:styleId="FooterChar">
    <w:name w:val="Footer Char"/>
    <w:basedOn w:val="DefaultParagraphFont"/>
    <w:link w:val="Footer"/>
    <w:uiPriority w:val="99"/>
    <w:semiHidden/>
    <w:locked/>
    <w:rsid w:val="007D407C"/>
    <w:rPr>
      <w:rFonts w:cs="Times New Roman"/>
      <w:sz w:val="20"/>
      <w:szCs w:val="20"/>
    </w:rPr>
  </w:style>
  <w:style w:type="character" w:styleId="PageNumber">
    <w:name w:val="page number"/>
    <w:basedOn w:val="DefaultParagraphFont"/>
    <w:uiPriority w:val="99"/>
    <w:rsid w:val="007D407C"/>
    <w:rPr>
      <w:rFonts w:cs="Times New Roman"/>
    </w:rPr>
  </w:style>
  <w:style w:type="paragraph" w:styleId="BodyText">
    <w:name w:val="Body Text"/>
    <w:basedOn w:val="Normal"/>
    <w:link w:val="BodyTextChar"/>
    <w:uiPriority w:val="99"/>
    <w:rsid w:val="007D407C"/>
    <w:rPr>
      <w:sz w:val="22"/>
      <w:szCs w:val="22"/>
    </w:rPr>
  </w:style>
  <w:style w:type="character" w:customStyle="1" w:styleId="BodyTextChar">
    <w:name w:val="Body Text Char"/>
    <w:basedOn w:val="DefaultParagraphFont"/>
    <w:link w:val="BodyText"/>
    <w:uiPriority w:val="99"/>
    <w:semiHidden/>
    <w:locked/>
    <w:rsid w:val="007D407C"/>
    <w:rPr>
      <w:rFonts w:cs="Times New Roman"/>
      <w:sz w:val="20"/>
      <w:szCs w:val="20"/>
    </w:rPr>
  </w:style>
  <w:style w:type="character" w:styleId="Hyperlink">
    <w:name w:val="Hyperlink"/>
    <w:basedOn w:val="DefaultParagraphFont"/>
    <w:uiPriority w:val="99"/>
    <w:rsid w:val="007D407C"/>
    <w:rPr>
      <w:rFonts w:cs="Times New Roman"/>
      <w:color w:val="0000FF"/>
      <w:u w:val="single"/>
    </w:rPr>
  </w:style>
  <w:style w:type="paragraph" w:styleId="BalloonText">
    <w:name w:val="Balloon Text"/>
    <w:basedOn w:val="Normal"/>
    <w:link w:val="BalloonTextChar"/>
    <w:uiPriority w:val="99"/>
    <w:semiHidden/>
    <w:unhideWhenUsed/>
    <w:rsid w:val="00775669"/>
    <w:rPr>
      <w:rFonts w:ascii="Tahoma" w:hAnsi="Tahoma" w:cs="Tahoma"/>
      <w:sz w:val="16"/>
      <w:szCs w:val="16"/>
    </w:rPr>
  </w:style>
  <w:style w:type="character" w:customStyle="1" w:styleId="BalloonTextChar">
    <w:name w:val="Balloon Text Char"/>
    <w:basedOn w:val="DefaultParagraphFont"/>
    <w:link w:val="BalloonText"/>
    <w:uiPriority w:val="99"/>
    <w:semiHidden/>
    <w:rsid w:val="00775669"/>
    <w:rPr>
      <w:rFonts w:ascii="Tahoma" w:hAnsi="Tahoma" w:cs="Tahoma"/>
      <w:sz w:val="16"/>
      <w:szCs w:val="16"/>
    </w:rPr>
  </w:style>
  <w:style w:type="paragraph" w:styleId="FootnoteText">
    <w:name w:val="footnote text"/>
    <w:basedOn w:val="Normal"/>
    <w:link w:val="FootnoteTextChar"/>
    <w:uiPriority w:val="99"/>
    <w:semiHidden/>
    <w:unhideWhenUsed/>
    <w:rsid w:val="007D50BC"/>
  </w:style>
  <w:style w:type="character" w:customStyle="1" w:styleId="FootnoteTextChar">
    <w:name w:val="Footnote Text Char"/>
    <w:basedOn w:val="DefaultParagraphFont"/>
    <w:link w:val="FootnoteText"/>
    <w:uiPriority w:val="99"/>
    <w:semiHidden/>
    <w:rsid w:val="007D50BC"/>
    <w:rPr>
      <w:sz w:val="20"/>
      <w:szCs w:val="20"/>
    </w:rPr>
  </w:style>
  <w:style w:type="character" w:styleId="FootnoteReference">
    <w:name w:val="footnote reference"/>
    <w:basedOn w:val="DefaultParagraphFont"/>
    <w:uiPriority w:val="99"/>
    <w:semiHidden/>
    <w:unhideWhenUsed/>
    <w:rsid w:val="007D50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at.ehrbar@avistacorp.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2013-05-10T07:00:00+00:00</OpenedDate>
    <Date1 xmlns="dc463f71-b30c-4ab2-9473-d307f9d35888">2013-05-10T07:00:00+00:00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9C2999D969E84F880F7ECB20426601" ma:contentTypeVersion="127" ma:contentTypeDescription="" ma:contentTypeScope="" ma:versionID="c7de71610516981cf371e0337b8a27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8965D-2BBF-4072-BDE3-EB1ADDD76F55}"/>
</file>

<file path=customXml/itemProps2.xml><?xml version="1.0" encoding="utf-8"?>
<ds:datastoreItem xmlns:ds="http://schemas.openxmlformats.org/officeDocument/2006/customXml" ds:itemID="{972EC3D8-6F1D-47DD-BA06-618FEFC17EA1}"/>
</file>

<file path=customXml/itemProps3.xml><?xml version="1.0" encoding="utf-8"?>
<ds:datastoreItem xmlns:ds="http://schemas.openxmlformats.org/officeDocument/2006/customXml" ds:itemID="{80A4B80F-645A-44C6-9DA1-D8C01C0DEFCB}"/>
</file>

<file path=customXml/itemProps4.xml><?xml version="1.0" encoding="utf-8"?>
<ds:datastoreItem xmlns:ds="http://schemas.openxmlformats.org/officeDocument/2006/customXml" ds:itemID="{E77E0EB8-A471-4E5B-B333-E775C95A5F48}"/>
</file>

<file path=customXml/itemProps5.xml><?xml version="1.0" encoding="utf-8"?>
<ds:datastoreItem xmlns:ds="http://schemas.openxmlformats.org/officeDocument/2006/customXml" ds:itemID="{ED69A530-B962-449C-A3FF-8B5E12FA4CFE}"/>
</file>

<file path=docProps/app.xml><?xml version="1.0" encoding="utf-8"?>
<Properties xmlns="http://schemas.openxmlformats.org/officeDocument/2006/extended-properties" xmlns:vt="http://schemas.openxmlformats.org/officeDocument/2006/docPropsVTypes">
  <Template>Normal.dotm</Template>
  <TotalTime>3187</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subject/>
  <dc:creator>judy johnson</dc:creator>
  <cp:keywords/>
  <dc:description/>
  <cp:lastModifiedBy>Patrick Ehrbar</cp:lastModifiedBy>
  <cp:revision>27</cp:revision>
  <cp:lastPrinted>2013-05-07T21:36:00Z</cp:lastPrinted>
  <dcterms:created xsi:type="dcterms:W3CDTF">2013-02-28T17:50:00Z</dcterms:created>
  <dcterms:modified xsi:type="dcterms:W3CDTF">2013-05-10T20:36:00Z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0x0101006E56B4D1795A2E4DB2F0B01679ED314A00F49C2999D969E84F880F7ECB20426601</vt:lpwstr>
  </property>
  <property fmtid="{D5CDD505-2E9C-101B-9397-08002B2CF9AE}" pid="3" name="_docset_NoMedatataSyncRequired">
    <vt:lpwstr>False</vt:lpwstr>
  </property>
</Properties>
</file>