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6B" w:rsidRDefault="005F086B" w:rsidP="005F086B">
      <w:pPr>
        <w:jc w:val="center"/>
        <w:rPr>
          <w:b/>
        </w:rPr>
      </w:pPr>
      <w:r>
        <w:rPr>
          <w:b/>
        </w:rPr>
        <w:t xml:space="preserve">BEFORE THE </w:t>
      </w:r>
      <w:smartTag w:uri="urn:schemas-microsoft-com:office:smarttags" w:element="State">
        <w:smartTag w:uri="urn:schemas-microsoft-com:office:smarttags" w:element="place">
          <w:r>
            <w:rPr>
              <w:b/>
            </w:rPr>
            <w:t>WASHINGTON</w:t>
          </w:r>
        </w:smartTag>
      </w:smartTag>
    </w:p>
    <w:p w:rsidR="005F086B" w:rsidRDefault="005F086B" w:rsidP="005F086B">
      <w:pPr>
        <w:jc w:val="center"/>
        <w:rPr>
          <w:b/>
        </w:rPr>
      </w:pPr>
      <w:r>
        <w:rPr>
          <w:b/>
        </w:rPr>
        <w:t xml:space="preserve">UTILITIES </w:t>
      </w:r>
      <w:smartTag w:uri="urn:schemas-microsoft-com:office:smarttags" w:element="stockticker">
        <w:r>
          <w:rPr>
            <w:b/>
          </w:rPr>
          <w:t>AND</w:t>
        </w:r>
      </w:smartTag>
      <w:r>
        <w:rPr>
          <w:b/>
        </w:rPr>
        <w:t xml:space="preserve"> TRANSPORTATION COMMISSION </w:t>
      </w:r>
    </w:p>
    <w:p w:rsidR="005F086B" w:rsidRDefault="005F086B" w:rsidP="005F086B">
      <w:pPr>
        <w:jc w:val="center"/>
        <w:rPr>
          <w:b/>
        </w:rPr>
      </w:pPr>
    </w:p>
    <w:p w:rsidR="005F086B" w:rsidRDefault="005F086B" w:rsidP="005F08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F086B">
        <w:tc>
          <w:tcPr>
            <w:tcW w:w="4428" w:type="dxa"/>
            <w:tcBorders>
              <w:top w:val="nil"/>
              <w:left w:val="nil"/>
            </w:tcBorders>
          </w:tcPr>
          <w:p w:rsidR="005F086B" w:rsidRDefault="005F086B" w:rsidP="005F086B">
            <w:r>
              <w:t xml:space="preserve">In the Matter of the Petition of </w:t>
            </w:r>
          </w:p>
          <w:p w:rsidR="005F086B" w:rsidRDefault="005F086B" w:rsidP="005F086B"/>
          <w:p w:rsidR="005F086B" w:rsidRDefault="005F086B" w:rsidP="005F086B">
            <w:r>
              <w:t>PACIFICORP, d.b.a. Pacific Power</w:t>
            </w:r>
            <w:r w:rsidR="009E477D">
              <w:t xml:space="preserve"> &amp; Light Company</w:t>
            </w:r>
            <w:r>
              <w:t xml:space="preserve">, </w:t>
            </w:r>
          </w:p>
          <w:p w:rsidR="005F086B" w:rsidRDefault="005F086B" w:rsidP="005F086B"/>
          <w:p w:rsidR="005F086B" w:rsidRDefault="000811E5" w:rsidP="005F086B">
            <w:r>
              <w:t xml:space="preserve">For </w:t>
            </w:r>
            <w:r w:rsidR="005F086B">
              <w:t xml:space="preserve">an Accounting Order </w:t>
            </w:r>
            <w:r w:rsidR="00B46B63">
              <w:t xml:space="preserve">Regarding </w:t>
            </w:r>
            <w:r w:rsidR="009C1FA4">
              <w:t xml:space="preserve">REC </w:t>
            </w:r>
            <w:r w:rsidR="00CE459B">
              <w:t xml:space="preserve">Revenue Rate </w:t>
            </w:r>
            <w:r w:rsidR="009C1FA4">
              <w:t>Credits</w:t>
            </w:r>
          </w:p>
        </w:tc>
        <w:tc>
          <w:tcPr>
            <w:tcW w:w="4428" w:type="dxa"/>
            <w:tcBorders>
              <w:top w:val="nil"/>
              <w:bottom w:val="nil"/>
              <w:right w:val="nil"/>
            </w:tcBorders>
          </w:tcPr>
          <w:p w:rsidR="005F086B" w:rsidRDefault="005F086B" w:rsidP="005F086B"/>
          <w:p w:rsidR="005F086B" w:rsidRPr="002C340F" w:rsidRDefault="00286C07" w:rsidP="005F086B">
            <w:pPr>
              <w:rPr>
                <w:b/>
              </w:rPr>
            </w:pPr>
            <w:r>
              <w:rPr>
                <w:b/>
              </w:rPr>
              <w:t>DOCKET NO. UE-12</w:t>
            </w:r>
            <w:r w:rsidR="005F086B">
              <w:rPr>
                <w:b/>
              </w:rPr>
              <w:t>_______</w:t>
            </w:r>
          </w:p>
          <w:p w:rsidR="00286C07" w:rsidRDefault="00286C07" w:rsidP="00286C07">
            <w:pPr>
              <w:rPr>
                <w:b/>
              </w:rPr>
            </w:pPr>
          </w:p>
          <w:p w:rsidR="00BA43D6" w:rsidRDefault="00286C07" w:rsidP="00286C07">
            <w:pPr>
              <w:rPr>
                <w:b/>
              </w:rPr>
            </w:pPr>
            <w:r>
              <w:rPr>
                <w:b/>
              </w:rPr>
              <w:t xml:space="preserve">PETITION </w:t>
            </w:r>
            <w:r w:rsidR="00BA43D6">
              <w:rPr>
                <w:b/>
              </w:rPr>
              <w:t>FOR</w:t>
            </w:r>
            <w:r w:rsidR="005F086B">
              <w:rPr>
                <w:b/>
              </w:rPr>
              <w:t xml:space="preserve"> </w:t>
            </w:r>
          </w:p>
          <w:p w:rsidR="005F086B" w:rsidRPr="003D6158" w:rsidRDefault="005F086B" w:rsidP="00286C07">
            <w:r>
              <w:rPr>
                <w:b/>
              </w:rPr>
              <w:t>ACCOUNTING ORDER</w:t>
            </w:r>
          </w:p>
        </w:tc>
      </w:tr>
    </w:tbl>
    <w:p w:rsidR="005F086B" w:rsidRDefault="005F086B" w:rsidP="005F086B"/>
    <w:p w:rsidR="00514A45" w:rsidRPr="00514A45" w:rsidRDefault="00514A45" w:rsidP="00514A45">
      <w:pPr>
        <w:pStyle w:val="Washingtonparagraph"/>
        <w:jc w:val="center"/>
        <w:rPr>
          <w:b/>
        </w:rPr>
      </w:pPr>
      <w:r>
        <w:rPr>
          <w:b/>
        </w:rPr>
        <w:t>I.  INTRODUCTION</w:t>
      </w:r>
    </w:p>
    <w:p w:rsidR="00BA43D6" w:rsidRDefault="00DC25D1" w:rsidP="00DE2626">
      <w:pPr>
        <w:pStyle w:val="Washingtonparagraph"/>
        <w:numPr>
          <w:ilvl w:val="0"/>
          <w:numId w:val="2"/>
        </w:numPr>
        <w:tabs>
          <w:tab w:val="num" w:pos="720"/>
        </w:tabs>
        <w:ind w:hanging="720"/>
      </w:pPr>
      <w:r>
        <w:t xml:space="preserve">Under </w:t>
      </w:r>
      <w:r w:rsidR="005F086B">
        <w:t>WAC 480-07-370</w:t>
      </w:r>
      <w:r w:rsidR="002A01E6">
        <w:t>(1)</w:t>
      </w:r>
      <w:r w:rsidR="005F086B">
        <w:t>(b), PacifiCorp, d.b.a. Pacific Power</w:t>
      </w:r>
      <w:r w:rsidR="009E477D">
        <w:t xml:space="preserve"> &amp; Light Company</w:t>
      </w:r>
      <w:r w:rsidR="002C2FA8">
        <w:t xml:space="preserve"> (PacifiCorp or Company)</w:t>
      </w:r>
      <w:r w:rsidR="005F086B">
        <w:t xml:space="preserve">, petitions the Washington Utilities and Transportation Commission (Commission) for </w:t>
      </w:r>
      <w:r w:rsidR="00CD2060">
        <w:t xml:space="preserve">an accounting order authorizing the Company to </w:t>
      </w:r>
      <w:r w:rsidR="00DE6653">
        <w:t xml:space="preserve">defer </w:t>
      </w:r>
      <w:r>
        <w:t xml:space="preserve">rate </w:t>
      </w:r>
      <w:r w:rsidR="00DE6653">
        <w:t>credits in excess of amount</w:t>
      </w:r>
      <w:r w:rsidR="00822C25">
        <w:t>s</w:t>
      </w:r>
      <w:r w:rsidR="00DE6653">
        <w:t xml:space="preserve"> </w:t>
      </w:r>
      <w:r w:rsidR="00442EEE">
        <w:t xml:space="preserve">actually </w:t>
      </w:r>
      <w:r w:rsidR="00DE6653">
        <w:t xml:space="preserve">owed to customers for </w:t>
      </w:r>
      <w:r w:rsidR="00BA43D6">
        <w:t>Renewable Energy Credit (REC)</w:t>
      </w:r>
      <w:r w:rsidR="00DE6653">
        <w:t xml:space="preserve"> revenues.  The Commission </w:t>
      </w:r>
      <w:r w:rsidR="00442EEE">
        <w:t>adopted a REC revenue track</w:t>
      </w:r>
      <w:r>
        <w:t>ing mechanism</w:t>
      </w:r>
      <w:r w:rsidR="00442EEE">
        <w:t xml:space="preserve"> and </w:t>
      </w:r>
      <w:r w:rsidR="00DE6653">
        <w:t xml:space="preserve">ordered </w:t>
      </w:r>
      <w:r>
        <w:t>rate</w:t>
      </w:r>
      <w:r w:rsidR="00442EEE">
        <w:t xml:space="preserve"> credits </w:t>
      </w:r>
      <w:r w:rsidR="005E673B">
        <w:t>in Order 06 in Docket UE-100749.</w:t>
      </w:r>
      <w:r w:rsidR="005E673B">
        <w:rPr>
          <w:rStyle w:val="FootnoteReference"/>
        </w:rPr>
        <w:footnoteReference w:id="1"/>
      </w:r>
      <w:r w:rsidR="0004367A">
        <w:t xml:space="preserve">  The Company requests approval of this Petition to ensure that the </w:t>
      </w:r>
      <w:r w:rsidR="004B0F82">
        <w:t xml:space="preserve">REC </w:t>
      </w:r>
      <w:r w:rsidR="00442EEE">
        <w:t>revenue track</w:t>
      </w:r>
      <w:r>
        <w:t>ing mechanism</w:t>
      </w:r>
      <w:r w:rsidR="004B0F82">
        <w:t xml:space="preserve"> return</w:t>
      </w:r>
      <w:r w:rsidR="00442EEE">
        <w:t>s</w:t>
      </w:r>
      <w:r w:rsidR="004B0F82">
        <w:t xml:space="preserve"> to customers </w:t>
      </w:r>
      <w:r w:rsidR="00822C25">
        <w:t xml:space="preserve">only </w:t>
      </w:r>
      <w:r w:rsidR="004B0F82">
        <w:t xml:space="preserve">the amount of REC </w:t>
      </w:r>
      <w:r w:rsidR="00CE459B">
        <w:t xml:space="preserve">revenues </w:t>
      </w:r>
      <w:r w:rsidR="004B0F82">
        <w:t xml:space="preserve">to which customers are entitled, as determined upon </w:t>
      </w:r>
      <w:r>
        <w:t xml:space="preserve">final </w:t>
      </w:r>
      <w:r w:rsidR="004B0F82">
        <w:t xml:space="preserve">resolution of the Company’s petition for reconsideration or petition for judicial review in </w:t>
      </w:r>
      <w:r w:rsidR="00822C25">
        <w:t>Docket UE-100749</w:t>
      </w:r>
      <w:r w:rsidR="0016039E">
        <w:t>.</w:t>
      </w:r>
    </w:p>
    <w:p w:rsidR="005F086B" w:rsidRDefault="005F086B" w:rsidP="00DE2626">
      <w:pPr>
        <w:pStyle w:val="Washingtonparagraph"/>
        <w:numPr>
          <w:ilvl w:val="0"/>
          <w:numId w:val="2"/>
        </w:numPr>
        <w:tabs>
          <w:tab w:val="num" w:pos="720"/>
        </w:tabs>
        <w:ind w:hanging="720"/>
      </w:pPr>
      <w:r>
        <w:t xml:space="preserve">PacifiCorp is an electrical company and public service company in the state of </w:t>
      </w:r>
      <w:r w:rsidRPr="00DE2626">
        <w:t>Washington</w:t>
      </w:r>
      <w:r>
        <w:t xml:space="preserve"> </w:t>
      </w:r>
      <w:r w:rsidR="002072ED">
        <w:t xml:space="preserve">under </w:t>
      </w:r>
      <w:r>
        <w:t xml:space="preserve">RCW 80.04.010 and subject to the jurisdiction of the Commission with regard to its rates, service and accounting practices. </w:t>
      </w:r>
      <w:r w:rsidR="00406ECD">
        <w:t xml:space="preserve"> </w:t>
      </w:r>
      <w:r>
        <w:t xml:space="preserve">PacifiCorp also provides retail electricity service in the states of California, Idaho, </w:t>
      </w:r>
      <w:r w:rsidR="00911E29">
        <w:t xml:space="preserve">Oregon, </w:t>
      </w:r>
      <w:r>
        <w:t>Utah</w:t>
      </w:r>
      <w:r w:rsidR="00406ECD">
        <w:t>,</w:t>
      </w:r>
      <w:r>
        <w:t xml:space="preserve"> and Wyoming. </w:t>
      </w:r>
      <w:r w:rsidR="00406ECD">
        <w:t xml:space="preserve"> </w:t>
      </w:r>
      <w:r>
        <w:t>PacifiCorp’s address is 825 NE Multnomah, Portland, OR 97232.</w:t>
      </w:r>
    </w:p>
    <w:p w:rsidR="005F086B" w:rsidRDefault="005F086B" w:rsidP="00DE2626">
      <w:pPr>
        <w:pStyle w:val="Washingtonparagraph"/>
        <w:numPr>
          <w:ilvl w:val="0"/>
          <w:numId w:val="2"/>
        </w:numPr>
        <w:tabs>
          <w:tab w:val="num" w:pos="720"/>
        </w:tabs>
        <w:ind w:hanging="720"/>
      </w:pPr>
      <w:r>
        <w:lastRenderedPageBreak/>
        <w:t>PacifiCorp files t</w:t>
      </w:r>
      <w:r w:rsidR="00F74E78">
        <w:t>his P</w:t>
      </w:r>
      <w:r>
        <w:t xml:space="preserve">etition </w:t>
      </w:r>
      <w:r w:rsidR="00DC25D1">
        <w:t xml:space="preserve">under </w:t>
      </w:r>
      <w:r>
        <w:t xml:space="preserve">RCW 80.01.040(3), which authorizes the Commission to regulate in the public </w:t>
      </w:r>
      <w:r w:rsidRPr="00DE2626">
        <w:t>interest</w:t>
      </w:r>
      <w:r>
        <w:t xml:space="preserve"> the rates, service, facilities, and practices of electric companies; RCW 80.040.090, which authorizes the Commission to prescribe the forms of accounts to be kept by public service companies; and </w:t>
      </w:r>
      <w:smartTag w:uri="urn:schemas-microsoft-com:office:smarttags" w:element="stockticker">
        <w:r>
          <w:t>WAC</w:t>
        </w:r>
      </w:smartTag>
      <w:r>
        <w:t xml:space="preserve"> 480-100-203, pertaining to the accounting requirements applicable to electric utilities in the state of Washington.</w:t>
      </w:r>
    </w:p>
    <w:p w:rsidR="005F086B" w:rsidRDefault="005F086B" w:rsidP="00DE2626">
      <w:pPr>
        <w:pStyle w:val="Washingtonparagraph"/>
        <w:numPr>
          <w:ilvl w:val="0"/>
          <w:numId w:val="2"/>
        </w:numPr>
        <w:tabs>
          <w:tab w:val="num" w:pos="720"/>
        </w:tabs>
        <w:ind w:hanging="720"/>
      </w:pPr>
      <w:r>
        <w:t xml:space="preserve">Communications regarding this </w:t>
      </w:r>
      <w:r w:rsidR="00DC25D1">
        <w:t>Petition</w:t>
      </w:r>
      <w:r>
        <w:t xml:space="preserve"> should be addressed to:</w:t>
      </w:r>
    </w:p>
    <w:tbl>
      <w:tblPr>
        <w:tblW w:w="0" w:type="auto"/>
        <w:tblLook w:val="01E0"/>
      </w:tblPr>
      <w:tblGrid>
        <w:gridCol w:w="4428"/>
        <w:gridCol w:w="4428"/>
      </w:tblGrid>
      <w:tr w:rsidR="005F086B">
        <w:tc>
          <w:tcPr>
            <w:tcW w:w="4428" w:type="dxa"/>
          </w:tcPr>
          <w:p w:rsidR="005F086B" w:rsidRPr="002C340F" w:rsidRDefault="005F086B" w:rsidP="005F086B">
            <w:r>
              <w:t xml:space="preserve">Washington </w:t>
            </w:r>
            <w:r w:rsidRPr="002C340F">
              <w:t>Dockets</w:t>
            </w:r>
          </w:p>
          <w:p w:rsidR="005F086B" w:rsidRDefault="005F086B" w:rsidP="005F086B">
            <w:r w:rsidRPr="002C340F">
              <w:t xml:space="preserve">PacifiCorp </w:t>
            </w:r>
          </w:p>
          <w:p w:rsidR="005F086B" w:rsidRPr="002C340F" w:rsidRDefault="005F086B" w:rsidP="005F086B">
            <w:r w:rsidRPr="002C340F">
              <w:t xml:space="preserve">825 NE Multnomah, </w:t>
            </w:r>
            <w:r>
              <w:t>Suite</w:t>
            </w:r>
            <w:r w:rsidRPr="002C340F">
              <w:t xml:space="preserve"> 2000</w:t>
            </w:r>
          </w:p>
          <w:p w:rsidR="005F086B" w:rsidRPr="002C340F" w:rsidRDefault="005F086B" w:rsidP="005F086B">
            <w:r w:rsidRPr="002C340F">
              <w:t>Portland, OR  9723</w:t>
            </w:r>
            <w:r>
              <w:t>2</w:t>
            </w:r>
          </w:p>
          <w:p w:rsidR="005F086B" w:rsidRDefault="00FD2787" w:rsidP="005F086B">
            <w:r>
              <w:t>P</w:t>
            </w:r>
            <w:r w:rsidR="005F086B">
              <w:t xml:space="preserve">hone:  </w:t>
            </w:r>
            <w:r w:rsidR="005F086B" w:rsidRPr="007671FB">
              <w:t>503-813-</w:t>
            </w:r>
            <w:r w:rsidR="00CE459B">
              <w:t>6389</w:t>
            </w:r>
          </w:p>
          <w:p w:rsidR="00FD2787" w:rsidRDefault="002072ED" w:rsidP="005F086B">
            <w:r>
              <w:t>Facsimile</w:t>
            </w:r>
            <w:r w:rsidR="00C87115">
              <w:t>:  503-813-6060</w:t>
            </w:r>
          </w:p>
          <w:p w:rsidR="00FD2787" w:rsidRDefault="00FD2787" w:rsidP="00FD2787">
            <w:r w:rsidRPr="002C340F">
              <w:t xml:space="preserve">Email: </w:t>
            </w:r>
            <w:r w:rsidRPr="002A01E6">
              <w:t>washingtondockets@pacificorp.com</w:t>
            </w:r>
            <w:r w:rsidRPr="007671FB">
              <w:t xml:space="preserve"> </w:t>
            </w:r>
          </w:p>
          <w:p w:rsidR="005F086B" w:rsidRDefault="005F086B" w:rsidP="00FD2787"/>
          <w:p w:rsidR="00FD2787" w:rsidRDefault="00FD2787" w:rsidP="00FD2787"/>
        </w:tc>
        <w:tc>
          <w:tcPr>
            <w:tcW w:w="4428" w:type="dxa"/>
          </w:tcPr>
          <w:p w:rsidR="002A01E6" w:rsidRDefault="002A01E6" w:rsidP="002A01E6">
            <w:pPr>
              <w:jc w:val="both"/>
            </w:pPr>
            <w:r>
              <w:t>Sarah K. Wallace</w:t>
            </w:r>
          </w:p>
          <w:p w:rsidR="002A01E6" w:rsidRDefault="002A01E6" w:rsidP="002A01E6">
            <w:pPr>
              <w:jc w:val="both"/>
            </w:pPr>
            <w:r>
              <w:t>Senior Counsel</w:t>
            </w:r>
          </w:p>
          <w:p w:rsidR="002A01E6" w:rsidRDefault="002A01E6" w:rsidP="002A01E6">
            <w:pPr>
              <w:jc w:val="both"/>
            </w:pPr>
            <w:r>
              <w:t>PacifiCorp</w:t>
            </w:r>
          </w:p>
          <w:p w:rsidR="002A01E6" w:rsidRDefault="002A01E6" w:rsidP="002A01E6">
            <w:pPr>
              <w:jc w:val="both"/>
            </w:pPr>
            <w:r>
              <w:t>825 NE Multnomah</w:t>
            </w:r>
            <w:r w:rsidR="00CE459B">
              <w:t xml:space="preserve">, Suite </w:t>
            </w:r>
            <w:r>
              <w:t>1800</w:t>
            </w:r>
          </w:p>
          <w:p w:rsidR="002A01E6" w:rsidRDefault="002A01E6" w:rsidP="002A01E6">
            <w:pPr>
              <w:jc w:val="both"/>
            </w:pPr>
            <w:r>
              <w:t>Portland, OR 97232</w:t>
            </w:r>
          </w:p>
          <w:p w:rsidR="002A01E6" w:rsidRDefault="002A01E6" w:rsidP="002A01E6">
            <w:pPr>
              <w:jc w:val="both"/>
            </w:pPr>
            <w:r>
              <w:t>Phone: (503) 813-5865</w:t>
            </w:r>
          </w:p>
          <w:p w:rsidR="005F086B" w:rsidRDefault="002A01E6" w:rsidP="002A01E6">
            <w:pPr>
              <w:jc w:val="both"/>
            </w:pPr>
            <w:r>
              <w:t>Email: sarah.wallace@pacificorp.com</w:t>
            </w:r>
          </w:p>
        </w:tc>
      </w:tr>
    </w:tbl>
    <w:p w:rsidR="005F086B" w:rsidRPr="001E2C82" w:rsidRDefault="005F086B" w:rsidP="00DE2626">
      <w:pPr>
        <w:pStyle w:val="Washingtonparagraph"/>
        <w:numPr>
          <w:ilvl w:val="0"/>
          <w:numId w:val="2"/>
        </w:numPr>
        <w:tabs>
          <w:tab w:val="num" w:pos="720"/>
        </w:tabs>
        <w:ind w:hanging="720"/>
      </w:pPr>
      <w:r>
        <w:t xml:space="preserve">Additionally, PacifiCorp </w:t>
      </w:r>
      <w:r w:rsidRPr="001E2C82">
        <w:t>respectfully requests that all data requests regarding this matter be addressed to:</w:t>
      </w:r>
    </w:p>
    <w:p w:rsidR="005F086B" w:rsidRDefault="005F086B" w:rsidP="005F086B">
      <w:pPr>
        <w:pStyle w:val="BodyText"/>
        <w:spacing w:line="240" w:lineRule="auto"/>
        <w:ind w:left="187" w:firstLine="547"/>
        <w:rPr>
          <w:szCs w:val="24"/>
        </w:rPr>
      </w:pPr>
      <w:r w:rsidRPr="001E2C82">
        <w:rPr>
          <w:szCs w:val="24"/>
        </w:rPr>
        <w:t>By email (preferred)</w:t>
      </w:r>
      <w:r w:rsidRPr="001E2C82">
        <w:rPr>
          <w:szCs w:val="24"/>
        </w:rPr>
        <w:tab/>
      </w:r>
      <w:r w:rsidRPr="001E2C82">
        <w:rPr>
          <w:szCs w:val="24"/>
        </w:rPr>
        <w:tab/>
      </w:r>
      <w:r w:rsidRPr="001E2C82">
        <w:rPr>
          <w:szCs w:val="24"/>
        </w:rPr>
        <w:tab/>
      </w:r>
      <w:r w:rsidRPr="001E2C82">
        <w:rPr>
          <w:szCs w:val="24"/>
        </w:rPr>
        <w:tab/>
      </w:r>
      <w:r w:rsidR="004B3662" w:rsidRPr="0016039E">
        <w:t>datarequest@pacificorp.com</w:t>
      </w:r>
    </w:p>
    <w:p w:rsidR="005F086B" w:rsidRPr="001E2C82" w:rsidRDefault="005F086B" w:rsidP="005F086B">
      <w:pPr>
        <w:pStyle w:val="BodyText"/>
        <w:spacing w:before="240" w:line="240" w:lineRule="auto"/>
        <w:ind w:left="187" w:firstLine="547"/>
        <w:rPr>
          <w:szCs w:val="24"/>
        </w:rPr>
      </w:pPr>
      <w:r w:rsidRPr="001E2C82">
        <w:rPr>
          <w:szCs w:val="24"/>
        </w:rPr>
        <w:t>By regular mail</w:t>
      </w:r>
      <w:r w:rsidRPr="001E2C82">
        <w:rPr>
          <w:szCs w:val="24"/>
        </w:rPr>
        <w:tab/>
      </w:r>
      <w:r w:rsidRPr="001E2C82">
        <w:rPr>
          <w:szCs w:val="24"/>
        </w:rPr>
        <w:tab/>
      </w:r>
      <w:r w:rsidRPr="001E2C82">
        <w:rPr>
          <w:szCs w:val="24"/>
        </w:rPr>
        <w:tab/>
      </w:r>
      <w:r w:rsidRPr="001E2C82">
        <w:rPr>
          <w:szCs w:val="24"/>
        </w:rPr>
        <w:tab/>
        <w:t>Data Request Response Center</w:t>
      </w:r>
    </w:p>
    <w:p w:rsidR="005F086B" w:rsidRPr="001E2C82" w:rsidRDefault="005F086B" w:rsidP="005F086B">
      <w:pPr>
        <w:pStyle w:val="BodyText"/>
        <w:spacing w:line="240" w:lineRule="auto"/>
        <w:ind w:left="187" w:firstLine="547"/>
        <w:rPr>
          <w:szCs w:val="24"/>
        </w:rPr>
      </w:pPr>
      <w:r w:rsidRPr="001E2C82">
        <w:rPr>
          <w:szCs w:val="24"/>
        </w:rPr>
        <w:tab/>
      </w:r>
      <w:r w:rsidRPr="001E2C82">
        <w:rPr>
          <w:szCs w:val="24"/>
        </w:rPr>
        <w:tab/>
      </w:r>
      <w:r w:rsidRPr="001E2C82">
        <w:rPr>
          <w:szCs w:val="24"/>
        </w:rPr>
        <w:tab/>
      </w:r>
      <w:r w:rsidRPr="001E2C82">
        <w:rPr>
          <w:szCs w:val="24"/>
        </w:rPr>
        <w:tab/>
      </w:r>
      <w:r w:rsidRPr="001E2C82">
        <w:rPr>
          <w:szCs w:val="24"/>
        </w:rPr>
        <w:tab/>
      </w:r>
      <w:r w:rsidRPr="001E2C82">
        <w:rPr>
          <w:szCs w:val="24"/>
        </w:rPr>
        <w:tab/>
        <w:t>PacifiCorp</w:t>
      </w:r>
    </w:p>
    <w:p w:rsidR="005F086B" w:rsidRPr="001E2C82" w:rsidRDefault="005F086B" w:rsidP="005F086B">
      <w:pPr>
        <w:pStyle w:val="BodyText"/>
        <w:spacing w:line="240" w:lineRule="auto"/>
        <w:ind w:left="187" w:firstLine="547"/>
        <w:rPr>
          <w:szCs w:val="24"/>
        </w:rPr>
      </w:pPr>
      <w:r w:rsidRPr="001E2C82">
        <w:rPr>
          <w:szCs w:val="24"/>
        </w:rPr>
        <w:tab/>
      </w:r>
      <w:r w:rsidRPr="001E2C82">
        <w:rPr>
          <w:szCs w:val="24"/>
        </w:rPr>
        <w:tab/>
      </w:r>
      <w:r w:rsidRPr="001E2C82">
        <w:rPr>
          <w:szCs w:val="24"/>
        </w:rPr>
        <w:tab/>
      </w:r>
      <w:r w:rsidRPr="001E2C82">
        <w:rPr>
          <w:szCs w:val="24"/>
        </w:rPr>
        <w:tab/>
      </w:r>
      <w:r w:rsidRPr="001E2C82">
        <w:rPr>
          <w:szCs w:val="24"/>
        </w:rPr>
        <w:tab/>
      </w:r>
      <w:r w:rsidRPr="001E2C82">
        <w:rPr>
          <w:szCs w:val="24"/>
        </w:rPr>
        <w:tab/>
        <w:t xml:space="preserve">825 NE Multnomah, </w:t>
      </w:r>
      <w:smartTag w:uri="urn:schemas-microsoft-com:office:smarttags" w:element="address">
        <w:smartTag w:uri="urn:schemas-microsoft-com:office:smarttags" w:element="Street">
          <w:r w:rsidRPr="001E2C82">
            <w:rPr>
              <w:szCs w:val="24"/>
            </w:rPr>
            <w:t>Suite</w:t>
          </w:r>
        </w:smartTag>
        <w:r w:rsidRPr="001E2C82">
          <w:rPr>
            <w:szCs w:val="24"/>
          </w:rPr>
          <w:t xml:space="preserve"> 2000</w:t>
        </w:r>
      </w:smartTag>
    </w:p>
    <w:p w:rsidR="005F086B" w:rsidRDefault="005F086B" w:rsidP="005F086B">
      <w:pPr>
        <w:pStyle w:val="BodyText"/>
        <w:spacing w:line="240" w:lineRule="auto"/>
        <w:ind w:left="187" w:firstLine="547"/>
        <w:rPr>
          <w:szCs w:val="24"/>
        </w:rPr>
      </w:pPr>
      <w:r w:rsidRPr="001E2C82">
        <w:rPr>
          <w:szCs w:val="24"/>
        </w:rPr>
        <w:tab/>
      </w:r>
      <w:r w:rsidRPr="001E2C82">
        <w:rPr>
          <w:szCs w:val="24"/>
        </w:rPr>
        <w:tab/>
      </w:r>
      <w:r w:rsidRPr="001E2C82">
        <w:rPr>
          <w:szCs w:val="24"/>
        </w:rPr>
        <w:tab/>
      </w:r>
      <w:r w:rsidRPr="001E2C82">
        <w:rPr>
          <w:szCs w:val="24"/>
        </w:rPr>
        <w:tab/>
      </w:r>
      <w:r w:rsidRPr="001E2C82">
        <w:rPr>
          <w:szCs w:val="24"/>
        </w:rPr>
        <w:tab/>
      </w:r>
      <w:r w:rsidRPr="001E2C82">
        <w:rPr>
          <w:szCs w:val="24"/>
        </w:rPr>
        <w:tab/>
      </w:r>
      <w:smartTag w:uri="urn:schemas-microsoft-com:office:smarttags" w:element="place">
        <w:smartTag w:uri="urn:schemas-microsoft-com:office:smarttags" w:element="City">
          <w:r w:rsidRPr="001E2C82">
            <w:rPr>
              <w:szCs w:val="24"/>
            </w:rPr>
            <w:t>Portland</w:t>
          </w:r>
        </w:smartTag>
        <w:r w:rsidRPr="001E2C82">
          <w:rPr>
            <w:szCs w:val="24"/>
          </w:rPr>
          <w:t xml:space="preserve">, </w:t>
        </w:r>
        <w:smartTag w:uri="urn:schemas-microsoft-com:office:smarttags" w:element="State">
          <w:r w:rsidRPr="001E2C82">
            <w:rPr>
              <w:szCs w:val="24"/>
            </w:rPr>
            <w:t>OR</w:t>
          </w:r>
        </w:smartTag>
        <w:r w:rsidRPr="001E2C82">
          <w:rPr>
            <w:szCs w:val="24"/>
          </w:rPr>
          <w:t xml:space="preserve">  </w:t>
        </w:r>
        <w:smartTag w:uri="urn:schemas-microsoft-com:office:smarttags" w:element="PostalCode">
          <w:r w:rsidRPr="001E2C82">
            <w:rPr>
              <w:szCs w:val="24"/>
            </w:rPr>
            <w:t>97232</w:t>
          </w:r>
        </w:smartTag>
      </w:smartTag>
    </w:p>
    <w:p w:rsidR="005F086B" w:rsidRPr="001E2C82" w:rsidRDefault="005F086B" w:rsidP="005F086B">
      <w:pPr>
        <w:pStyle w:val="BodyText"/>
        <w:spacing w:line="240" w:lineRule="auto"/>
        <w:ind w:left="187" w:firstLine="547"/>
        <w:rPr>
          <w:szCs w:val="24"/>
        </w:rPr>
      </w:pPr>
    </w:p>
    <w:p w:rsidR="005F086B" w:rsidRDefault="005F086B" w:rsidP="00DE2626">
      <w:pPr>
        <w:pStyle w:val="Washingtonparagraph"/>
        <w:numPr>
          <w:ilvl w:val="0"/>
          <w:numId w:val="2"/>
        </w:numPr>
        <w:ind w:hanging="720"/>
      </w:pPr>
      <w:r>
        <w:t xml:space="preserve">Informal inquiries may be directed to </w:t>
      </w:r>
      <w:r w:rsidR="00CE459B">
        <w:t>Bryce Dalley, Director of Regulatory Affairs &amp; Revenue Requirement, at</w:t>
      </w:r>
      <w:r>
        <w:t xml:space="preserve"> (503) </w:t>
      </w:r>
      <w:r w:rsidRPr="00ED3910">
        <w:t>813-</w:t>
      </w:r>
      <w:r w:rsidR="00CE459B">
        <w:t>6389</w:t>
      </w:r>
      <w:r w:rsidR="00406ECD">
        <w:t>.</w:t>
      </w:r>
    </w:p>
    <w:p w:rsidR="00BA43D6" w:rsidRDefault="000811E5" w:rsidP="00BA43D6">
      <w:pPr>
        <w:pStyle w:val="Washingtonparagraph"/>
        <w:ind w:left="-360"/>
        <w:jc w:val="center"/>
        <w:rPr>
          <w:b/>
        </w:rPr>
      </w:pPr>
      <w:r>
        <w:rPr>
          <w:b/>
        </w:rPr>
        <w:br w:type="page"/>
      </w:r>
      <w:r w:rsidR="00BA43D6">
        <w:rPr>
          <w:b/>
        </w:rPr>
        <w:lastRenderedPageBreak/>
        <w:t>II</w:t>
      </w:r>
      <w:proofErr w:type="gramStart"/>
      <w:r w:rsidR="00BA43D6">
        <w:rPr>
          <w:b/>
        </w:rPr>
        <w:t>.  BASIS</w:t>
      </w:r>
      <w:proofErr w:type="gramEnd"/>
      <w:r w:rsidR="00BA43D6">
        <w:rPr>
          <w:b/>
        </w:rPr>
        <w:t xml:space="preserve"> FOR DEFERRED ACCOUNTING</w:t>
      </w:r>
    </w:p>
    <w:p w:rsidR="00E90652" w:rsidRPr="00E90652" w:rsidRDefault="00E90652" w:rsidP="00E90652">
      <w:pPr>
        <w:pStyle w:val="Washingtonparagraph"/>
        <w:rPr>
          <w:b/>
        </w:rPr>
      </w:pPr>
      <w:r>
        <w:rPr>
          <w:b/>
        </w:rPr>
        <w:t>A.</w:t>
      </w:r>
      <w:r>
        <w:rPr>
          <w:b/>
        </w:rPr>
        <w:tab/>
        <w:t>Background</w:t>
      </w:r>
    </w:p>
    <w:p w:rsidR="004A4184" w:rsidRDefault="0016039E" w:rsidP="0016039E">
      <w:pPr>
        <w:pStyle w:val="Washingtonparagraph"/>
        <w:numPr>
          <w:ilvl w:val="0"/>
          <w:numId w:val="2"/>
        </w:numPr>
        <w:ind w:hanging="720"/>
      </w:pPr>
      <w:r>
        <w:t xml:space="preserve">In Order 06 in Docket UE-100749, </w:t>
      </w:r>
      <w:r w:rsidR="00A37DDF">
        <w:t xml:space="preserve">issued on March 25, 2011, </w:t>
      </w:r>
      <w:r>
        <w:t>the Commission ordered the Compan</w:t>
      </w:r>
      <w:r w:rsidR="00442EEE">
        <w:t xml:space="preserve">y to implement a </w:t>
      </w:r>
      <w:r w:rsidR="00DC25D1">
        <w:t>rate</w:t>
      </w:r>
      <w:r w:rsidR="00442EEE">
        <w:t xml:space="preserve"> credit for REC revenues</w:t>
      </w:r>
      <w:r>
        <w:t>.</w:t>
      </w:r>
      <w:r>
        <w:rPr>
          <w:rStyle w:val="FootnoteReference"/>
        </w:rPr>
        <w:footnoteReference w:id="2"/>
      </w:r>
      <w:r w:rsidR="001D0F24">
        <w:t xml:space="preserve">  </w:t>
      </w:r>
      <w:r w:rsidR="00096150" w:rsidRPr="00096150">
        <w:t xml:space="preserve">The initial REC revenue </w:t>
      </w:r>
      <w:r w:rsidR="00CE459B">
        <w:t xml:space="preserve">rate </w:t>
      </w:r>
      <w:r w:rsidR="00096150" w:rsidRPr="00096150">
        <w:t>credit was estimated at $4.8 million per year.  The Commission authorized a true-up of these initial credits to “be reconciled as credits are paid during the following 12 months.”</w:t>
      </w:r>
      <w:r w:rsidR="00096150" w:rsidRPr="00096150">
        <w:rPr>
          <w:vertAlign w:val="superscript"/>
        </w:rPr>
        <w:footnoteReference w:id="3"/>
      </w:r>
      <w:r w:rsidR="001D0F24">
        <w:t xml:space="preserve">  </w:t>
      </w:r>
      <w:r w:rsidR="004A4184">
        <w:t>In compliance with the Commission’s order, the Company began crediting</w:t>
      </w:r>
      <w:r w:rsidR="005B185D">
        <w:t xml:space="preserve"> customers</w:t>
      </w:r>
      <w:r w:rsidR="004A4184">
        <w:t xml:space="preserve"> REC revenues on April 3, 2011</w:t>
      </w:r>
      <w:r w:rsidR="000811E5">
        <w:t>,</w:t>
      </w:r>
      <w:r w:rsidR="00096150">
        <w:t xml:space="preserve"> under Schedule 95</w:t>
      </w:r>
      <w:r w:rsidR="004A4184">
        <w:t>.</w:t>
      </w:r>
      <w:r w:rsidR="004A4184">
        <w:rPr>
          <w:rStyle w:val="FootnoteReference"/>
        </w:rPr>
        <w:footnoteReference w:id="4"/>
      </w:r>
      <w:r w:rsidR="00D627E7">
        <w:t xml:space="preserve">  Since that time, the Company has credited approximately $7.0 million in REC revenues to customers.</w:t>
      </w:r>
      <w:r w:rsidR="00D627E7">
        <w:rPr>
          <w:rStyle w:val="FootnoteReference"/>
        </w:rPr>
        <w:footnoteReference w:id="5"/>
      </w:r>
      <w:r w:rsidR="00D627E7">
        <w:t xml:space="preserve">  </w:t>
      </w:r>
    </w:p>
    <w:p w:rsidR="00803D1C" w:rsidRDefault="009E58C8" w:rsidP="0016039E">
      <w:pPr>
        <w:pStyle w:val="Washingtonparagraph"/>
        <w:numPr>
          <w:ilvl w:val="0"/>
          <w:numId w:val="2"/>
        </w:numPr>
        <w:ind w:hanging="720"/>
      </w:pPr>
      <w:r>
        <w:t>In Order 06, the Commission opened Phase 2 of the docket to address the rate treatment of REC revenues received by the Company between January 1, 2009</w:t>
      </w:r>
      <w:r w:rsidR="000811E5">
        <w:t>,</w:t>
      </w:r>
      <w:r>
        <w:t xml:space="preserve"> and April 2, 2011.</w:t>
      </w:r>
      <w:r>
        <w:rPr>
          <w:rStyle w:val="FootnoteReference"/>
        </w:rPr>
        <w:footnoteReference w:id="6"/>
      </w:r>
      <w:r>
        <w:t xml:space="preserve">  </w:t>
      </w:r>
      <w:r w:rsidR="00562C21">
        <w:t xml:space="preserve">On </w:t>
      </w:r>
      <w:r w:rsidR="00A37DDF">
        <w:t xml:space="preserve">August 23, 2012, the Commission issued Order 10 in </w:t>
      </w:r>
      <w:r w:rsidR="00442EEE">
        <w:t xml:space="preserve">Phase 2 of </w:t>
      </w:r>
      <w:r w:rsidR="00A37DDF">
        <w:t>Docket UE-100749</w:t>
      </w:r>
      <w:r w:rsidR="00442EEE">
        <w:t>.</w:t>
      </w:r>
      <w:r w:rsidR="0043618F">
        <w:t xml:space="preserve"> </w:t>
      </w:r>
      <w:r w:rsidR="00A37DDF">
        <w:t xml:space="preserve"> </w:t>
      </w:r>
      <w:r w:rsidR="0043618F">
        <w:t>Order 10</w:t>
      </w:r>
      <w:r w:rsidR="00A37DDF">
        <w:t xml:space="preserve"> required the Company to credit customers REC </w:t>
      </w:r>
      <w:r>
        <w:t>revenues</w:t>
      </w:r>
      <w:r w:rsidR="00A37DDF">
        <w:t xml:space="preserve"> booked on or after January 1, 2009, less the amount already included in rates by virtue of a 2009 rate case settlement.</w:t>
      </w:r>
      <w:r w:rsidR="00A37DDF">
        <w:rPr>
          <w:rStyle w:val="FootnoteReference"/>
        </w:rPr>
        <w:footnoteReference w:id="7"/>
      </w:r>
      <w:r w:rsidR="00B91B06">
        <w:t xml:space="preserve">  </w:t>
      </w:r>
      <w:r w:rsidR="00803D1C">
        <w:t>Order 10 also req</w:t>
      </w:r>
      <w:r w:rsidR="00B92FCE">
        <w:t xml:space="preserve">uired parties to file an agreed-upon </w:t>
      </w:r>
      <w:r w:rsidR="00803D1C">
        <w:t>mechanism for crediting historic</w:t>
      </w:r>
      <w:r w:rsidR="000811E5">
        <w:t>al</w:t>
      </w:r>
      <w:r w:rsidR="00803D1C">
        <w:t xml:space="preserve"> and future REC proceeds to customers, or individual proposals with supporting documentation</w:t>
      </w:r>
      <w:r w:rsidR="00B92FCE">
        <w:t>, within 90 days of the order</w:t>
      </w:r>
      <w:r w:rsidR="00803D1C">
        <w:t>.</w:t>
      </w:r>
      <w:r w:rsidR="00803D1C">
        <w:rPr>
          <w:rStyle w:val="FootnoteReference"/>
        </w:rPr>
        <w:footnoteReference w:id="8"/>
      </w:r>
    </w:p>
    <w:p w:rsidR="00570058" w:rsidRDefault="00B91B06" w:rsidP="007C3C5C">
      <w:pPr>
        <w:pStyle w:val="Washingtonparagraph"/>
        <w:numPr>
          <w:ilvl w:val="0"/>
          <w:numId w:val="2"/>
        </w:numPr>
        <w:ind w:hanging="720"/>
      </w:pPr>
      <w:r>
        <w:t xml:space="preserve">On September 4, 2012, the Company filed </w:t>
      </w:r>
      <w:r w:rsidR="008C29FB">
        <w:t xml:space="preserve">petitions for reconsideration and stay </w:t>
      </w:r>
      <w:r w:rsidR="00B92FCE">
        <w:t xml:space="preserve">of </w:t>
      </w:r>
      <w:r>
        <w:t>Order 10</w:t>
      </w:r>
      <w:r w:rsidR="008C29FB">
        <w:t xml:space="preserve">.  The </w:t>
      </w:r>
      <w:r w:rsidR="00947E20">
        <w:t>Company</w:t>
      </w:r>
      <w:r w:rsidR="00570058">
        <w:t xml:space="preserve"> challenged the Commission’s decision ordering a rate credit for REC </w:t>
      </w:r>
      <w:r w:rsidR="00570058">
        <w:lastRenderedPageBreak/>
        <w:t xml:space="preserve">revenues </w:t>
      </w:r>
      <w:r w:rsidR="00822C25">
        <w:t>pre-dating</w:t>
      </w:r>
      <w:r w:rsidR="00570058">
        <w:t xml:space="preserve"> April </w:t>
      </w:r>
      <w:r w:rsidR="00822C25">
        <w:t xml:space="preserve">3, </w:t>
      </w:r>
      <w:r w:rsidR="00570058">
        <w:t>2011</w:t>
      </w:r>
      <w:r w:rsidR="000811E5">
        <w:t>,</w:t>
      </w:r>
      <w:r w:rsidR="008C29FB">
        <w:t xml:space="preserve"> and </w:t>
      </w:r>
      <w:r w:rsidR="00442EEE">
        <w:t>sought to stay t</w:t>
      </w:r>
      <w:r w:rsidR="008C29FB">
        <w:t xml:space="preserve">he </w:t>
      </w:r>
      <w:r w:rsidR="00442EEE">
        <w:t>Company’s</w:t>
      </w:r>
      <w:r w:rsidR="008C29FB">
        <w:t xml:space="preserve"> compliance obligations </w:t>
      </w:r>
      <w:r w:rsidR="00442EEE">
        <w:t xml:space="preserve">connected to the </w:t>
      </w:r>
      <w:r w:rsidR="00570058">
        <w:t xml:space="preserve">challenged </w:t>
      </w:r>
      <w:r w:rsidR="00442EEE">
        <w:t>aspects of Order 10</w:t>
      </w:r>
      <w:r w:rsidR="008C29FB">
        <w:t>.</w:t>
      </w:r>
      <w:r w:rsidR="008C29FB">
        <w:rPr>
          <w:rStyle w:val="FootnoteReference"/>
        </w:rPr>
        <w:footnoteReference w:id="9"/>
      </w:r>
      <w:r w:rsidR="008C29FB">
        <w:t xml:space="preserve">  </w:t>
      </w:r>
      <w:r w:rsidR="00E46773">
        <w:t>T</w:t>
      </w:r>
      <w:r w:rsidR="007C48B7">
        <w:t>he Commission granted the Company’s September</w:t>
      </w:r>
      <w:r w:rsidR="009C6F21">
        <w:t> </w:t>
      </w:r>
      <w:r w:rsidR="007C48B7">
        <w:t>14, 2012 request to suspend the compliance deadlines in Order 10.</w:t>
      </w:r>
      <w:r w:rsidR="007C48B7">
        <w:rPr>
          <w:rStyle w:val="FootnoteReference"/>
        </w:rPr>
        <w:footnoteReference w:id="10"/>
      </w:r>
      <w:r w:rsidR="00E46773">
        <w:t xml:space="preserve">  The Commission has not yet ruled on the Company’s petitions for reconsideration or stay.  </w:t>
      </w:r>
    </w:p>
    <w:p w:rsidR="00570058" w:rsidRDefault="00822C25" w:rsidP="007C3C5C">
      <w:pPr>
        <w:pStyle w:val="Washingtonparagraph"/>
        <w:numPr>
          <w:ilvl w:val="0"/>
          <w:numId w:val="2"/>
        </w:numPr>
        <w:ind w:hanging="720"/>
      </w:pPr>
      <w:r>
        <w:t>In its Reply brief, t</w:t>
      </w:r>
      <w:r w:rsidR="00570058">
        <w:t>he Company clarified that its request for stay pertained only to implementation of a rate credit for REC revenues pre-dat</w:t>
      </w:r>
      <w:r>
        <w:t>ing</w:t>
      </w:r>
      <w:r w:rsidR="00570058">
        <w:t xml:space="preserve"> April 3, 2011.</w:t>
      </w:r>
      <w:r w:rsidR="00570058">
        <w:rPr>
          <w:rStyle w:val="FootnoteReference"/>
        </w:rPr>
        <w:footnoteReference w:id="11"/>
      </w:r>
      <w:r w:rsidR="00570058">
        <w:t xml:space="preserve">  </w:t>
      </w:r>
      <w:r>
        <w:t>Th</w:t>
      </w:r>
      <w:r w:rsidR="00570058">
        <w:t xml:space="preserve">e Company </w:t>
      </w:r>
      <w:r>
        <w:t>indicated that it would</w:t>
      </w:r>
      <w:r w:rsidR="00570058">
        <w:t xml:space="preserve"> make a compliance filing with an accounting of REC proceeds credited to date under Schedule 95, REC revenues accrued after April 3, 2011, and proposals for necessary revisions to Schedule 95.</w:t>
      </w:r>
      <w:r w:rsidR="00570058">
        <w:rPr>
          <w:rStyle w:val="FootnoteReference"/>
        </w:rPr>
        <w:footnoteReference w:id="12"/>
      </w:r>
    </w:p>
    <w:p w:rsidR="00090660" w:rsidRDefault="00570058" w:rsidP="0016039E">
      <w:pPr>
        <w:pStyle w:val="Washingtonparagraph"/>
        <w:numPr>
          <w:ilvl w:val="0"/>
          <w:numId w:val="2"/>
        </w:numPr>
        <w:ind w:hanging="720"/>
      </w:pPr>
      <w:r>
        <w:t>The Company made this compliance filing o</w:t>
      </w:r>
      <w:r w:rsidR="00090660">
        <w:t>n October 31, 2012</w:t>
      </w:r>
      <w:r>
        <w:t>.</w:t>
      </w:r>
      <w:r w:rsidR="00AF410A">
        <w:rPr>
          <w:rStyle w:val="FootnoteReference"/>
        </w:rPr>
        <w:footnoteReference w:id="13"/>
      </w:r>
      <w:r w:rsidR="00090660">
        <w:t xml:space="preserve"> </w:t>
      </w:r>
      <w:r w:rsidR="00AF410A">
        <w:t xml:space="preserve"> The Company’s filing explained that the estimated ne</w:t>
      </w:r>
      <w:r w:rsidR="00126359">
        <w:t>t</w:t>
      </w:r>
      <w:r w:rsidR="00AF410A">
        <w:t xml:space="preserve"> excess distribution of REC revenues to</w:t>
      </w:r>
      <w:r w:rsidR="000811E5">
        <w:t> </w:t>
      </w:r>
      <w:r w:rsidR="00AF410A">
        <w:t>customers from April 3, 2011</w:t>
      </w:r>
      <w:r w:rsidR="000811E5">
        <w:t>,</w:t>
      </w:r>
      <w:r w:rsidR="00935B9C">
        <w:t xml:space="preserve"> </w:t>
      </w:r>
      <w:r w:rsidR="00AF410A">
        <w:t xml:space="preserve">through </w:t>
      </w:r>
      <w:r w:rsidR="00CE459B">
        <w:t>December 31</w:t>
      </w:r>
      <w:r w:rsidR="00AF410A">
        <w:t>, 2012</w:t>
      </w:r>
      <w:r w:rsidR="000811E5">
        <w:t>,</w:t>
      </w:r>
      <w:r w:rsidR="00935B9C">
        <w:t xml:space="preserve"> </w:t>
      </w:r>
      <w:r w:rsidR="00AF410A">
        <w:t>w</w:t>
      </w:r>
      <w:r>
        <w:t xml:space="preserve">as </w:t>
      </w:r>
      <w:r w:rsidR="00AF410A">
        <w:t>approximately $2.6</w:t>
      </w:r>
      <w:r w:rsidR="000811E5">
        <w:t> </w:t>
      </w:r>
      <w:r w:rsidR="00AF410A">
        <w:t>million.</w:t>
      </w:r>
      <w:r w:rsidR="00AF410A">
        <w:rPr>
          <w:rStyle w:val="FootnoteReference"/>
        </w:rPr>
        <w:footnoteReference w:id="14"/>
      </w:r>
      <w:r w:rsidR="000B673B">
        <w:t xml:space="preserve">  The Company therefore proposed </w:t>
      </w:r>
      <w:r w:rsidR="00FE1072">
        <w:t xml:space="preserve">to revise </w:t>
      </w:r>
      <w:r w:rsidR="00D85837">
        <w:t xml:space="preserve">the </w:t>
      </w:r>
      <w:r w:rsidR="001A2966">
        <w:t xml:space="preserve">applicable </w:t>
      </w:r>
      <w:r w:rsidR="00FE1072">
        <w:t xml:space="preserve">Schedule 95 </w:t>
      </w:r>
      <w:r w:rsidR="00D85837">
        <w:t xml:space="preserve">rates for all rate schedules receiving the credits </w:t>
      </w:r>
      <w:r w:rsidR="00FE1072">
        <w:t>to zero cents per kWh.</w:t>
      </w:r>
      <w:r w:rsidR="00FE1072">
        <w:rPr>
          <w:rStyle w:val="FootnoteReference"/>
        </w:rPr>
        <w:footnoteReference w:id="15"/>
      </w:r>
      <w:r w:rsidR="00781765">
        <w:t xml:space="preserve">  The Company proposed making a filing on May 1, 2013, showing the actual REC revenues for calendar year 2012 </w:t>
      </w:r>
      <w:r w:rsidR="00DF2C33">
        <w:t xml:space="preserve">and </w:t>
      </w:r>
      <w:r w:rsidR="001D4177">
        <w:t xml:space="preserve">revising </w:t>
      </w:r>
      <w:r w:rsidR="00781765">
        <w:t xml:space="preserve">Schedule 95 </w:t>
      </w:r>
      <w:r w:rsidR="001D4177">
        <w:t xml:space="preserve">as necessary to account for </w:t>
      </w:r>
      <w:r w:rsidR="00DF2C33">
        <w:t>2012</w:t>
      </w:r>
      <w:r w:rsidR="00781765">
        <w:t xml:space="preserve"> </w:t>
      </w:r>
      <w:r w:rsidR="00DF2C33">
        <w:t xml:space="preserve">REC </w:t>
      </w:r>
      <w:r w:rsidR="00781765">
        <w:t>revenues.</w:t>
      </w:r>
      <w:r w:rsidR="00781765">
        <w:rPr>
          <w:rStyle w:val="FootnoteReference"/>
        </w:rPr>
        <w:footnoteReference w:id="16"/>
      </w:r>
    </w:p>
    <w:p w:rsidR="007D132F" w:rsidRDefault="00910D09" w:rsidP="0016039E">
      <w:pPr>
        <w:pStyle w:val="Washingtonparagraph"/>
        <w:numPr>
          <w:ilvl w:val="0"/>
          <w:numId w:val="2"/>
        </w:numPr>
        <w:ind w:hanging="720"/>
      </w:pPr>
      <w:r>
        <w:lastRenderedPageBreak/>
        <w:t>On November 16, 2012, the Commission issued a Notice Clarifying Temporary Suspension of Compliance with Order 10.</w:t>
      </w:r>
      <w:r>
        <w:rPr>
          <w:rStyle w:val="FootnoteReference"/>
        </w:rPr>
        <w:footnoteReference w:id="17"/>
      </w:r>
      <w:r w:rsidR="00097AE6">
        <w:t xml:space="preserve">  </w:t>
      </w:r>
      <w:r w:rsidR="008302D5">
        <w:t>The Commission explained that while its September 17 notice stated that it was suspending the compliance deadlines, the Commission’s intent was to suspend the compliance requirements, not just the deadlines for compliance.</w:t>
      </w:r>
      <w:r w:rsidR="008302D5">
        <w:rPr>
          <w:rStyle w:val="FootnoteReference"/>
        </w:rPr>
        <w:footnoteReference w:id="18"/>
      </w:r>
      <w:r w:rsidR="008302D5">
        <w:t xml:space="preserve"> </w:t>
      </w:r>
      <w:r w:rsidR="00B72820">
        <w:t xml:space="preserve"> The Commission stated that the current mechanism for crediting REC revenues that was established in Order 06 remains in effect.</w:t>
      </w:r>
      <w:r w:rsidR="00B72820">
        <w:rPr>
          <w:rStyle w:val="FootnoteReference"/>
        </w:rPr>
        <w:footnoteReference w:id="19"/>
      </w:r>
      <w:r w:rsidR="00B72820">
        <w:t xml:space="preserve">  </w:t>
      </w:r>
    </w:p>
    <w:p w:rsidR="0020474E" w:rsidRPr="0020474E" w:rsidRDefault="007D132F" w:rsidP="00E90652">
      <w:pPr>
        <w:pStyle w:val="Washingtonparagraph"/>
        <w:numPr>
          <w:ilvl w:val="0"/>
          <w:numId w:val="2"/>
        </w:numPr>
        <w:ind w:hanging="720"/>
        <w:rPr>
          <w:b/>
        </w:rPr>
      </w:pPr>
      <w:r>
        <w:t xml:space="preserve">Based on the Notice, it appears that the Commission will not address the Company’s proposed revisions to Schedule 95 until it resolves the Company’s petition for reconsideration.  This means that current Schedule 95 will </w:t>
      </w:r>
      <w:r w:rsidR="00076280">
        <w:t xml:space="preserve">remain in effect and </w:t>
      </w:r>
      <w:r>
        <w:t>continue to credit REC revenues to customer</w:t>
      </w:r>
      <w:r w:rsidR="00076280">
        <w:t>s</w:t>
      </w:r>
      <w:r w:rsidR="00A925B6">
        <w:t xml:space="preserve">, which </w:t>
      </w:r>
      <w:r w:rsidR="00076280">
        <w:t xml:space="preserve">could result in </w:t>
      </w:r>
      <w:r w:rsidR="00B352DF">
        <w:t xml:space="preserve">or contribute to </w:t>
      </w:r>
      <w:r w:rsidR="00076280">
        <w:t>the Company over</w:t>
      </w:r>
      <w:r w:rsidR="0020474E">
        <w:t>-</w:t>
      </w:r>
      <w:r w:rsidR="00076280">
        <w:t>crediting REC revenues to customers</w:t>
      </w:r>
      <w:r w:rsidR="00A925B6">
        <w:t xml:space="preserve"> depending on the final resolution of this case.  </w:t>
      </w:r>
    </w:p>
    <w:p w:rsidR="00E90652" w:rsidRPr="009F3BE3" w:rsidRDefault="00E90652" w:rsidP="0020474E">
      <w:pPr>
        <w:pStyle w:val="Washingtonparagraph"/>
        <w:rPr>
          <w:b/>
        </w:rPr>
      </w:pPr>
      <w:r w:rsidRPr="009F3BE3">
        <w:rPr>
          <w:b/>
        </w:rPr>
        <w:t>B.</w:t>
      </w:r>
      <w:r w:rsidRPr="009F3BE3">
        <w:rPr>
          <w:b/>
        </w:rPr>
        <w:tab/>
        <w:t>Need for Deferred Accounting</w:t>
      </w:r>
    </w:p>
    <w:p w:rsidR="007C0142" w:rsidRDefault="00E90652" w:rsidP="00E90652">
      <w:pPr>
        <w:pStyle w:val="Washingtonparagraph"/>
        <w:numPr>
          <w:ilvl w:val="0"/>
          <w:numId w:val="2"/>
        </w:numPr>
        <w:ind w:hanging="720"/>
      </w:pPr>
      <w:r>
        <w:t xml:space="preserve">As the Company explained in its </w:t>
      </w:r>
      <w:r w:rsidR="00126359">
        <w:t>October 31, 2012 compliance filing, the estimated net excess distribution of REC revenues to customers from April 3, 2011</w:t>
      </w:r>
      <w:r w:rsidR="000811E5">
        <w:t>,</w:t>
      </w:r>
      <w:r w:rsidR="00126359">
        <w:t xml:space="preserve"> through November 30, 2012, </w:t>
      </w:r>
      <w:r w:rsidR="00570058">
        <w:t>is</w:t>
      </w:r>
      <w:r w:rsidR="00126359">
        <w:t xml:space="preserve"> approximately $2.6 million.</w:t>
      </w:r>
      <w:r w:rsidR="00126359">
        <w:rPr>
          <w:rStyle w:val="FootnoteReference"/>
        </w:rPr>
        <w:footnoteReference w:id="20"/>
      </w:r>
      <w:r w:rsidR="00126359">
        <w:t xml:space="preserve">  </w:t>
      </w:r>
      <w:r w:rsidR="007C0142">
        <w:t xml:space="preserve">As long as current Schedule 95 remains in </w:t>
      </w:r>
      <w:r w:rsidR="00F96BE5">
        <w:t>effect, the Company will continue to credit customers approximately $400,000 in REC revenues each month</w:t>
      </w:r>
      <w:r w:rsidR="0030482B">
        <w:t xml:space="preserve"> and the net excess distribution balance </w:t>
      </w:r>
      <w:r w:rsidR="00CE459B">
        <w:t>is projected to</w:t>
      </w:r>
      <w:r w:rsidR="0030482B">
        <w:t xml:space="preserve"> continue to grow</w:t>
      </w:r>
      <w:r w:rsidR="007C0142">
        <w:t xml:space="preserve">.  </w:t>
      </w:r>
    </w:p>
    <w:p w:rsidR="009F3BE3" w:rsidRDefault="009F3BE3" w:rsidP="009F3BE3">
      <w:pPr>
        <w:pStyle w:val="Washingtonparagraph"/>
        <w:numPr>
          <w:ilvl w:val="0"/>
          <w:numId w:val="2"/>
        </w:numPr>
        <w:ind w:hanging="720"/>
      </w:pPr>
      <w:r>
        <w:t>The Commission’s REC tracking mechanism adopted in Order 06 allows for a true-up of REC revenue credits paid to actual REC revenue credits owed</w:t>
      </w:r>
      <w:r w:rsidR="0020474E">
        <w:t>.</w:t>
      </w:r>
      <w:r>
        <w:t xml:space="preserve"> </w:t>
      </w:r>
      <w:r w:rsidR="0020474E">
        <w:t xml:space="preserve"> Through operation of this </w:t>
      </w:r>
      <w:r w:rsidR="0020474E">
        <w:lastRenderedPageBreak/>
        <w:t>balancing account,</w:t>
      </w:r>
      <w:r>
        <w:t xml:space="preserve"> PacifiCorp </w:t>
      </w:r>
      <w:r w:rsidR="002072ED">
        <w:t>expects that it will be permitted</w:t>
      </w:r>
      <w:r w:rsidR="0020474E">
        <w:t xml:space="preserve"> </w:t>
      </w:r>
      <w:r>
        <w:t>to recover REC revenues over</w:t>
      </w:r>
      <w:r w:rsidR="0020474E">
        <w:t>-</w:t>
      </w:r>
      <w:r>
        <w:t xml:space="preserve">credited to customers.  However, the Commission has never confirmed that the </w:t>
      </w:r>
      <w:r w:rsidR="002072ED">
        <w:t xml:space="preserve">current </w:t>
      </w:r>
      <w:r>
        <w:t>REC tracking mechanism will operate to allow PacifiCorp to recover over</w:t>
      </w:r>
      <w:r w:rsidR="0020474E">
        <w:t>-</w:t>
      </w:r>
      <w:r>
        <w:t>credited REC revenues</w:t>
      </w:r>
      <w:r w:rsidR="000811E5">
        <w:t>,</w:t>
      </w:r>
      <w:r>
        <w:t xml:space="preserve"> and retroactive ratemaking principles</w:t>
      </w:r>
      <w:r w:rsidR="00D73BC5">
        <w:t xml:space="preserve"> </w:t>
      </w:r>
      <w:r>
        <w:t xml:space="preserve">could bar such recovery.  To address these risks, </w:t>
      </w:r>
      <w:r w:rsidR="0020474E">
        <w:t xml:space="preserve">PacifiCorp seeks: (1) confirmation that the balancing account </w:t>
      </w:r>
      <w:r w:rsidR="002072ED">
        <w:t xml:space="preserve">feature of the current REC tracking mechanism </w:t>
      </w:r>
      <w:r w:rsidR="0020474E">
        <w:t xml:space="preserve">will operate symmetrically to </w:t>
      </w:r>
      <w:r w:rsidR="00D73BC5">
        <w:t xml:space="preserve">protect customers from under-crediting of REC revenues and protect the Company from over-crediting of REC revenues; and (2) approval of </w:t>
      </w:r>
      <w:r w:rsidR="00B352DF">
        <w:t>the requested</w:t>
      </w:r>
      <w:r w:rsidR="00D73BC5">
        <w:t xml:space="preserve"> deferr</w:t>
      </w:r>
      <w:r w:rsidR="00B352DF">
        <w:t>ed accounting order</w:t>
      </w:r>
      <w:r w:rsidR="00D73BC5">
        <w:t xml:space="preserve"> to </w:t>
      </w:r>
      <w:r>
        <w:t xml:space="preserve">ensure that the Commission </w:t>
      </w:r>
      <w:r w:rsidR="0020474E">
        <w:t>will have</w:t>
      </w:r>
      <w:r>
        <w:t xml:space="preserve"> the authority to order surcharge</w:t>
      </w:r>
      <w:r w:rsidR="001A2966">
        <w:t xml:space="preserve">s to customers for REC </w:t>
      </w:r>
      <w:r w:rsidR="00CE459B">
        <w:t xml:space="preserve">revenue rate </w:t>
      </w:r>
      <w:r w:rsidR="001A2966">
        <w:t>credit</w:t>
      </w:r>
      <w:r>
        <w:t>s</w:t>
      </w:r>
      <w:r w:rsidR="00471D91">
        <w:t xml:space="preserve"> </w:t>
      </w:r>
      <w:r>
        <w:t xml:space="preserve">previously ordered </w:t>
      </w:r>
      <w:r w:rsidR="0020474E">
        <w:t xml:space="preserve">if the Commission ultimately </w:t>
      </w:r>
      <w:r>
        <w:t>determin</w:t>
      </w:r>
      <w:r w:rsidR="0020474E">
        <w:t>es</w:t>
      </w:r>
      <w:r>
        <w:t xml:space="preserve"> that PacifiCorp </w:t>
      </w:r>
      <w:r w:rsidR="0020474E">
        <w:t xml:space="preserve">has </w:t>
      </w:r>
      <w:r w:rsidR="00CE459B">
        <w:t xml:space="preserve">credited customers for </w:t>
      </w:r>
      <w:r w:rsidR="0020474E">
        <w:t xml:space="preserve">REC revenues in excess of those owed to customers.  </w:t>
      </w:r>
    </w:p>
    <w:p w:rsidR="002A01E6" w:rsidRDefault="00E90652" w:rsidP="002A01E6">
      <w:pPr>
        <w:pStyle w:val="Washingtonparagraph"/>
        <w:rPr>
          <w:b/>
        </w:rPr>
      </w:pPr>
      <w:r>
        <w:rPr>
          <w:b/>
        </w:rPr>
        <w:t>C.</w:t>
      </w:r>
      <w:r>
        <w:rPr>
          <w:b/>
        </w:rPr>
        <w:tab/>
        <w:t>Proposed Accounting</w:t>
      </w:r>
    </w:p>
    <w:p w:rsidR="00E6241B" w:rsidRPr="00E6241B" w:rsidRDefault="00750FC3" w:rsidP="00E6241B">
      <w:pPr>
        <w:pStyle w:val="Washingtonparagraph"/>
        <w:numPr>
          <w:ilvl w:val="0"/>
          <w:numId w:val="2"/>
        </w:numPr>
        <w:ind w:hanging="720"/>
      </w:pPr>
      <w:r>
        <w:t>PacifiCorp proposes to account for</w:t>
      </w:r>
      <w:r w:rsidR="00CE459B" w:rsidRPr="00CE459B">
        <w:t xml:space="preserve"> </w:t>
      </w:r>
      <w:r w:rsidR="00CE459B">
        <w:t>the deferral of any net excess distribution of REC revenues to customers by crediting Federal Energy Regulatory Commission (FERC) Accounts 440 (Residential Sales), 442 (Commercial and Industrial Sales), and 444 (Public Street and Highway Lighting Sales), and debiting FERC Account 182.3 (Regulatory Assets).</w:t>
      </w:r>
    </w:p>
    <w:p w:rsidR="00E90652" w:rsidRPr="00E90652" w:rsidRDefault="00E90652" w:rsidP="002A01E6">
      <w:pPr>
        <w:pStyle w:val="Washingtonparagraph"/>
        <w:rPr>
          <w:b/>
        </w:rPr>
      </w:pPr>
      <w:r>
        <w:rPr>
          <w:b/>
        </w:rPr>
        <w:t>D.</w:t>
      </w:r>
      <w:r>
        <w:rPr>
          <w:b/>
        </w:rPr>
        <w:tab/>
        <w:t>Estimate of Amounts</w:t>
      </w:r>
    </w:p>
    <w:p w:rsidR="00E90652" w:rsidRDefault="00750FC3" w:rsidP="0020474E">
      <w:pPr>
        <w:pStyle w:val="Washingtonparagraph"/>
        <w:numPr>
          <w:ilvl w:val="0"/>
          <w:numId w:val="2"/>
        </w:numPr>
        <w:ind w:hanging="720"/>
      </w:pPr>
      <w:r>
        <w:t xml:space="preserve">The Company has been crediting customers </w:t>
      </w:r>
      <w:r w:rsidR="003F43D8">
        <w:t xml:space="preserve">approximately </w:t>
      </w:r>
      <w:r>
        <w:t>$400,000 a month.</w:t>
      </w:r>
      <w:r w:rsidR="003F43D8">
        <w:t xml:space="preserve">  Because the Company cannot anticipate when the Commission or a court will issue a final determ</w:t>
      </w:r>
      <w:r w:rsidR="00F40FCA">
        <w:t xml:space="preserve">ination of Docket UE-100749, </w:t>
      </w:r>
      <w:r w:rsidR="003F43D8">
        <w:t>the Company cannot predict the total amount of the deferral.</w:t>
      </w:r>
    </w:p>
    <w:p w:rsidR="00660E7F" w:rsidRDefault="00660E7F" w:rsidP="00471D91">
      <w:pPr>
        <w:pStyle w:val="Washingtonparagraph"/>
        <w:keepNext/>
        <w:ind w:left="-360"/>
        <w:jc w:val="center"/>
        <w:rPr>
          <w:b/>
        </w:rPr>
      </w:pPr>
      <w:r>
        <w:rPr>
          <w:b/>
        </w:rPr>
        <w:lastRenderedPageBreak/>
        <w:t>III</w:t>
      </w:r>
      <w:proofErr w:type="gramStart"/>
      <w:r>
        <w:rPr>
          <w:b/>
        </w:rPr>
        <w:t>.  CONCLUSION</w:t>
      </w:r>
      <w:proofErr w:type="gramEnd"/>
    </w:p>
    <w:p w:rsidR="00A81FA0" w:rsidRPr="009814E2" w:rsidRDefault="00D73BC5" w:rsidP="00DE2626">
      <w:pPr>
        <w:pStyle w:val="Washingtonparagraph"/>
        <w:numPr>
          <w:ilvl w:val="0"/>
          <w:numId w:val="2"/>
        </w:numPr>
        <w:ind w:hanging="720"/>
        <w:rPr>
          <w:rStyle w:val="LineNumber"/>
        </w:rPr>
      </w:pPr>
      <w:r>
        <w:t xml:space="preserve">PacifiCorp respectfully requests an accounting order authorizing the Company to defer rate credits in excess of amounts actually owed to customers for REC revenues.  </w:t>
      </w:r>
      <w:r w:rsidR="00A81FA0">
        <w:t xml:space="preserve"> </w:t>
      </w:r>
    </w:p>
    <w:p w:rsidR="002A01E6" w:rsidRDefault="002A01E6" w:rsidP="005F086B">
      <w:pPr>
        <w:pStyle w:val="BodyText"/>
        <w:spacing w:line="480" w:lineRule="auto"/>
        <w:ind w:firstLine="0"/>
        <w:jc w:val="both"/>
        <w:rPr>
          <w:szCs w:val="24"/>
        </w:rPr>
      </w:pPr>
    </w:p>
    <w:p w:rsidR="005F086B" w:rsidRDefault="005F086B" w:rsidP="005F086B">
      <w:pPr>
        <w:pStyle w:val="BodyText"/>
        <w:spacing w:line="480" w:lineRule="auto"/>
        <w:ind w:firstLine="0"/>
        <w:jc w:val="both"/>
        <w:rPr>
          <w:szCs w:val="24"/>
        </w:rPr>
      </w:pPr>
      <w:proofErr w:type="gramStart"/>
      <w:r>
        <w:rPr>
          <w:szCs w:val="24"/>
        </w:rPr>
        <w:t xml:space="preserve">DATED: </w:t>
      </w:r>
      <w:r w:rsidR="00514A45">
        <w:rPr>
          <w:szCs w:val="24"/>
        </w:rPr>
        <w:t xml:space="preserve"> </w:t>
      </w:r>
      <w:r w:rsidR="002A01E6">
        <w:rPr>
          <w:szCs w:val="24"/>
        </w:rPr>
        <w:t>November 19, 2012</w:t>
      </w:r>
      <w:r w:rsidR="004B3662">
        <w:rPr>
          <w:szCs w:val="24"/>
        </w:rPr>
        <w:t>.</w:t>
      </w:r>
      <w:proofErr w:type="gramEnd"/>
      <w:r>
        <w:rPr>
          <w:szCs w:val="24"/>
        </w:rPr>
        <w:tab/>
      </w:r>
      <w:r>
        <w:rPr>
          <w:szCs w:val="24"/>
        </w:rPr>
        <w:tab/>
        <w:t>Respectfully submitted,</w:t>
      </w:r>
    </w:p>
    <w:p w:rsidR="005F086B" w:rsidRDefault="005F086B" w:rsidP="005F086B">
      <w:pPr>
        <w:pStyle w:val="BodyText"/>
        <w:spacing w:line="480" w:lineRule="auto"/>
        <w:ind w:firstLine="0"/>
        <w:jc w:val="both"/>
        <w:rPr>
          <w:szCs w:val="24"/>
        </w:rPr>
      </w:pPr>
    </w:p>
    <w:p w:rsidR="002A01E6" w:rsidRPr="009B7E4B" w:rsidRDefault="005F086B" w:rsidP="002A01E6">
      <w:pPr>
        <w:jc w:val="right"/>
      </w:pPr>
      <w:r>
        <w:tab/>
      </w:r>
      <w:r>
        <w:tab/>
      </w:r>
      <w:r>
        <w:tab/>
      </w:r>
      <w:r>
        <w:tab/>
      </w:r>
      <w:r>
        <w:tab/>
      </w:r>
      <w:r>
        <w:tab/>
      </w:r>
      <w:r>
        <w:tab/>
      </w:r>
    </w:p>
    <w:p w:rsidR="002A01E6" w:rsidRPr="009B7E4B" w:rsidRDefault="002A01E6" w:rsidP="002A01E6">
      <w:pPr>
        <w:jc w:val="right"/>
      </w:pPr>
    </w:p>
    <w:p w:rsidR="002A01E6" w:rsidRDefault="002A01E6" w:rsidP="002A01E6">
      <w:pPr>
        <w:ind w:left="4320"/>
      </w:pPr>
      <w:r w:rsidRPr="009B7E4B">
        <w:t>___________________________</w:t>
      </w:r>
    </w:p>
    <w:p w:rsidR="002A01E6" w:rsidRDefault="002A01E6" w:rsidP="002A01E6">
      <w:pPr>
        <w:ind w:left="2880"/>
        <w:jc w:val="center"/>
      </w:pPr>
      <w:r>
        <w:t>Katherine A. McDowell</w:t>
      </w:r>
      <w:r>
        <w:tab/>
      </w:r>
    </w:p>
    <w:p w:rsidR="002A01E6" w:rsidRPr="00027145" w:rsidRDefault="002A01E6" w:rsidP="002A01E6">
      <w:pPr>
        <w:ind w:left="3600" w:firstLine="720"/>
        <w:jc w:val="both"/>
      </w:pPr>
      <w:r>
        <w:t xml:space="preserve">McDowell </w:t>
      </w:r>
      <w:r w:rsidRPr="00027145">
        <w:t xml:space="preserve">Rackner </w:t>
      </w:r>
      <w:r>
        <w:t xml:space="preserve">&amp; Gibson </w:t>
      </w:r>
      <w:r w:rsidRPr="00027145">
        <w:t>PC</w:t>
      </w:r>
    </w:p>
    <w:p w:rsidR="002A01E6" w:rsidRPr="00027145" w:rsidRDefault="002A01E6" w:rsidP="002A01E6">
      <w:pPr>
        <w:ind w:left="3600" w:firstLine="720"/>
        <w:jc w:val="both"/>
      </w:pPr>
      <w:r>
        <w:t>419 SW 11</w:t>
      </w:r>
      <w:r w:rsidRPr="00EE6A0D">
        <w:rPr>
          <w:vertAlign w:val="superscript"/>
        </w:rPr>
        <w:t>th</w:t>
      </w:r>
      <w:r w:rsidRPr="00027145">
        <w:t xml:space="preserve"> Ave., Suite </w:t>
      </w:r>
      <w:r>
        <w:t>400</w:t>
      </w:r>
    </w:p>
    <w:p w:rsidR="002A01E6" w:rsidRPr="00027145" w:rsidRDefault="002A01E6" w:rsidP="002A01E6">
      <w:pPr>
        <w:ind w:left="3600" w:firstLine="720"/>
        <w:jc w:val="both"/>
      </w:pPr>
      <w:r>
        <w:t>Portland, OR 97205</w:t>
      </w:r>
    </w:p>
    <w:p w:rsidR="002A01E6" w:rsidRPr="00027145" w:rsidRDefault="002A01E6" w:rsidP="002A01E6">
      <w:pPr>
        <w:ind w:left="3600" w:firstLine="720"/>
        <w:jc w:val="both"/>
      </w:pPr>
      <w:r w:rsidRPr="00027145">
        <w:t>Telephone:  (503) 595-3924</w:t>
      </w:r>
    </w:p>
    <w:p w:rsidR="002A01E6" w:rsidRDefault="002A01E6" w:rsidP="002A01E6">
      <w:pPr>
        <w:ind w:left="3600" w:firstLine="720"/>
        <w:jc w:val="both"/>
      </w:pPr>
      <w:r w:rsidRPr="00027145">
        <w:t xml:space="preserve">Email: </w:t>
      </w:r>
      <w:r w:rsidRPr="00123E21">
        <w:t>katherine@mcd-law.com</w:t>
      </w:r>
    </w:p>
    <w:p w:rsidR="002A01E6" w:rsidRDefault="002A01E6" w:rsidP="002A01E6">
      <w:pPr>
        <w:ind w:left="3600" w:firstLine="720"/>
        <w:jc w:val="both"/>
      </w:pPr>
    </w:p>
    <w:p w:rsidR="002A01E6" w:rsidRDefault="002A01E6" w:rsidP="002A01E6">
      <w:pPr>
        <w:ind w:left="3600" w:firstLine="720"/>
      </w:pPr>
      <w:r>
        <w:t>Sarah K. Wallace</w:t>
      </w:r>
    </w:p>
    <w:p w:rsidR="002A01E6" w:rsidRDefault="002A01E6" w:rsidP="002A01E6">
      <w:pPr>
        <w:ind w:left="3600" w:firstLine="720"/>
      </w:pPr>
      <w:r>
        <w:t>Senior Counsel</w:t>
      </w:r>
    </w:p>
    <w:p w:rsidR="002A01E6" w:rsidRDefault="002A01E6" w:rsidP="002A01E6">
      <w:pPr>
        <w:pStyle w:val="PleadingSignature"/>
        <w:spacing w:line="240" w:lineRule="auto"/>
        <w:ind w:left="4212" w:firstLine="108"/>
        <w:rPr>
          <w:szCs w:val="24"/>
        </w:rPr>
      </w:pPr>
      <w:r w:rsidRPr="008B2570">
        <w:rPr>
          <w:szCs w:val="24"/>
        </w:rPr>
        <w:t>PacifiCorp</w:t>
      </w:r>
    </w:p>
    <w:p w:rsidR="002A01E6" w:rsidRDefault="002A01E6" w:rsidP="002A01E6">
      <w:pPr>
        <w:ind w:left="4320"/>
      </w:pPr>
      <w:r>
        <w:t>825 NE Multnomah</w:t>
      </w:r>
      <w:r w:rsidR="00CE459B">
        <w:t xml:space="preserve">, Suite </w:t>
      </w:r>
      <w:r>
        <w:t>1800</w:t>
      </w:r>
      <w:r>
        <w:br/>
        <w:t>Portland, OR 97232</w:t>
      </w:r>
    </w:p>
    <w:p w:rsidR="002A01E6" w:rsidRDefault="002A01E6" w:rsidP="002A01E6">
      <w:pPr>
        <w:ind w:left="3600" w:firstLine="720"/>
      </w:pPr>
      <w:r>
        <w:t>Phone: (503) 813-5865</w:t>
      </w:r>
    </w:p>
    <w:p w:rsidR="002A01E6" w:rsidRDefault="002A01E6" w:rsidP="002A01E6">
      <w:pPr>
        <w:ind w:left="3600" w:firstLine="720"/>
      </w:pPr>
      <w:r>
        <w:t xml:space="preserve">Email: </w:t>
      </w:r>
      <w:r w:rsidRPr="002A01E6">
        <w:t>sarah.wallace@pacificorp.com</w:t>
      </w:r>
    </w:p>
    <w:p w:rsidR="002A01E6" w:rsidRDefault="002A01E6" w:rsidP="002A01E6">
      <w:pPr>
        <w:ind w:left="3600" w:firstLine="720"/>
        <w:jc w:val="right"/>
      </w:pPr>
    </w:p>
    <w:p w:rsidR="002A01E6" w:rsidRDefault="002A01E6" w:rsidP="002A01E6">
      <w:pPr>
        <w:ind w:left="3600" w:firstLine="720"/>
      </w:pPr>
      <w:r w:rsidRPr="005E34F2">
        <w:t xml:space="preserve">Attorneys for </w:t>
      </w:r>
      <w:r>
        <w:t>PacifiCorp</w:t>
      </w:r>
      <w:r>
        <w:tab/>
      </w:r>
    </w:p>
    <w:sectPr w:rsidR="002A01E6" w:rsidSect="008664A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AF2" w:rsidRDefault="00C77AF2">
      <w:r>
        <w:separator/>
      </w:r>
    </w:p>
  </w:endnote>
  <w:endnote w:type="continuationSeparator" w:id="0">
    <w:p w:rsidR="00C77AF2" w:rsidRDefault="00C7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E6" w:rsidRDefault="008E093E" w:rsidP="003C01DE">
    <w:pPr>
      <w:pStyle w:val="Footer"/>
      <w:framePr w:wrap="around" w:vAnchor="text" w:hAnchor="margin" w:xAlign="right" w:y="1"/>
      <w:rPr>
        <w:rStyle w:val="PageNumber"/>
      </w:rPr>
    </w:pPr>
    <w:r>
      <w:rPr>
        <w:rStyle w:val="PageNumber"/>
      </w:rPr>
      <w:fldChar w:fldCharType="begin"/>
    </w:r>
    <w:r w:rsidR="00097AE6">
      <w:rPr>
        <w:rStyle w:val="PageNumber"/>
      </w:rPr>
      <w:instrText xml:space="preserve">PAGE  </w:instrText>
    </w:r>
    <w:r>
      <w:rPr>
        <w:rStyle w:val="PageNumber"/>
      </w:rPr>
      <w:fldChar w:fldCharType="end"/>
    </w:r>
  </w:p>
  <w:p w:rsidR="00097AE6" w:rsidRDefault="00097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E6" w:rsidRDefault="008E093E" w:rsidP="003C01DE">
    <w:pPr>
      <w:pStyle w:val="Footer"/>
      <w:framePr w:wrap="around" w:vAnchor="text" w:hAnchor="margin" w:xAlign="right" w:y="1"/>
      <w:rPr>
        <w:rStyle w:val="PageNumber"/>
      </w:rPr>
    </w:pPr>
    <w:r>
      <w:rPr>
        <w:rStyle w:val="PageNumber"/>
      </w:rPr>
      <w:fldChar w:fldCharType="begin"/>
    </w:r>
    <w:r w:rsidR="00097AE6">
      <w:rPr>
        <w:rStyle w:val="PageNumber"/>
      </w:rPr>
      <w:instrText xml:space="preserve">PAGE  </w:instrText>
    </w:r>
    <w:r>
      <w:rPr>
        <w:rStyle w:val="PageNumber"/>
      </w:rPr>
      <w:fldChar w:fldCharType="separate"/>
    </w:r>
    <w:r w:rsidR="005944E4">
      <w:rPr>
        <w:rStyle w:val="PageNumber"/>
        <w:noProof/>
      </w:rPr>
      <w:t>1</w:t>
    </w:r>
    <w:r>
      <w:rPr>
        <w:rStyle w:val="PageNumber"/>
      </w:rPr>
      <w:fldChar w:fldCharType="end"/>
    </w:r>
  </w:p>
  <w:p w:rsidR="00097AE6" w:rsidRPr="00514A45" w:rsidRDefault="00097AE6">
    <w:pPr>
      <w:pStyle w:val="Footer"/>
      <w:ind w:right="360"/>
    </w:pPr>
    <w:r w:rsidRPr="00514A45">
      <w:t>Petition for Accounting Order re</w:t>
    </w:r>
    <w:r w:rsidR="000811E5">
      <w:t>:</w:t>
    </w:r>
    <w:r w:rsidRPr="00514A45">
      <w:t xml:space="preserve"> REC </w:t>
    </w:r>
    <w:r w:rsidR="00CE459B">
      <w:t xml:space="preserve">Revenue Rate </w:t>
    </w:r>
    <w:r w:rsidRPr="00514A45">
      <w:t>Credits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F5" w:rsidRDefault="007D1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AF2" w:rsidRDefault="00C77AF2">
      <w:r>
        <w:separator/>
      </w:r>
    </w:p>
  </w:footnote>
  <w:footnote w:type="continuationSeparator" w:id="0">
    <w:p w:rsidR="00C77AF2" w:rsidRDefault="00C77AF2">
      <w:r>
        <w:continuationSeparator/>
      </w:r>
    </w:p>
  </w:footnote>
  <w:footnote w:id="1">
    <w:p w:rsidR="00097AE6" w:rsidRPr="003D261B" w:rsidRDefault="00097AE6">
      <w:pPr>
        <w:pStyle w:val="FootnoteText"/>
        <w:rPr>
          <w:i/>
        </w:rPr>
      </w:pPr>
      <w:r>
        <w:rPr>
          <w:rStyle w:val="FootnoteReference"/>
        </w:rPr>
        <w:footnoteRef/>
      </w:r>
      <w:r>
        <w:t xml:space="preserve"> </w:t>
      </w:r>
      <w:r>
        <w:rPr>
          <w:i/>
        </w:rPr>
        <w:t xml:space="preserve">See Wash. Utils. </w:t>
      </w:r>
      <w:proofErr w:type="gramStart"/>
      <w:r>
        <w:rPr>
          <w:i/>
        </w:rPr>
        <w:t>&amp; Transp. Comm’n v. PacifiCorp</w:t>
      </w:r>
      <w:r>
        <w:t xml:space="preserve">, Docket UE-100749, Order 06 ¶ 204, 377 (Mar. 25, 2011) </w:t>
      </w:r>
      <w:r w:rsidR="00A8469C">
        <w:t>(Order 06)</w:t>
      </w:r>
      <w:r>
        <w:t>.</w:t>
      </w:r>
      <w:proofErr w:type="gramEnd"/>
    </w:p>
  </w:footnote>
  <w:footnote w:id="2">
    <w:p w:rsidR="00097AE6" w:rsidRDefault="00097AE6">
      <w:pPr>
        <w:pStyle w:val="FootnoteText"/>
      </w:pPr>
      <w:r>
        <w:rPr>
          <w:rStyle w:val="FootnoteReference"/>
        </w:rPr>
        <w:footnoteRef/>
      </w:r>
      <w:r>
        <w:t xml:space="preserve"> Order 06</w:t>
      </w:r>
      <w:r w:rsidR="000811E5">
        <w:t>,</w:t>
      </w:r>
      <w:r>
        <w:t xml:space="preserve"> ¶ 204.</w:t>
      </w:r>
    </w:p>
  </w:footnote>
  <w:footnote w:id="3">
    <w:p w:rsidR="00096150" w:rsidRPr="00040E60" w:rsidRDefault="00096150" w:rsidP="00096150">
      <w:pPr>
        <w:pStyle w:val="FootnoteText"/>
      </w:pPr>
      <w:r w:rsidRPr="00040E60">
        <w:rPr>
          <w:rStyle w:val="FootnoteReference"/>
        </w:rPr>
        <w:footnoteRef/>
      </w:r>
      <w:r w:rsidRPr="00040E60">
        <w:t xml:space="preserve"> </w:t>
      </w:r>
      <w:r w:rsidR="00A0693E" w:rsidRPr="00487E7E">
        <w:rPr>
          <w:i/>
        </w:rPr>
        <w:t xml:space="preserve"> Id</w:t>
      </w:r>
      <w:r w:rsidR="00A0693E">
        <w:t>.</w:t>
      </w:r>
      <w:r w:rsidRPr="00040E60">
        <w:t xml:space="preserve"> ¶ 205.  </w:t>
      </w:r>
    </w:p>
  </w:footnote>
  <w:footnote w:id="4">
    <w:p w:rsidR="00097AE6" w:rsidRPr="00A37DDF" w:rsidRDefault="00097AE6">
      <w:pPr>
        <w:pStyle w:val="FootnoteText"/>
        <w:rPr>
          <w:i/>
        </w:rPr>
      </w:pPr>
      <w:r>
        <w:rPr>
          <w:rStyle w:val="FootnoteReference"/>
        </w:rPr>
        <w:footnoteRef/>
      </w:r>
      <w:r>
        <w:t xml:space="preserve"> </w:t>
      </w:r>
      <w:r>
        <w:rPr>
          <w:i/>
        </w:rPr>
        <w:t>See</w:t>
      </w:r>
      <w:r w:rsidRPr="00D627E7">
        <w:rPr>
          <w:i/>
        </w:rPr>
        <w:t xml:space="preserve"> id</w:t>
      </w:r>
      <w:r>
        <w:t xml:space="preserve">. </w:t>
      </w:r>
      <w:r>
        <w:rPr>
          <w:i/>
        </w:rPr>
        <w:t xml:space="preserve">¶ </w:t>
      </w:r>
      <w:r w:rsidRPr="00471D91">
        <w:t>204.</w:t>
      </w:r>
    </w:p>
  </w:footnote>
  <w:footnote w:id="5">
    <w:p w:rsidR="00097AE6" w:rsidRDefault="00097AE6" w:rsidP="00D627E7">
      <w:pPr>
        <w:pStyle w:val="FootnoteText"/>
      </w:pPr>
      <w:r>
        <w:rPr>
          <w:rStyle w:val="FootnoteReference"/>
        </w:rPr>
        <w:footnoteRef/>
      </w:r>
      <w:r>
        <w:t xml:space="preserve"> The approximate per-month credit has been $0.4 million</w:t>
      </w:r>
      <w:r w:rsidR="000811E5">
        <w:t>, which</w:t>
      </w:r>
      <w:r>
        <w:t xml:space="preserve"> has been credited for the past 18 months under Schedule 95.</w:t>
      </w:r>
    </w:p>
  </w:footnote>
  <w:footnote w:id="6">
    <w:p w:rsidR="009E58C8" w:rsidRPr="00A37DDF" w:rsidRDefault="009E58C8" w:rsidP="009E58C8">
      <w:pPr>
        <w:pStyle w:val="FootnoteText"/>
      </w:pPr>
      <w:r>
        <w:rPr>
          <w:rStyle w:val="FootnoteReference"/>
        </w:rPr>
        <w:footnoteRef/>
      </w:r>
      <w:r>
        <w:t xml:space="preserve"> </w:t>
      </w:r>
      <w:proofErr w:type="gramStart"/>
      <w:r>
        <w:rPr>
          <w:i/>
        </w:rPr>
        <w:t xml:space="preserve">Id. </w:t>
      </w:r>
      <w:r>
        <w:t>¶ 207.</w:t>
      </w:r>
      <w:proofErr w:type="gramEnd"/>
    </w:p>
  </w:footnote>
  <w:footnote w:id="7">
    <w:p w:rsidR="00097AE6" w:rsidRDefault="00097AE6">
      <w:pPr>
        <w:pStyle w:val="FootnoteText"/>
      </w:pPr>
      <w:r>
        <w:rPr>
          <w:rStyle w:val="FootnoteReference"/>
        </w:rPr>
        <w:footnoteRef/>
      </w:r>
      <w:r>
        <w:t xml:space="preserve"> </w:t>
      </w:r>
      <w:proofErr w:type="gramStart"/>
      <w:r>
        <w:rPr>
          <w:i/>
        </w:rPr>
        <w:t>Wash. Utils.</w:t>
      </w:r>
      <w:proofErr w:type="gramEnd"/>
      <w:r>
        <w:rPr>
          <w:i/>
        </w:rPr>
        <w:t xml:space="preserve"> </w:t>
      </w:r>
      <w:proofErr w:type="gramStart"/>
      <w:r>
        <w:rPr>
          <w:i/>
        </w:rPr>
        <w:t>&amp; Transp. Comm’n v. PacifiCorp</w:t>
      </w:r>
      <w:r>
        <w:t>, Docket UE-100749, O</w:t>
      </w:r>
      <w:r w:rsidR="00A8469C">
        <w:t>rder 10 ¶ 74 (August 23, 2012) (O</w:t>
      </w:r>
      <w:r>
        <w:t>rder 10</w:t>
      </w:r>
      <w:r w:rsidR="00A8469C">
        <w:t>)</w:t>
      </w:r>
      <w:r>
        <w:t>.</w:t>
      </w:r>
      <w:proofErr w:type="gramEnd"/>
    </w:p>
  </w:footnote>
  <w:footnote w:id="8">
    <w:p w:rsidR="00097AE6" w:rsidRDefault="00097AE6">
      <w:pPr>
        <w:pStyle w:val="FootnoteText"/>
      </w:pPr>
      <w:r>
        <w:rPr>
          <w:rStyle w:val="FootnoteReference"/>
        </w:rPr>
        <w:footnoteRef/>
      </w:r>
      <w:r>
        <w:t xml:space="preserve"> Order 10 ¶ 75.</w:t>
      </w:r>
    </w:p>
  </w:footnote>
  <w:footnote w:id="9">
    <w:p w:rsidR="00097AE6" w:rsidRDefault="00097AE6" w:rsidP="008C29FB">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Docket UE-100749, Petition for Stay ¶ 5 (Sept. 4, 2012).</w:t>
      </w:r>
    </w:p>
  </w:footnote>
  <w:footnote w:id="10">
    <w:p w:rsidR="007C48B7" w:rsidRDefault="007C48B7">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Docket UE-100749, Notice Temporarily Suspending Compliance Deadlines (Sept. 17, 2012).</w:t>
      </w:r>
    </w:p>
  </w:footnote>
  <w:footnote w:id="11">
    <w:p w:rsidR="00570058" w:rsidRDefault="00570058" w:rsidP="00570058">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Docket UE-100749, PacifiCorp’s Reply to Answers to Petition for Reconsideration, Petition for Stay, and Motion to Reopen Record ¶ 29 (Oct. 10, 2012).</w:t>
      </w:r>
    </w:p>
  </w:footnote>
  <w:footnote w:id="12">
    <w:p w:rsidR="00570058" w:rsidRPr="00AF410A" w:rsidRDefault="00570058" w:rsidP="00570058">
      <w:pPr>
        <w:pStyle w:val="FootnoteText"/>
        <w:rPr>
          <w:i/>
        </w:rPr>
      </w:pPr>
      <w:r>
        <w:rPr>
          <w:rStyle w:val="FootnoteReference"/>
        </w:rPr>
        <w:footnoteRef/>
      </w:r>
      <w:r>
        <w:t xml:space="preserve"> </w:t>
      </w:r>
      <w:r>
        <w:rPr>
          <w:i/>
        </w:rPr>
        <w:t>Id.</w:t>
      </w:r>
    </w:p>
  </w:footnote>
  <w:footnote w:id="13">
    <w:p w:rsidR="00097AE6" w:rsidRDefault="00097AE6">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Docket UE-100749, Compliance Filing and Advice 12-07 (Oct. 31, 2012).</w:t>
      </w:r>
    </w:p>
  </w:footnote>
  <w:footnote w:id="14">
    <w:p w:rsidR="00097AE6" w:rsidRPr="00AF410A" w:rsidRDefault="00097AE6">
      <w:pPr>
        <w:pStyle w:val="FootnoteText"/>
      </w:pPr>
      <w:r>
        <w:rPr>
          <w:rStyle w:val="FootnoteReference"/>
        </w:rPr>
        <w:footnoteRef/>
      </w:r>
      <w:r>
        <w:t xml:space="preserve"> </w:t>
      </w:r>
      <w:proofErr w:type="gramStart"/>
      <w:r>
        <w:rPr>
          <w:i/>
        </w:rPr>
        <w:t xml:space="preserve">Id. </w:t>
      </w:r>
      <w:r>
        <w:t xml:space="preserve">at </w:t>
      </w:r>
      <w:r w:rsidR="00CE459B">
        <w:t>4</w:t>
      </w:r>
      <w:r>
        <w:t>.</w:t>
      </w:r>
      <w:proofErr w:type="gramEnd"/>
    </w:p>
  </w:footnote>
  <w:footnote w:id="15">
    <w:p w:rsidR="00097AE6" w:rsidRPr="00FE1072" w:rsidRDefault="00097AE6">
      <w:pPr>
        <w:pStyle w:val="FootnoteText"/>
        <w:rPr>
          <w:i/>
        </w:rPr>
      </w:pPr>
      <w:r>
        <w:rPr>
          <w:rStyle w:val="FootnoteReference"/>
        </w:rPr>
        <w:footnoteRef/>
      </w:r>
      <w:r>
        <w:t xml:space="preserve"> </w:t>
      </w:r>
      <w:r>
        <w:rPr>
          <w:i/>
        </w:rPr>
        <w:t>Id.</w:t>
      </w:r>
    </w:p>
  </w:footnote>
  <w:footnote w:id="16">
    <w:p w:rsidR="00097AE6" w:rsidRPr="00781765" w:rsidRDefault="00097AE6">
      <w:pPr>
        <w:pStyle w:val="FootnoteText"/>
        <w:rPr>
          <w:i/>
        </w:rPr>
      </w:pPr>
      <w:r>
        <w:rPr>
          <w:rStyle w:val="FootnoteReference"/>
        </w:rPr>
        <w:footnoteRef/>
      </w:r>
      <w:r>
        <w:t xml:space="preserve"> </w:t>
      </w:r>
      <w:r>
        <w:rPr>
          <w:i/>
        </w:rPr>
        <w:t>Id.</w:t>
      </w:r>
    </w:p>
  </w:footnote>
  <w:footnote w:id="17">
    <w:p w:rsidR="00097AE6" w:rsidRDefault="00097AE6">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xml:space="preserve">, Docket UE-100749, </w:t>
      </w:r>
      <w:r w:rsidRPr="00910D09">
        <w:t>Notice Clarifying Temporary Suspension of Compliance with Order 10</w:t>
      </w:r>
      <w:r>
        <w:t xml:space="preserve"> (Nov. 16, 2012).</w:t>
      </w:r>
    </w:p>
  </w:footnote>
  <w:footnote w:id="18">
    <w:p w:rsidR="008302D5" w:rsidRPr="008302D5" w:rsidRDefault="008302D5">
      <w:pPr>
        <w:pStyle w:val="FootnoteText"/>
        <w:rPr>
          <w:i/>
        </w:rPr>
      </w:pPr>
      <w:r>
        <w:rPr>
          <w:rStyle w:val="FootnoteReference"/>
        </w:rPr>
        <w:footnoteRef/>
      </w:r>
      <w:r>
        <w:t xml:space="preserve"> </w:t>
      </w:r>
      <w:r>
        <w:rPr>
          <w:i/>
        </w:rPr>
        <w:t>Id.</w:t>
      </w:r>
    </w:p>
  </w:footnote>
  <w:footnote w:id="19">
    <w:p w:rsidR="00B72820" w:rsidRPr="00B72820" w:rsidRDefault="00B72820">
      <w:pPr>
        <w:pStyle w:val="FootnoteText"/>
        <w:rPr>
          <w:i/>
        </w:rPr>
      </w:pPr>
      <w:r>
        <w:rPr>
          <w:rStyle w:val="FootnoteReference"/>
        </w:rPr>
        <w:footnoteRef/>
      </w:r>
      <w:r>
        <w:t xml:space="preserve"> </w:t>
      </w:r>
      <w:r>
        <w:rPr>
          <w:i/>
        </w:rPr>
        <w:t>Id.</w:t>
      </w:r>
    </w:p>
  </w:footnote>
  <w:footnote w:id="20">
    <w:p w:rsidR="00126359" w:rsidRPr="00AF410A" w:rsidRDefault="00126359" w:rsidP="00126359">
      <w:pPr>
        <w:pStyle w:val="FootnoteText"/>
      </w:pPr>
      <w:r>
        <w:rPr>
          <w:rStyle w:val="FootnoteReference"/>
        </w:rPr>
        <w:footnoteRef/>
      </w:r>
      <w:r>
        <w:t xml:space="preserve"> </w:t>
      </w:r>
      <w:proofErr w:type="gramStart"/>
      <w:r>
        <w:rPr>
          <w:i/>
        </w:rPr>
        <w:t>Wash. Utils.</w:t>
      </w:r>
      <w:proofErr w:type="gramEnd"/>
      <w:r>
        <w:rPr>
          <w:i/>
        </w:rPr>
        <w:t xml:space="preserve"> &amp; Transp. Comm’n v. PacifiCorp</w:t>
      </w:r>
      <w:r>
        <w:t>, Docket UE-100749, Compliance Filing and Advice 12-07 at 2 (Oct. 31,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F5" w:rsidRDefault="007D1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E6" w:rsidRPr="002B5766" w:rsidRDefault="00097AE6">
    <w:pPr>
      <w:pStyle w:val="Header"/>
    </w:pPr>
    <w:r w:rsidRPr="002B5766">
      <w:tab/>
    </w:r>
    <w:r w:rsidRPr="002B576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F5" w:rsidRDefault="007D1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D26B6"/>
    <w:multiLevelType w:val="hybridMultilevel"/>
    <w:tmpl w:val="4672062C"/>
    <w:lvl w:ilvl="0" w:tplc="3CF02E10">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464D36A9"/>
    <w:multiLevelType w:val="multilevel"/>
    <w:tmpl w:val="63F29C5E"/>
    <w:name w:val="Legal Numbering (2 Levels)"/>
    <w:lvl w:ilvl="0">
      <w:start w:val="1"/>
      <w:numFmt w:val="upperRoman"/>
      <w:pStyle w:val="Heading1"/>
      <w:suff w:val="nothing"/>
      <w:lvlText w:val="Article %1"/>
      <w:lvlJc w:val="left"/>
      <w:pPr>
        <w:ind w:left="0" w:firstLine="0"/>
      </w:pPr>
      <w:rPr>
        <w:rFonts w:ascii="Times New Roman Bold" w:hAnsi="Times New Roman Bold" w:hint="default"/>
        <w:caps/>
        <w:smallCaps w:val="0"/>
        <w:vanish w:val="0"/>
        <w:color w:val="000000"/>
        <w:u w:val="none"/>
      </w:rPr>
    </w:lvl>
    <w:lvl w:ilvl="1">
      <w:start w:val="1"/>
      <w:numFmt w:val="decimal"/>
      <w:pStyle w:val="Heading2"/>
      <w:isLgl/>
      <w:lvlText w:val="%1.%2"/>
      <w:lvlJc w:val="left"/>
      <w:pPr>
        <w:tabs>
          <w:tab w:val="num" w:pos="1440"/>
        </w:tabs>
        <w:ind w:left="0" w:firstLine="720"/>
      </w:pPr>
      <w:rPr>
        <w:rFonts w:hint="default"/>
        <w:i w:val="0"/>
        <w:vanish w:val="0"/>
        <w:color w:val="000000"/>
        <w:u w:val="none"/>
      </w:rPr>
    </w:lvl>
    <w:lvl w:ilvl="2">
      <w:start w:val="1"/>
      <w:numFmt w:val="lowerLetter"/>
      <w:pStyle w:val="Heading3"/>
      <w:lvlText w:val="(%3)"/>
      <w:lvlJc w:val="left"/>
      <w:pPr>
        <w:tabs>
          <w:tab w:val="num" w:pos="2160"/>
        </w:tabs>
        <w:ind w:left="0" w:firstLine="1440"/>
      </w:pPr>
      <w:rPr>
        <w:rFonts w:hint="default"/>
        <w:b w:val="0"/>
        <w:i w:val="0"/>
        <w:vanish w:val="0"/>
        <w:color w:val="000000"/>
        <w:u w:val="none"/>
      </w:rPr>
    </w:lvl>
    <w:lvl w:ilvl="3">
      <w:start w:val="1"/>
      <w:numFmt w:val="lowerRoman"/>
      <w:pStyle w:val="Heading4"/>
      <w:lvlText w:val="(%4)"/>
      <w:lvlJc w:val="left"/>
      <w:pPr>
        <w:tabs>
          <w:tab w:val="num" w:pos="2880"/>
        </w:tabs>
        <w:ind w:left="0" w:firstLine="2160"/>
      </w:pPr>
      <w:rPr>
        <w:rFonts w:hint="default"/>
        <w:b w:val="0"/>
        <w:i w:val="0"/>
        <w:vanish w:val="0"/>
        <w:color w:val="000000"/>
        <w:u w:val="none"/>
      </w:rPr>
    </w:lvl>
    <w:lvl w:ilvl="4">
      <w:start w:val="1"/>
      <w:numFmt w:val="decimal"/>
      <w:pStyle w:val="Heading5"/>
      <w:lvlText w:val="(%5)"/>
      <w:lvlJc w:val="left"/>
      <w:pPr>
        <w:tabs>
          <w:tab w:val="num" w:pos="3600"/>
        </w:tabs>
        <w:ind w:left="0" w:firstLine="2880"/>
      </w:pPr>
      <w:rPr>
        <w:rFonts w:hint="default"/>
        <w:vanish w:val="0"/>
        <w:color w:val="000000"/>
        <w:u w:val="none"/>
      </w:rPr>
    </w:lvl>
    <w:lvl w:ilvl="5">
      <w:start w:val="1"/>
      <w:numFmt w:val="lowerLetter"/>
      <w:pStyle w:val="Heading6"/>
      <w:lvlText w:val="%6."/>
      <w:lvlJc w:val="left"/>
      <w:pPr>
        <w:tabs>
          <w:tab w:val="num" w:pos="4320"/>
        </w:tabs>
        <w:ind w:left="0" w:firstLine="3600"/>
      </w:pPr>
      <w:rPr>
        <w:rFonts w:hint="default"/>
        <w:vanish w:val="0"/>
        <w:color w:val="000000"/>
        <w:u w:val="none"/>
      </w:rPr>
    </w:lvl>
    <w:lvl w:ilvl="6">
      <w:start w:val="1"/>
      <w:numFmt w:val="lowerRoman"/>
      <w:pStyle w:val="Heading7"/>
      <w:lvlText w:val="%7."/>
      <w:lvlJc w:val="left"/>
      <w:pPr>
        <w:tabs>
          <w:tab w:val="num" w:pos="5040"/>
        </w:tabs>
        <w:ind w:left="0" w:firstLine="4320"/>
      </w:pPr>
      <w:rPr>
        <w:rFonts w:hint="default"/>
        <w:vanish w:val="0"/>
        <w:color w:val="000000"/>
        <w:u w:val="none"/>
      </w:rPr>
    </w:lvl>
    <w:lvl w:ilvl="7">
      <w:start w:val="1"/>
      <w:numFmt w:val="decimal"/>
      <w:pStyle w:val="Heading8"/>
      <w:lvlText w:val="%8)"/>
      <w:lvlJc w:val="left"/>
      <w:pPr>
        <w:tabs>
          <w:tab w:val="num" w:pos="5760"/>
        </w:tabs>
        <w:ind w:left="0" w:firstLine="5040"/>
      </w:pPr>
      <w:rPr>
        <w:rFonts w:hint="default"/>
        <w:vanish w:val="0"/>
        <w:color w:val="000000"/>
        <w:u w:val="none"/>
      </w:rPr>
    </w:lvl>
    <w:lvl w:ilvl="8">
      <w:start w:val="1"/>
      <w:numFmt w:val="lowerLetter"/>
      <w:pStyle w:val="Heading9"/>
      <w:lvlText w:val="%9)"/>
      <w:lvlJc w:val="left"/>
      <w:pPr>
        <w:tabs>
          <w:tab w:val="num" w:pos="6480"/>
        </w:tabs>
        <w:ind w:left="0" w:firstLine="5760"/>
      </w:pPr>
      <w:rPr>
        <w:rFonts w:hint="default"/>
        <w:vanish w:val="0"/>
        <w:color w:val="000000"/>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7E4C49"/>
    <w:rsid w:val="000431D0"/>
    <w:rsid w:val="0004367A"/>
    <w:rsid w:val="00073690"/>
    <w:rsid w:val="00076280"/>
    <w:rsid w:val="000811E5"/>
    <w:rsid w:val="00090660"/>
    <w:rsid w:val="00096150"/>
    <w:rsid w:val="00097AE6"/>
    <w:rsid w:val="000B673B"/>
    <w:rsid w:val="00102A68"/>
    <w:rsid w:val="00105F0E"/>
    <w:rsid w:val="001242FD"/>
    <w:rsid w:val="00126359"/>
    <w:rsid w:val="0013566B"/>
    <w:rsid w:val="0016039E"/>
    <w:rsid w:val="001A2966"/>
    <w:rsid w:val="001A7FC9"/>
    <w:rsid w:val="001D0F24"/>
    <w:rsid w:val="001D4177"/>
    <w:rsid w:val="001F0A0C"/>
    <w:rsid w:val="0020474E"/>
    <w:rsid w:val="002072ED"/>
    <w:rsid w:val="002105DB"/>
    <w:rsid w:val="00257022"/>
    <w:rsid w:val="00286C07"/>
    <w:rsid w:val="002A01E6"/>
    <w:rsid w:val="002C2FA8"/>
    <w:rsid w:val="0030482B"/>
    <w:rsid w:val="0032101D"/>
    <w:rsid w:val="003C01DE"/>
    <w:rsid w:val="003D261B"/>
    <w:rsid w:val="003F43D8"/>
    <w:rsid w:val="00406ECD"/>
    <w:rsid w:val="00413C31"/>
    <w:rsid w:val="0043618F"/>
    <w:rsid w:val="00442EEE"/>
    <w:rsid w:val="004476B8"/>
    <w:rsid w:val="00471D91"/>
    <w:rsid w:val="00483300"/>
    <w:rsid w:val="00487E7E"/>
    <w:rsid w:val="00495DA4"/>
    <w:rsid w:val="004A4184"/>
    <w:rsid w:val="004B0F82"/>
    <w:rsid w:val="004B3662"/>
    <w:rsid w:val="004C04FA"/>
    <w:rsid w:val="004F7EF9"/>
    <w:rsid w:val="00514A45"/>
    <w:rsid w:val="00535594"/>
    <w:rsid w:val="00562C21"/>
    <w:rsid w:val="00570058"/>
    <w:rsid w:val="00577B9C"/>
    <w:rsid w:val="005944E4"/>
    <w:rsid w:val="005B185D"/>
    <w:rsid w:val="005C769A"/>
    <w:rsid w:val="005E673B"/>
    <w:rsid w:val="005F086B"/>
    <w:rsid w:val="00647067"/>
    <w:rsid w:val="00660E7F"/>
    <w:rsid w:val="00694251"/>
    <w:rsid w:val="00697290"/>
    <w:rsid w:val="00730D51"/>
    <w:rsid w:val="00750FC3"/>
    <w:rsid w:val="00772BD0"/>
    <w:rsid w:val="00781765"/>
    <w:rsid w:val="007C0002"/>
    <w:rsid w:val="007C00C8"/>
    <w:rsid w:val="007C0142"/>
    <w:rsid w:val="007C3C5C"/>
    <w:rsid w:val="007C48B7"/>
    <w:rsid w:val="007D12F5"/>
    <w:rsid w:val="007D132F"/>
    <w:rsid w:val="007E4C49"/>
    <w:rsid w:val="007E7825"/>
    <w:rsid w:val="00803D1C"/>
    <w:rsid w:val="00822C25"/>
    <w:rsid w:val="008302D5"/>
    <w:rsid w:val="008620B8"/>
    <w:rsid w:val="008664A7"/>
    <w:rsid w:val="008B7B43"/>
    <w:rsid w:val="008C29FB"/>
    <w:rsid w:val="008E093E"/>
    <w:rsid w:val="00910D09"/>
    <w:rsid w:val="00911E29"/>
    <w:rsid w:val="00935B9C"/>
    <w:rsid w:val="00947E20"/>
    <w:rsid w:val="009C1FA4"/>
    <w:rsid w:val="009C6F21"/>
    <w:rsid w:val="009E477D"/>
    <w:rsid w:val="009E58C8"/>
    <w:rsid w:val="009F3BE3"/>
    <w:rsid w:val="00A0693E"/>
    <w:rsid w:val="00A37DDF"/>
    <w:rsid w:val="00A81FA0"/>
    <w:rsid w:val="00A8469C"/>
    <w:rsid w:val="00A925B6"/>
    <w:rsid w:val="00AF410A"/>
    <w:rsid w:val="00B02061"/>
    <w:rsid w:val="00B352DF"/>
    <w:rsid w:val="00B46B63"/>
    <w:rsid w:val="00B65E53"/>
    <w:rsid w:val="00B72820"/>
    <w:rsid w:val="00B7780C"/>
    <w:rsid w:val="00B77E81"/>
    <w:rsid w:val="00B84DC7"/>
    <w:rsid w:val="00B85BD3"/>
    <w:rsid w:val="00B91B06"/>
    <w:rsid w:val="00B92FCE"/>
    <w:rsid w:val="00BA43D6"/>
    <w:rsid w:val="00BB3B64"/>
    <w:rsid w:val="00BB73EC"/>
    <w:rsid w:val="00C52358"/>
    <w:rsid w:val="00C77AF2"/>
    <w:rsid w:val="00C87115"/>
    <w:rsid w:val="00CB0FCE"/>
    <w:rsid w:val="00CD2060"/>
    <w:rsid w:val="00CE2BF4"/>
    <w:rsid w:val="00CE459B"/>
    <w:rsid w:val="00D311E7"/>
    <w:rsid w:val="00D3348E"/>
    <w:rsid w:val="00D4033A"/>
    <w:rsid w:val="00D627E7"/>
    <w:rsid w:val="00D73BC5"/>
    <w:rsid w:val="00D85837"/>
    <w:rsid w:val="00DC25D1"/>
    <w:rsid w:val="00DE2626"/>
    <w:rsid w:val="00DE6653"/>
    <w:rsid w:val="00DF2C33"/>
    <w:rsid w:val="00E1105E"/>
    <w:rsid w:val="00E46773"/>
    <w:rsid w:val="00E6241B"/>
    <w:rsid w:val="00E72278"/>
    <w:rsid w:val="00E90652"/>
    <w:rsid w:val="00EA465E"/>
    <w:rsid w:val="00F15A7C"/>
    <w:rsid w:val="00F40FCA"/>
    <w:rsid w:val="00F74E78"/>
    <w:rsid w:val="00F96BE5"/>
    <w:rsid w:val="00FD2787"/>
    <w:rsid w:val="00FE1072"/>
    <w:rsid w:val="00FE1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Normal"/>
    <w:qFormat/>
    <w:rsid w:val="005F086B"/>
    <w:pPr>
      <w:keepLines/>
      <w:numPr>
        <w:numId w:val="1"/>
      </w:numPr>
      <w:spacing w:after="240"/>
      <w:jc w:val="center"/>
      <w:outlineLvl w:val="0"/>
    </w:pPr>
    <w:rPr>
      <w:rFonts w:ascii="Times New Roman Bold" w:hAnsi="Times New Roman Bold"/>
      <w:b/>
      <w:bCs/>
      <w:caps/>
      <w:kern w:val="28"/>
    </w:rPr>
  </w:style>
  <w:style w:type="paragraph" w:styleId="Heading2">
    <w:name w:val="heading 2"/>
    <w:basedOn w:val="Normal"/>
    <w:qFormat/>
    <w:rsid w:val="005F086B"/>
    <w:pPr>
      <w:numPr>
        <w:ilvl w:val="1"/>
        <w:numId w:val="1"/>
      </w:numPr>
      <w:tabs>
        <w:tab w:val="clear" w:pos="1440"/>
      </w:tabs>
      <w:spacing w:after="240"/>
      <w:jc w:val="both"/>
      <w:outlineLvl w:val="1"/>
    </w:pPr>
    <w:rPr>
      <w:b/>
      <w:bCs/>
    </w:rPr>
  </w:style>
  <w:style w:type="paragraph" w:styleId="Heading3">
    <w:name w:val="heading 3"/>
    <w:basedOn w:val="Normal"/>
    <w:qFormat/>
    <w:rsid w:val="005F086B"/>
    <w:pPr>
      <w:numPr>
        <w:ilvl w:val="2"/>
        <w:numId w:val="1"/>
      </w:numPr>
      <w:tabs>
        <w:tab w:val="clear" w:pos="2160"/>
      </w:tabs>
      <w:spacing w:after="240"/>
      <w:jc w:val="both"/>
      <w:outlineLvl w:val="2"/>
    </w:pPr>
  </w:style>
  <w:style w:type="paragraph" w:styleId="Heading4">
    <w:name w:val="heading 4"/>
    <w:basedOn w:val="Normal"/>
    <w:qFormat/>
    <w:rsid w:val="005F086B"/>
    <w:pPr>
      <w:numPr>
        <w:ilvl w:val="3"/>
        <w:numId w:val="1"/>
      </w:numPr>
      <w:tabs>
        <w:tab w:val="clear" w:pos="2880"/>
      </w:tabs>
      <w:spacing w:after="240"/>
      <w:jc w:val="both"/>
      <w:outlineLvl w:val="3"/>
    </w:pPr>
  </w:style>
  <w:style w:type="paragraph" w:styleId="Heading5">
    <w:name w:val="heading 5"/>
    <w:basedOn w:val="Normal"/>
    <w:qFormat/>
    <w:rsid w:val="005F086B"/>
    <w:pPr>
      <w:numPr>
        <w:ilvl w:val="4"/>
        <w:numId w:val="1"/>
      </w:numPr>
      <w:tabs>
        <w:tab w:val="clear" w:pos="3600"/>
      </w:tabs>
      <w:spacing w:after="240"/>
      <w:outlineLvl w:val="4"/>
    </w:pPr>
  </w:style>
  <w:style w:type="paragraph" w:styleId="Heading6">
    <w:name w:val="heading 6"/>
    <w:basedOn w:val="Normal"/>
    <w:qFormat/>
    <w:rsid w:val="005F086B"/>
    <w:pPr>
      <w:numPr>
        <w:ilvl w:val="5"/>
        <w:numId w:val="1"/>
      </w:numPr>
      <w:tabs>
        <w:tab w:val="clear" w:pos="4320"/>
      </w:tabs>
      <w:spacing w:after="240"/>
      <w:outlineLvl w:val="5"/>
    </w:pPr>
  </w:style>
  <w:style w:type="paragraph" w:styleId="Heading7">
    <w:name w:val="heading 7"/>
    <w:basedOn w:val="Normal"/>
    <w:qFormat/>
    <w:rsid w:val="005F086B"/>
    <w:pPr>
      <w:numPr>
        <w:ilvl w:val="6"/>
        <w:numId w:val="1"/>
      </w:numPr>
      <w:tabs>
        <w:tab w:val="clear" w:pos="5040"/>
      </w:tabs>
      <w:spacing w:after="240"/>
      <w:outlineLvl w:val="6"/>
    </w:pPr>
  </w:style>
  <w:style w:type="paragraph" w:styleId="Heading8">
    <w:name w:val="heading 8"/>
    <w:basedOn w:val="Normal"/>
    <w:qFormat/>
    <w:rsid w:val="005F086B"/>
    <w:pPr>
      <w:numPr>
        <w:ilvl w:val="7"/>
        <w:numId w:val="1"/>
      </w:numPr>
      <w:tabs>
        <w:tab w:val="clear" w:pos="5760"/>
      </w:tabs>
      <w:spacing w:after="240"/>
      <w:outlineLvl w:val="7"/>
    </w:pPr>
  </w:style>
  <w:style w:type="paragraph" w:styleId="Heading9">
    <w:name w:val="heading 9"/>
    <w:basedOn w:val="Normal"/>
    <w:qFormat/>
    <w:rsid w:val="005F086B"/>
    <w:pPr>
      <w:numPr>
        <w:ilvl w:val="8"/>
        <w:numId w:val="1"/>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99"/>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unhideWhenUsed/>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5E673B"/>
  </w:style>
  <w:style w:type="character" w:styleId="FootnoteReference">
    <w:name w:val="footnote reference"/>
    <w:uiPriority w:val="99"/>
    <w:unhideWhenUsed/>
    <w:rsid w:val="005E67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2012-11-20T08:00:00+00:00</OpenedDate>
    <Date1 xmlns="dc463f71-b30c-4ab2-9473-d307f9d35888">2012-11-20T08:00:00+00:00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F75A18AA5627419AF8BDF72076A061" ma:contentTypeVersion="139" ma:contentTypeDescription="" ma:contentTypeScope="" ma:versionID="e4fb3fba7ec3bb3d72dcebc9046118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D9E46-FB12-476A-B21E-A71163F3CB9F}"/>
</file>

<file path=customXml/itemProps2.xml><?xml version="1.0" encoding="utf-8"?>
<ds:datastoreItem xmlns:ds="http://schemas.openxmlformats.org/officeDocument/2006/customXml" ds:itemID="{06849E27-AD51-4470-B8EC-E521F2C7101C}"/>
</file>

<file path=customXml/itemProps3.xml><?xml version="1.0" encoding="utf-8"?>
<ds:datastoreItem xmlns:ds="http://schemas.openxmlformats.org/officeDocument/2006/customXml" ds:itemID="{618D5AD2-6A11-4D84-999F-AA5949B36075}"/>
</file>

<file path=customXml/itemProps4.xml><?xml version="1.0" encoding="utf-8"?>
<ds:datastoreItem xmlns:ds="http://schemas.openxmlformats.org/officeDocument/2006/customXml" ds:itemID="{BA4AE8E4-A490-4269-A8B8-AE81B65D37FF}"/>
</file>

<file path=customXml/itemProps5.xml><?xml version="1.0" encoding="utf-8"?>
<ds:datastoreItem xmlns:ds="http://schemas.openxmlformats.org/officeDocument/2006/customXml" ds:itemID="{9989847D-253E-4223-924E-D51D2BA8FC18}"/>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7843</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2012-11-19T20:33:00Z</dcterms:created>
  <dcterms:modified xsi:type="dcterms:W3CDTF">2012-11-19T22:23:00Z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0x0101006E56B4D1795A2E4DB2F0B01679ED314A006AF75A18AA5627419AF8BDF72076A061</vt:lpwstr>
  </property>
  <property fmtid="{D5CDD505-2E9C-101B-9397-08002B2CF9AE}" pid="3" name="_docset_NoMedatataSyncRequired">
    <vt:lpwstr>False</vt:lpwstr>
  </property>
</Properties>
</file>