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5DD" w:rsidRDefault="000775DD" w:rsidP="007A0881">
      <w:pPr>
        <w:rPr>
          <w:rFonts w:ascii="MS Reference Sans Serif" w:hAnsi="MS Reference Sans Serif" w:cs="Microsoft Sans Serif"/>
          <w:sz w:val="72"/>
          <w:szCs w:val="72"/>
        </w:rPr>
      </w:pPr>
      <w:r>
        <w:rPr>
          <w:rFonts w:ascii="MS Reference Sans Serif" w:hAnsi="MS Reference Sans Serif" w:cs="Microsoft Sans Serif"/>
          <w:noProof/>
          <w:sz w:val="72"/>
          <w:szCs w:val="72"/>
        </w:rPr>
        <w:drawing>
          <wp:anchor distT="0" distB="0" distL="114300" distR="114300" simplePos="0" relativeHeight="251659264" behindDoc="1" locked="0" layoutInCell="1" allowOverlap="1">
            <wp:simplePos x="0" y="0"/>
            <wp:positionH relativeFrom="column">
              <wp:posOffset>15240</wp:posOffset>
            </wp:positionH>
            <wp:positionV relativeFrom="paragraph">
              <wp:posOffset>471805</wp:posOffset>
            </wp:positionV>
            <wp:extent cx="2207260" cy="1047750"/>
            <wp:effectExtent l="19050" t="0" r="2540" b="0"/>
            <wp:wrapTight wrapText="bothSides">
              <wp:wrapPolygon edited="0">
                <wp:start x="-186" y="0"/>
                <wp:lineTo x="-186" y="21207"/>
                <wp:lineTo x="21625" y="21207"/>
                <wp:lineTo x="21625" y="0"/>
                <wp:lineTo x="-186" y="0"/>
              </wp:wrapPolygon>
            </wp:wrapTight>
            <wp:docPr id="3" name="Picture 0" descr="UTC Logo 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C Logo 2008.jpg"/>
                    <pic:cNvPicPr/>
                  </pic:nvPicPr>
                  <pic:blipFill>
                    <a:blip r:embed="rId9" cstate="print"/>
                    <a:stretch>
                      <a:fillRect/>
                    </a:stretch>
                  </pic:blipFill>
                  <pic:spPr>
                    <a:xfrm>
                      <a:off x="0" y="0"/>
                      <a:ext cx="2207260" cy="1047750"/>
                    </a:xfrm>
                    <a:prstGeom prst="rect">
                      <a:avLst/>
                    </a:prstGeom>
                  </pic:spPr>
                </pic:pic>
              </a:graphicData>
            </a:graphic>
          </wp:anchor>
        </w:drawing>
      </w:r>
    </w:p>
    <w:p w:rsidR="000775DD" w:rsidRPr="00DB2BDA" w:rsidRDefault="000775DD" w:rsidP="007A0881">
      <w:pPr>
        <w:rPr>
          <w:rFonts w:ascii="MS Reference Sans Serif" w:hAnsi="MS Reference Sans Serif" w:cs="Microsoft Sans Serif"/>
        </w:rPr>
      </w:pPr>
    </w:p>
    <w:p w:rsidR="000775DD" w:rsidRPr="00DB2BDA" w:rsidRDefault="000775DD" w:rsidP="007A0881">
      <w:pPr>
        <w:rPr>
          <w:rFonts w:ascii="MS Reference Sans Serif" w:hAnsi="MS Reference Sans Serif" w:cs="Microsoft Sans Serif"/>
        </w:rPr>
      </w:pPr>
    </w:p>
    <w:p w:rsidR="000775DD" w:rsidRDefault="000775DD" w:rsidP="007A0881">
      <w:pPr>
        <w:rPr>
          <w:rFonts w:ascii="MS Reference Sans Serif" w:hAnsi="MS Reference Sans Serif" w:cs="Microsoft Sans Serif"/>
          <w:sz w:val="72"/>
          <w:szCs w:val="72"/>
        </w:rPr>
      </w:pPr>
    </w:p>
    <w:p w:rsidR="000775DD" w:rsidRDefault="000775DD" w:rsidP="007A0881">
      <w:pPr>
        <w:rPr>
          <w:rFonts w:ascii="MS Reference Sans Serif" w:hAnsi="MS Reference Sans Serif" w:cs="Microsoft Sans Serif"/>
          <w:sz w:val="72"/>
          <w:szCs w:val="72"/>
        </w:rPr>
      </w:pPr>
      <w:r w:rsidRPr="00DB2BDA">
        <w:rPr>
          <w:rFonts w:ascii="MS Reference Sans Serif" w:hAnsi="MS Reference Sans Serif" w:cs="Microsoft Sans Serif"/>
          <w:sz w:val="72"/>
          <w:szCs w:val="72"/>
        </w:rPr>
        <w:t>Investigation Report</w:t>
      </w:r>
    </w:p>
    <w:p w:rsidR="000775DD" w:rsidRPr="00384FDD" w:rsidRDefault="00911ECD" w:rsidP="007A0881">
      <w:pPr>
        <w:rPr>
          <w:rFonts w:ascii="MS Reference Sans Serif" w:hAnsi="MS Reference Sans Serif" w:cs="Microsoft Sans Serif"/>
          <w:sz w:val="48"/>
          <w:szCs w:val="48"/>
        </w:rPr>
      </w:pPr>
      <w:r>
        <w:rPr>
          <w:rFonts w:ascii="MS Reference Sans Serif" w:hAnsi="MS Reference Sans Serif" w:cs="Microsoft Sans Serif"/>
          <w:sz w:val="48"/>
          <w:szCs w:val="48"/>
        </w:rPr>
        <w:t>Pullman Disposal Service</w:t>
      </w:r>
      <w:r w:rsidR="00BD06D8">
        <w:rPr>
          <w:rFonts w:ascii="MS Reference Sans Serif" w:hAnsi="MS Reference Sans Serif" w:cs="Microsoft Sans Serif"/>
          <w:sz w:val="48"/>
          <w:szCs w:val="48"/>
        </w:rPr>
        <w:t>, Inc.</w:t>
      </w:r>
    </w:p>
    <w:p w:rsidR="000775DD" w:rsidRPr="001C0A44" w:rsidRDefault="000775DD" w:rsidP="007A0881">
      <w:pPr>
        <w:rPr>
          <w:rFonts w:ascii="MS Reference Sans Serif" w:hAnsi="MS Reference Sans Serif" w:cs="Microsoft Sans Serif"/>
        </w:rPr>
      </w:pPr>
    </w:p>
    <w:p w:rsidR="000775DD" w:rsidRPr="00384FDD" w:rsidRDefault="000775DD" w:rsidP="007A0881">
      <w:pPr>
        <w:rPr>
          <w:rFonts w:ascii="MS Reference Sans Serif" w:hAnsi="MS Reference Sans Serif" w:cs="Microsoft Sans Serif"/>
          <w:sz w:val="40"/>
          <w:szCs w:val="40"/>
        </w:rPr>
      </w:pPr>
      <w:r w:rsidRPr="00384FDD">
        <w:rPr>
          <w:rFonts w:ascii="MS Reference Sans Serif" w:hAnsi="MS Reference Sans Serif" w:cs="Microsoft Sans Serif"/>
          <w:sz w:val="40"/>
          <w:szCs w:val="40"/>
        </w:rPr>
        <w:t>TG-</w:t>
      </w:r>
      <w:r w:rsidR="00644C3E">
        <w:rPr>
          <w:rFonts w:ascii="MS Reference Sans Serif" w:hAnsi="MS Reference Sans Serif" w:cs="Microsoft Sans Serif"/>
          <w:sz w:val="40"/>
          <w:szCs w:val="40"/>
        </w:rPr>
        <w:t>121205</w:t>
      </w:r>
    </w:p>
    <w:p w:rsidR="000775DD" w:rsidRDefault="000775DD" w:rsidP="007A0881">
      <w:pPr>
        <w:rPr>
          <w:rFonts w:ascii="MS Reference Sans Serif" w:hAnsi="MS Reference Sans Serif" w:cs="Microsoft Sans Serif"/>
          <w:sz w:val="32"/>
          <w:szCs w:val="32"/>
        </w:rPr>
      </w:pPr>
    </w:p>
    <w:p w:rsidR="00174451" w:rsidRDefault="00174451" w:rsidP="007A0881">
      <w:pPr>
        <w:rPr>
          <w:rFonts w:ascii="MS Reference Sans Serif" w:hAnsi="MS Reference Sans Serif" w:cs="Microsoft Sans Serif"/>
          <w:sz w:val="32"/>
          <w:szCs w:val="32"/>
        </w:rPr>
      </w:pPr>
    </w:p>
    <w:p w:rsidR="000775DD" w:rsidRDefault="000775DD" w:rsidP="007A0881">
      <w:pPr>
        <w:rPr>
          <w:rFonts w:ascii="MS Reference Sans Serif" w:hAnsi="MS Reference Sans Serif" w:cs="Microsoft Sans Serif"/>
          <w:sz w:val="32"/>
          <w:szCs w:val="32"/>
        </w:rPr>
      </w:pPr>
    </w:p>
    <w:p w:rsidR="000775DD" w:rsidRPr="001C0A44" w:rsidRDefault="000775DD" w:rsidP="007A0881">
      <w:pPr>
        <w:rPr>
          <w:rFonts w:ascii="MS Reference Sans Serif" w:hAnsi="MS Reference Sans Serif" w:cs="Microsoft Sans Serif"/>
          <w:sz w:val="30"/>
          <w:szCs w:val="30"/>
        </w:rPr>
      </w:pPr>
      <w:r w:rsidRPr="00DB2BDA">
        <w:rPr>
          <w:rFonts w:ascii="MS Reference Sans Serif" w:hAnsi="MS Reference Sans Serif" w:cs="Microsoft Sans Serif"/>
          <w:sz w:val="32"/>
          <w:szCs w:val="32"/>
        </w:rPr>
        <w:cr/>
      </w:r>
      <w:r>
        <w:rPr>
          <w:rFonts w:ascii="MS Reference Sans Serif" w:hAnsi="MS Reference Sans Serif" w:cs="Microsoft Sans Serif"/>
          <w:sz w:val="30"/>
          <w:szCs w:val="30"/>
        </w:rPr>
        <w:t>Rayne Pearson</w:t>
      </w:r>
      <w:r>
        <w:rPr>
          <w:rFonts w:ascii="MS Reference Sans Serif" w:hAnsi="MS Reference Sans Serif" w:cs="Microsoft Sans Serif"/>
          <w:sz w:val="30"/>
          <w:szCs w:val="30"/>
        </w:rPr>
        <w:br/>
      </w:r>
      <w:r w:rsidRPr="001C0A44">
        <w:rPr>
          <w:rFonts w:ascii="MS Reference Sans Serif" w:hAnsi="MS Reference Sans Serif" w:cs="Microsoft Sans Serif"/>
          <w:sz w:val="30"/>
          <w:szCs w:val="30"/>
        </w:rPr>
        <w:t>Compliance Investigations</w:t>
      </w:r>
      <w:r w:rsidRPr="001C0A44">
        <w:rPr>
          <w:rFonts w:ascii="MS Reference Sans Serif" w:hAnsi="MS Reference Sans Serif" w:cs="Microsoft Sans Serif"/>
          <w:sz w:val="30"/>
          <w:szCs w:val="30"/>
        </w:rPr>
        <w:cr/>
      </w:r>
    </w:p>
    <w:p w:rsidR="000775DD" w:rsidRDefault="00911ECD" w:rsidP="007A0881">
      <w:pPr>
        <w:rPr>
          <w:rFonts w:ascii="MS Reference Sans Serif" w:hAnsi="MS Reference Sans Serif" w:cs="Microsoft Sans Serif"/>
          <w:sz w:val="30"/>
          <w:szCs w:val="30"/>
        </w:rPr>
      </w:pPr>
      <w:r>
        <w:rPr>
          <w:rFonts w:ascii="MS Reference Sans Serif" w:hAnsi="MS Reference Sans Serif" w:cs="Microsoft Sans Serif"/>
          <w:sz w:val="30"/>
          <w:szCs w:val="30"/>
        </w:rPr>
        <w:t>July 2012</w:t>
      </w:r>
      <w:r w:rsidR="000775DD" w:rsidRPr="001C0A44">
        <w:rPr>
          <w:rFonts w:ascii="MS Reference Sans Serif" w:hAnsi="MS Reference Sans Serif" w:cs="Microsoft Sans Serif"/>
          <w:sz w:val="30"/>
          <w:szCs w:val="30"/>
        </w:rPr>
        <w:cr/>
      </w:r>
    </w:p>
    <w:p w:rsidR="00911ECD" w:rsidRDefault="00911ECD" w:rsidP="007A0881">
      <w:pPr>
        <w:rPr>
          <w:rFonts w:ascii="MS Reference Sans Serif" w:hAnsi="MS Reference Sans Serif" w:cs="Microsoft Sans Serif"/>
          <w:sz w:val="30"/>
          <w:szCs w:val="30"/>
        </w:rPr>
      </w:pPr>
    </w:p>
    <w:p w:rsidR="00911ECD" w:rsidRPr="001C0A44" w:rsidRDefault="00911ECD" w:rsidP="007A0881">
      <w:pPr>
        <w:rPr>
          <w:rFonts w:ascii="MS Reference Sans Serif" w:hAnsi="MS Reference Sans Serif" w:cs="Microsoft Sans Serif"/>
          <w:sz w:val="30"/>
          <w:szCs w:val="30"/>
        </w:rPr>
      </w:pPr>
    </w:p>
    <w:p w:rsidR="00FE0C9C" w:rsidRPr="00C0771D" w:rsidRDefault="000B53ED" w:rsidP="007A0881">
      <w:pPr>
        <w:autoSpaceDE w:val="0"/>
        <w:autoSpaceDN w:val="0"/>
        <w:adjustRightInd w:val="0"/>
        <w:spacing w:after="0"/>
        <w:jc w:val="center"/>
        <w:rPr>
          <w:b/>
          <w:sz w:val="28"/>
          <w:szCs w:val="28"/>
        </w:rPr>
      </w:pPr>
      <w:r w:rsidRPr="00C0771D">
        <w:rPr>
          <w:b/>
          <w:sz w:val="28"/>
          <w:szCs w:val="28"/>
        </w:rPr>
        <w:lastRenderedPageBreak/>
        <w:t>PURPOSE, SCOPE AND AUTHORITY</w:t>
      </w:r>
    </w:p>
    <w:p w:rsidR="00FE0C9C" w:rsidRPr="00FB5F43" w:rsidRDefault="00FE0C9C" w:rsidP="007A0881">
      <w:pPr>
        <w:autoSpaceDE w:val="0"/>
        <w:autoSpaceDN w:val="0"/>
        <w:adjustRightInd w:val="0"/>
        <w:spacing w:after="0"/>
        <w:rPr>
          <w:b/>
        </w:rPr>
      </w:pPr>
      <w:r w:rsidRPr="00FB5F43">
        <w:rPr>
          <w:b/>
        </w:rPr>
        <w:t>Purpose</w:t>
      </w:r>
    </w:p>
    <w:p w:rsidR="00FE0C9C" w:rsidRPr="00015980" w:rsidRDefault="00FE0C9C" w:rsidP="007A0881">
      <w:pPr>
        <w:autoSpaceDE w:val="0"/>
        <w:autoSpaceDN w:val="0"/>
        <w:adjustRightInd w:val="0"/>
        <w:spacing w:after="0"/>
      </w:pPr>
      <w:r w:rsidRPr="00015980">
        <w:t xml:space="preserve">The purpose of this investigation is to determine if </w:t>
      </w:r>
      <w:r w:rsidR="00911ECD">
        <w:t>Pullman Disposal Service</w:t>
      </w:r>
      <w:r w:rsidR="00BD06D8">
        <w:t>, Inc.</w:t>
      </w:r>
      <w:r w:rsidR="00911ECD">
        <w:t xml:space="preserve"> (PDS) violated commission</w:t>
      </w:r>
      <w:r w:rsidR="00E12740">
        <w:t xml:space="preserve"> laws and rules</w:t>
      </w:r>
      <w:r w:rsidR="00911ECD">
        <w:t xml:space="preserve"> when it overcharged 23 customers for a ten-month period</w:t>
      </w:r>
      <w:r w:rsidR="00E12740">
        <w:t xml:space="preserve">. </w:t>
      </w:r>
      <w:r w:rsidR="00F63F63">
        <w:t xml:space="preserve">The </w:t>
      </w:r>
      <w:r w:rsidRPr="00015980">
        <w:t>R</w:t>
      </w:r>
      <w:r w:rsidR="00E12740">
        <w:t xml:space="preserve">evised </w:t>
      </w:r>
      <w:r w:rsidR="00F63F63">
        <w:t>C</w:t>
      </w:r>
      <w:r w:rsidR="00E12740">
        <w:t>ode of Washington (R</w:t>
      </w:r>
      <w:r w:rsidRPr="00015980">
        <w:t>CW</w:t>
      </w:r>
      <w:r w:rsidR="00E12740">
        <w:t>)</w:t>
      </w:r>
      <w:r w:rsidRPr="00015980">
        <w:t xml:space="preserve"> 81.28.080 states</w:t>
      </w:r>
      <w:r w:rsidR="00E12740">
        <w:t xml:space="preserve"> that</w:t>
      </w:r>
      <w:r w:rsidRPr="00015980">
        <w:t xml:space="preserve"> common carriers shall not charge, demand, collect or receive a greater</w:t>
      </w:r>
      <w:r w:rsidR="00F63F63">
        <w:t>,</w:t>
      </w:r>
      <w:r w:rsidRPr="00015980">
        <w:t xml:space="preserve"> less or different compensation for </w:t>
      </w:r>
      <w:r w:rsidR="00C0494C">
        <w:t>services than those</w:t>
      </w:r>
      <w:r w:rsidRPr="00015980">
        <w:t xml:space="preserve"> filed </w:t>
      </w:r>
      <w:r w:rsidR="00F63F63">
        <w:t xml:space="preserve">with the commission </w:t>
      </w:r>
      <w:r>
        <w:t xml:space="preserve">and </w:t>
      </w:r>
      <w:r w:rsidR="00E12740">
        <w:t>in effect at the time. Washington Administrative Code</w:t>
      </w:r>
      <w:r w:rsidRPr="00015980">
        <w:t xml:space="preserve"> </w:t>
      </w:r>
      <w:r w:rsidR="00E12740">
        <w:t>(</w:t>
      </w:r>
      <w:r w:rsidRPr="00015980">
        <w:t>WAC</w:t>
      </w:r>
      <w:r w:rsidR="00E12740">
        <w:t>)</w:t>
      </w:r>
      <w:r w:rsidRPr="00015980">
        <w:t xml:space="preserve"> 480-70-236</w:t>
      </w:r>
      <w:r w:rsidR="00E12740">
        <w:t xml:space="preserve"> </w:t>
      </w:r>
      <w:r w:rsidRPr="00015980">
        <w:t xml:space="preserve">states </w:t>
      </w:r>
      <w:r w:rsidR="00E12740">
        <w:t xml:space="preserve">that </w:t>
      </w:r>
      <w:r w:rsidRPr="00015980">
        <w:t>a company cannot assess rates and charges for solid waste collection service</w:t>
      </w:r>
      <w:r w:rsidR="004E6CC6">
        <w:t>s</w:t>
      </w:r>
      <w:r w:rsidRPr="00015980">
        <w:t xml:space="preserve"> that are higher, lower or different from those contained in its tariff.</w:t>
      </w:r>
    </w:p>
    <w:p w:rsidR="00FE0C9C" w:rsidRDefault="00FE0C9C" w:rsidP="007A0881">
      <w:pPr>
        <w:autoSpaceDE w:val="0"/>
        <w:autoSpaceDN w:val="0"/>
        <w:adjustRightInd w:val="0"/>
        <w:spacing w:after="0"/>
      </w:pPr>
    </w:p>
    <w:p w:rsidR="000B53ED" w:rsidRDefault="004C3D5A" w:rsidP="007A0881">
      <w:pPr>
        <w:autoSpaceDE w:val="0"/>
        <w:autoSpaceDN w:val="0"/>
        <w:adjustRightInd w:val="0"/>
        <w:spacing w:after="0"/>
        <w:rPr>
          <w:b/>
        </w:rPr>
      </w:pPr>
      <w:r>
        <w:rPr>
          <w:b/>
        </w:rPr>
        <w:t>Scope</w:t>
      </w:r>
    </w:p>
    <w:p w:rsidR="008D59A0" w:rsidRPr="008D59A0" w:rsidRDefault="008D59A0" w:rsidP="007A0881">
      <w:pPr>
        <w:autoSpaceDE w:val="0"/>
        <w:autoSpaceDN w:val="0"/>
        <w:adjustRightInd w:val="0"/>
        <w:spacing w:after="0"/>
      </w:pPr>
      <w:r>
        <w:t xml:space="preserve">The scope of this investigation </w:t>
      </w:r>
      <w:r w:rsidR="004E6CC6">
        <w:t>is limited to</w:t>
      </w:r>
      <w:r>
        <w:t xml:space="preserve"> </w:t>
      </w:r>
      <w:r w:rsidR="00911ECD">
        <w:t xml:space="preserve">PDS’s </w:t>
      </w:r>
      <w:r w:rsidR="004E6CC6">
        <w:t xml:space="preserve">self-reported </w:t>
      </w:r>
      <w:r w:rsidR="00911ECD">
        <w:t>overcharge</w:t>
      </w:r>
      <w:r w:rsidR="004E6CC6">
        <w:t>, totaling</w:t>
      </w:r>
      <w:r w:rsidR="00911ECD">
        <w:t xml:space="preserve"> </w:t>
      </w:r>
      <w:r w:rsidR="004E6CC6">
        <w:t>$22,976 and affecting 23 customers</w:t>
      </w:r>
      <w:r w:rsidR="00911ECD">
        <w:t xml:space="preserve"> between Ju</w:t>
      </w:r>
      <w:r w:rsidR="004E6CC6">
        <w:t>ne</w:t>
      </w:r>
      <w:r w:rsidR="00911ECD">
        <w:t xml:space="preserve"> 2011 and </w:t>
      </w:r>
      <w:r w:rsidR="004E6CC6">
        <w:t>March</w:t>
      </w:r>
      <w:r w:rsidR="00911ECD">
        <w:t xml:space="preserve"> 2012</w:t>
      </w:r>
      <w:r>
        <w:t xml:space="preserve">. </w:t>
      </w:r>
    </w:p>
    <w:p w:rsidR="008D59A0" w:rsidRDefault="008D59A0" w:rsidP="007A0881">
      <w:pPr>
        <w:autoSpaceDE w:val="0"/>
        <w:autoSpaceDN w:val="0"/>
        <w:adjustRightInd w:val="0"/>
        <w:spacing w:after="0"/>
        <w:rPr>
          <w:b/>
        </w:rPr>
      </w:pPr>
    </w:p>
    <w:p w:rsidR="008D59A0" w:rsidRDefault="008D59A0" w:rsidP="007A0881">
      <w:pPr>
        <w:autoSpaceDE w:val="0"/>
        <w:autoSpaceDN w:val="0"/>
        <w:adjustRightInd w:val="0"/>
        <w:spacing w:after="0"/>
        <w:rPr>
          <w:b/>
        </w:rPr>
      </w:pPr>
      <w:r>
        <w:rPr>
          <w:b/>
        </w:rPr>
        <w:t>Authority</w:t>
      </w:r>
    </w:p>
    <w:p w:rsidR="004C3D5A" w:rsidRPr="004C3D5A" w:rsidRDefault="008D59A0" w:rsidP="007A0881">
      <w:pPr>
        <w:autoSpaceDE w:val="0"/>
        <w:autoSpaceDN w:val="0"/>
        <w:adjustRightInd w:val="0"/>
        <w:spacing w:after="0"/>
      </w:pPr>
      <w:r>
        <w:t xml:space="preserve">Staff undertakes this investigation pursuant to </w:t>
      </w:r>
      <w:r w:rsidR="00E12740">
        <w:t xml:space="preserve">RCW </w:t>
      </w:r>
      <w:r w:rsidR="00BD06D8">
        <w:t>81.04.070</w:t>
      </w:r>
      <w:r w:rsidR="00F639E5">
        <w:t xml:space="preserve">. </w:t>
      </w:r>
      <w:r w:rsidR="00E12740">
        <w:t>WAC</w:t>
      </w:r>
      <w:r w:rsidR="00F639E5">
        <w:t xml:space="preserve"> 480-70-216</w:t>
      </w:r>
      <w:r w:rsidR="00BD06D8">
        <w:t xml:space="preserve"> authorizes</w:t>
      </w:r>
      <w:r w:rsidR="006B3526">
        <w:t xml:space="preserve"> the </w:t>
      </w:r>
      <w:r w:rsidR="00F639E5">
        <w:t>commission</w:t>
      </w:r>
      <w:r w:rsidR="00BD06D8">
        <w:t xml:space="preserve"> </w:t>
      </w:r>
      <w:r w:rsidR="00F639E5">
        <w:t xml:space="preserve">to administer and enforce laws and rules relating to solid waste collection companies. </w:t>
      </w:r>
    </w:p>
    <w:p w:rsidR="000B53ED" w:rsidRDefault="000B53ED" w:rsidP="007A0881">
      <w:pPr>
        <w:autoSpaceDE w:val="0"/>
        <w:autoSpaceDN w:val="0"/>
        <w:adjustRightInd w:val="0"/>
        <w:spacing w:after="0"/>
      </w:pPr>
    </w:p>
    <w:p w:rsidR="000B53ED" w:rsidRDefault="00BD06D8" w:rsidP="007A0881">
      <w:pPr>
        <w:autoSpaceDE w:val="0"/>
        <w:autoSpaceDN w:val="0"/>
        <w:adjustRightInd w:val="0"/>
        <w:spacing w:after="0"/>
        <w:rPr>
          <w:b/>
        </w:rPr>
      </w:pPr>
      <w:r>
        <w:rPr>
          <w:b/>
        </w:rPr>
        <w:t>Staff</w:t>
      </w:r>
    </w:p>
    <w:p w:rsidR="00BD06D8" w:rsidRDefault="00BD06D8" w:rsidP="007A0881">
      <w:pPr>
        <w:autoSpaceDE w:val="0"/>
        <w:autoSpaceDN w:val="0"/>
        <w:adjustRightInd w:val="0"/>
        <w:spacing w:after="0"/>
      </w:pPr>
      <w:r>
        <w:t>Rayne Pearson, Compliance Investigator</w:t>
      </w:r>
    </w:p>
    <w:p w:rsidR="00BD06D8" w:rsidRDefault="00BD06D8" w:rsidP="007A0881">
      <w:pPr>
        <w:autoSpaceDE w:val="0"/>
        <w:autoSpaceDN w:val="0"/>
        <w:adjustRightInd w:val="0"/>
        <w:spacing w:after="0"/>
      </w:pPr>
      <w:r>
        <w:t>(360) 664-1111</w:t>
      </w:r>
    </w:p>
    <w:p w:rsidR="00BD06D8" w:rsidRDefault="00BD06D8" w:rsidP="007A0881">
      <w:pPr>
        <w:autoSpaceDE w:val="0"/>
        <w:autoSpaceDN w:val="0"/>
        <w:adjustRightInd w:val="0"/>
        <w:spacing w:after="0"/>
      </w:pPr>
      <w:r>
        <w:t>rpearson@utc.wa.gov</w:t>
      </w:r>
    </w:p>
    <w:p w:rsidR="00BD06D8" w:rsidRPr="00BD06D8" w:rsidRDefault="00BD06D8" w:rsidP="007A0881">
      <w:pPr>
        <w:autoSpaceDE w:val="0"/>
        <w:autoSpaceDN w:val="0"/>
        <w:adjustRightInd w:val="0"/>
        <w:spacing w:after="0"/>
      </w:pPr>
    </w:p>
    <w:p w:rsidR="00F639E5" w:rsidRDefault="00F639E5" w:rsidP="007A0881">
      <w:pPr>
        <w:autoSpaceDE w:val="0"/>
        <w:autoSpaceDN w:val="0"/>
        <w:adjustRightInd w:val="0"/>
        <w:spacing w:after="0"/>
      </w:pPr>
    </w:p>
    <w:p w:rsidR="00F639E5" w:rsidRDefault="00F639E5" w:rsidP="007A0881">
      <w:r>
        <w:br w:type="page"/>
      </w:r>
    </w:p>
    <w:p w:rsidR="000B53ED" w:rsidRPr="00C0771D" w:rsidRDefault="000B53ED" w:rsidP="007A0881">
      <w:pPr>
        <w:autoSpaceDE w:val="0"/>
        <w:autoSpaceDN w:val="0"/>
        <w:adjustRightInd w:val="0"/>
        <w:spacing w:after="0"/>
        <w:jc w:val="center"/>
        <w:rPr>
          <w:b/>
          <w:sz w:val="28"/>
          <w:szCs w:val="28"/>
        </w:rPr>
      </w:pPr>
      <w:r w:rsidRPr="00C0771D">
        <w:rPr>
          <w:b/>
          <w:sz w:val="28"/>
          <w:szCs w:val="28"/>
        </w:rPr>
        <w:lastRenderedPageBreak/>
        <w:t>BACKGR</w:t>
      </w:r>
      <w:bookmarkStart w:id="0" w:name="_GoBack"/>
      <w:bookmarkEnd w:id="0"/>
      <w:r w:rsidRPr="00C0771D">
        <w:rPr>
          <w:b/>
          <w:sz w:val="28"/>
          <w:szCs w:val="28"/>
        </w:rPr>
        <w:t>OUND</w:t>
      </w:r>
    </w:p>
    <w:p w:rsidR="000B53ED" w:rsidRDefault="000B53ED" w:rsidP="007A0881">
      <w:pPr>
        <w:autoSpaceDE w:val="0"/>
        <w:autoSpaceDN w:val="0"/>
        <w:adjustRightInd w:val="0"/>
        <w:spacing w:after="0"/>
        <w:rPr>
          <w:b/>
        </w:rPr>
      </w:pPr>
    </w:p>
    <w:p w:rsidR="000B53ED" w:rsidRDefault="000B53ED" w:rsidP="007A0881">
      <w:pPr>
        <w:autoSpaceDE w:val="0"/>
        <w:autoSpaceDN w:val="0"/>
        <w:adjustRightInd w:val="0"/>
        <w:spacing w:after="0"/>
      </w:pPr>
      <w:r>
        <w:rPr>
          <w:b/>
        </w:rPr>
        <w:t>Company Information</w:t>
      </w:r>
    </w:p>
    <w:p w:rsidR="000B53ED" w:rsidRDefault="00BD06D8" w:rsidP="007A0881">
      <w:pPr>
        <w:autoSpaceDE w:val="0"/>
        <w:autoSpaceDN w:val="0"/>
        <w:adjustRightInd w:val="0"/>
        <w:spacing w:after="0"/>
      </w:pPr>
      <w:r>
        <w:t xml:space="preserve">Pullman Disposal Service, Inc. is a </w:t>
      </w:r>
      <w:r w:rsidR="00C21340">
        <w:t>for-</w:t>
      </w:r>
      <w:r>
        <w:t xml:space="preserve">profit corporation. Devon </w:t>
      </w:r>
      <w:proofErr w:type="spellStart"/>
      <w:r>
        <w:t>Felsted</w:t>
      </w:r>
      <w:proofErr w:type="spellEnd"/>
      <w:r>
        <w:t xml:space="preserve"> is the </w:t>
      </w:r>
      <w:r w:rsidR="004E6CC6">
        <w:t>P</w:t>
      </w:r>
      <w:r>
        <w:t xml:space="preserve">resident, and William </w:t>
      </w:r>
      <w:proofErr w:type="spellStart"/>
      <w:r>
        <w:t>Felsted</w:t>
      </w:r>
      <w:proofErr w:type="spellEnd"/>
      <w:r>
        <w:t xml:space="preserve"> is the Vice-President. </w:t>
      </w:r>
      <w:r w:rsidR="00072E31">
        <w:t>PDS provides solid waste collection services under</w:t>
      </w:r>
      <w:r w:rsidR="000B53ED">
        <w:t xml:space="preserve"> </w:t>
      </w:r>
      <w:r w:rsidR="00072E31">
        <w:t>a c</w:t>
      </w:r>
      <w:r w:rsidR="000B53ED">
        <w:t xml:space="preserve">ertificate of public convenience and necessity granted by the </w:t>
      </w:r>
      <w:r w:rsidR="00072E31">
        <w:t>commission, G-42</w:t>
      </w:r>
      <w:r w:rsidR="006B3526">
        <w:t>.</w:t>
      </w:r>
    </w:p>
    <w:p w:rsidR="000B53ED" w:rsidRDefault="000B53ED" w:rsidP="007A0881">
      <w:pPr>
        <w:autoSpaceDE w:val="0"/>
        <w:autoSpaceDN w:val="0"/>
        <w:adjustRightInd w:val="0"/>
        <w:spacing w:after="0"/>
      </w:pPr>
    </w:p>
    <w:p w:rsidR="000B53ED" w:rsidRDefault="00072E31" w:rsidP="007A0881">
      <w:pPr>
        <w:autoSpaceDE w:val="0"/>
        <w:autoSpaceDN w:val="0"/>
        <w:adjustRightInd w:val="0"/>
        <w:spacing w:after="0"/>
      </w:pPr>
      <w:r>
        <w:t>PDS</w:t>
      </w:r>
      <w:r w:rsidR="000B53ED">
        <w:t xml:space="preserve"> collected $</w:t>
      </w:r>
      <w:r>
        <w:t>3.8</w:t>
      </w:r>
      <w:r w:rsidR="000B53ED">
        <w:t xml:space="preserve"> million in regulated revenue for 20</w:t>
      </w:r>
      <w:r>
        <w:t>11</w:t>
      </w:r>
      <w:r w:rsidR="004E6CC6">
        <w:t>,</w:t>
      </w:r>
      <w:r w:rsidR="000B53ED">
        <w:t xml:space="preserve"> and served approximately </w:t>
      </w:r>
      <w:r>
        <w:t>12,000</w:t>
      </w:r>
      <w:r w:rsidR="000B53ED">
        <w:t xml:space="preserve"> residential and commercial garbage collection customers in Washington. </w:t>
      </w:r>
      <w:r>
        <w:t>PDS</w:t>
      </w:r>
      <w:r w:rsidR="00644C3E">
        <w:t xml:space="preserve"> currently</w:t>
      </w:r>
      <w:r w:rsidR="000B53ED">
        <w:t xml:space="preserve"> provides service according to Tariff No. </w:t>
      </w:r>
      <w:r w:rsidR="00644C3E">
        <w:t>17</w:t>
      </w:r>
      <w:r w:rsidR="000B53ED">
        <w:t xml:space="preserve">, </w:t>
      </w:r>
      <w:r w:rsidR="00C747BA">
        <w:t xml:space="preserve">effective </w:t>
      </w:r>
      <w:r w:rsidR="00644C3E">
        <w:t>April 1, 2012.</w:t>
      </w:r>
    </w:p>
    <w:p w:rsidR="000B53ED" w:rsidRDefault="000B53ED" w:rsidP="007A0881">
      <w:pPr>
        <w:autoSpaceDE w:val="0"/>
        <w:autoSpaceDN w:val="0"/>
        <w:adjustRightInd w:val="0"/>
        <w:spacing w:after="0"/>
      </w:pPr>
      <w:r>
        <w:t xml:space="preserve">  </w:t>
      </w:r>
    </w:p>
    <w:p w:rsidR="00FE0C9C" w:rsidRDefault="00FE0C9C" w:rsidP="007A0881">
      <w:pPr>
        <w:autoSpaceDE w:val="0"/>
        <w:autoSpaceDN w:val="0"/>
        <w:adjustRightInd w:val="0"/>
        <w:spacing w:after="0"/>
        <w:rPr>
          <w:b/>
        </w:rPr>
      </w:pPr>
      <w:r w:rsidRPr="00FB5F43">
        <w:rPr>
          <w:b/>
        </w:rPr>
        <w:t>Investigation</w:t>
      </w:r>
    </w:p>
    <w:p w:rsidR="000B53ED" w:rsidRPr="00644C3E" w:rsidRDefault="000B53ED" w:rsidP="007A0881">
      <w:pPr>
        <w:autoSpaceDE w:val="0"/>
        <w:autoSpaceDN w:val="0"/>
        <w:adjustRightInd w:val="0"/>
        <w:spacing w:after="0"/>
      </w:pPr>
      <w:r w:rsidRPr="00015980">
        <w:t xml:space="preserve">This investigation </w:t>
      </w:r>
      <w:proofErr w:type="gramStart"/>
      <w:r w:rsidRPr="00015980">
        <w:t>was prompted</w:t>
      </w:r>
      <w:proofErr w:type="gramEnd"/>
      <w:r w:rsidRPr="00015980">
        <w:t xml:space="preserve"> by </w:t>
      </w:r>
      <w:r w:rsidR="00644C3E">
        <w:t xml:space="preserve">a self-reported overcharge </w:t>
      </w:r>
      <w:r w:rsidR="004E6CC6">
        <w:t xml:space="preserve">that occurred </w:t>
      </w:r>
      <w:r w:rsidR="00644C3E">
        <w:t xml:space="preserve">due to </w:t>
      </w:r>
      <w:r w:rsidR="004E6CC6">
        <w:t>a change in billing softwar</w:t>
      </w:r>
      <w:r w:rsidR="001E0C19">
        <w:t>e.</w:t>
      </w:r>
    </w:p>
    <w:p w:rsidR="000B53ED" w:rsidRDefault="000B53ED" w:rsidP="007A0881">
      <w:pPr>
        <w:autoSpaceDE w:val="0"/>
        <w:autoSpaceDN w:val="0"/>
        <w:adjustRightInd w:val="0"/>
        <w:spacing w:after="0"/>
        <w:rPr>
          <w:b/>
        </w:rPr>
      </w:pPr>
    </w:p>
    <w:p w:rsidR="00632881" w:rsidRDefault="00632881" w:rsidP="007A0881">
      <w:pPr>
        <w:autoSpaceDE w:val="0"/>
        <w:autoSpaceDN w:val="0"/>
        <w:adjustRightInd w:val="0"/>
        <w:spacing w:after="0"/>
        <w:rPr>
          <w:b/>
        </w:rPr>
      </w:pPr>
    </w:p>
    <w:p w:rsidR="00632881" w:rsidRDefault="00632881" w:rsidP="007A0881">
      <w:pPr>
        <w:autoSpaceDE w:val="0"/>
        <w:autoSpaceDN w:val="0"/>
        <w:adjustRightInd w:val="0"/>
        <w:spacing w:after="0"/>
        <w:rPr>
          <w:b/>
        </w:rPr>
      </w:pPr>
    </w:p>
    <w:p w:rsidR="00F639E5" w:rsidRDefault="00F639E5" w:rsidP="007A0881">
      <w:pPr>
        <w:autoSpaceDE w:val="0"/>
        <w:autoSpaceDN w:val="0"/>
        <w:adjustRightInd w:val="0"/>
        <w:spacing w:after="0"/>
        <w:rPr>
          <w:b/>
        </w:rPr>
      </w:pPr>
    </w:p>
    <w:p w:rsidR="00F639E5" w:rsidRDefault="00F639E5" w:rsidP="007A0881">
      <w:pPr>
        <w:rPr>
          <w:b/>
        </w:rPr>
      </w:pPr>
      <w:r>
        <w:rPr>
          <w:b/>
        </w:rPr>
        <w:br w:type="page"/>
      </w:r>
    </w:p>
    <w:p w:rsidR="00632881" w:rsidRPr="001E0C19" w:rsidRDefault="000868C2" w:rsidP="007A0881">
      <w:pPr>
        <w:autoSpaceDE w:val="0"/>
        <w:autoSpaceDN w:val="0"/>
        <w:adjustRightInd w:val="0"/>
        <w:spacing w:after="0"/>
        <w:jc w:val="center"/>
        <w:rPr>
          <w:b/>
          <w:sz w:val="28"/>
          <w:szCs w:val="28"/>
        </w:rPr>
      </w:pPr>
      <w:r w:rsidRPr="001E0C19">
        <w:rPr>
          <w:b/>
          <w:sz w:val="28"/>
          <w:szCs w:val="28"/>
        </w:rPr>
        <w:lastRenderedPageBreak/>
        <w:t>INVESTIGATION</w:t>
      </w:r>
    </w:p>
    <w:p w:rsidR="00632881" w:rsidRPr="00FB5F43" w:rsidRDefault="00632881" w:rsidP="007A0881">
      <w:pPr>
        <w:autoSpaceDE w:val="0"/>
        <w:autoSpaceDN w:val="0"/>
        <w:adjustRightInd w:val="0"/>
        <w:spacing w:after="0"/>
        <w:jc w:val="center"/>
        <w:rPr>
          <w:b/>
        </w:rPr>
      </w:pPr>
    </w:p>
    <w:p w:rsidR="00632881" w:rsidRDefault="001E0C19" w:rsidP="007A0881">
      <w:pPr>
        <w:autoSpaceDE w:val="0"/>
        <w:autoSpaceDN w:val="0"/>
        <w:adjustRightInd w:val="0"/>
        <w:spacing w:after="0"/>
        <w:rPr>
          <w:bCs/>
        </w:rPr>
      </w:pPr>
      <w:r>
        <w:rPr>
          <w:bCs/>
        </w:rPr>
        <w:t xml:space="preserve">On May 30, 2012, PDS contacted commission staff to report an inadvertent overcharge affecting 23 customers. Judy </w:t>
      </w:r>
      <w:proofErr w:type="spellStart"/>
      <w:r>
        <w:rPr>
          <w:bCs/>
        </w:rPr>
        <w:t>Druffel</w:t>
      </w:r>
      <w:proofErr w:type="spellEnd"/>
      <w:r>
        <w:rPr>
          <w:bCs/>
        </w:rPr>
        <w:t>, the company’s office manager, sent the following email to staff:</w:t>
      </w:r>
    </w:p>
    <w:p w:rsidR="001E0C19" w:rsidRDefault="001E0C19" w:rsidP="007A0881">
      <w:pPr>
        <w:autoSpaceDE w:val="0"/>
        <w:autoSpaceDN w:val="0"/>
        <w:adjustRightInd w:val="0"/>
        <w:spacing w:after="0"/>
        <w:rPr>
          <w:bCs/>
        </w:rPr>
      </w:pPr>
    </w:p>
    <w:p w:rsidR="001E0C19" w:rsidRDefault="001E0C19" w:rsidP="007A0881">
      <w:pPr>
        <w:ind w:left="720"/>
      </w:pPr>
      <w:r>
        <w:t>“This April  when we were putting the new UTC rates from our rate increase into the computer, we found a large error in 23 of our customer accounts</w:t>
      </w:r>
      <w:proofErr w:type="gramStart"/>
      <w:r>
        <w:t xml:space="preserve">.  </w:t>
      </w:r>
      <w:proofErr w:type="gramEnd"/>
      <w:r>
        <w:t>We had been charging these customers double for their recycling service.  Some accounts have been charged as of June, 2011, and the others as of August, 2011, when they were restarting their service at the start of the WSU school year.  The software error happened when we transferred from our old software to our new software program. It affect</w:t>
      </w:r>
      <w:r w:rsidR="004E6CC6">
        <w:t>ed only the recycling for multi-family customers with 8-</w:t>
      </w:r>
      <w:r>
        <w:t>yard containers. As of April all of the accounts have been corrected and are being charged the correct rate. The extra money generated from these errors each month was approximately $2,297.00.  The total amount  for the10 month period was $22,976.00</w:t>
      </w:r>
      <w:proofErr w:type="gramStart"/>
      <w:r>
        <w:t xml:space="preserve">.  </w:t>
      </w:r>
      <w:proofErr w:type="gramEnd"/>
      <w:r>
        <w:t>This amount includes the taxes and fuel surcharge.  The money was deposited with the normal revenue from these accounts.  Our revenue fluctuates depending on several reasons.  One reason is the amount of extra garbage customers put out at the end and the start of the apartment leases.  Fraternities and Sororities preparing for special functions during the school year</w:t>
      </w:r>
      <w:proofErr w:type="gramStart"/>
      <w:r>
        <w:t xml:space="preserve">.  </w:t>
      </w:r>
      <w:proofErr w:type="gramEnd"/>
      <w:r>
        <w:t>Also construction drop boxes used.  None of the customers that were affected noticed the increase in their bills.</w:t>
      </w:r>
    </w:p>
    <w:p w:rsidR="001E0C19" w:rsidRDefault="001E0C19" w:rsidP="007A0881">
      <w:pPr>
        <w:ind w:left="720"/>
      </w:pPr>
      <w:r>
        <w:t>Pullman Disposal would like to credit these accounts for the overcharges.  We will write each customer a letter and we are asking you if we could spread the credits over a 3 month period – July, August, and September.  One reason we are asking for the 3 months to credit their accounts is because our revenue is lower in June, July, and August. Thank you for your consideration of this matter.”</w:t>
      </w:r>
      <w:r>
        <w:rPr>
          <w:rStyle w:val="FootnoteReference"/>
        </w:rPr>
        <w:footnoteReference w:id="1"/>
      </w:r>
      <w:r>
        <w:t xml:space="preserve"> </w:t>
      </w:r>
    </w:p>
    <w:p w:rsidR="001E0C19" w:rsidRDefault="001E0C19" w:rsidP="007A0881">
      <w:pPr>
        <w:autoSpaceDE w:val="0"/>
        <w:autoSpaceDN w:val="0"/>
        <w:adjustRightInd w:val="0"/>
        <w:spacing w:after="0"/>
        <w:rPr>
          <w:bCs/>
        </w:rPr>
      </w:pPr>
      <w:r>
        <w:rPr>
          <w:bCs/>
        </w:rPr>
        <w:t xml:space="preserve">In response to Ms. </w:t>
      </w:r>
      <w:proofErr w:type="spellStart"/>
      <w:r>
        <w:rPr>
          <w:bCs/>
        </w:rPr>
        <w:t>Druffel’s</w:t>
      </w:r>
      <w:proofErr w:type="spellEnd"/>
      <w:r>
        <w:rPr>
          <w:bCs/>
        </w:rPr>
        <w:t xml:space="preserve"> email, staff issued a data request on June </w:t>
      </w:r>
      <w:r w:rsidR="006644C2">
        <w:rPr>
          <w:bCs/>
        </w:rPr>
        <w:t>7</w:t>
      </w:r>
      <w:r>
        <w:rPr>
          <w:bCs/>
        </w:rPr>
        <w:t>, 2012, requesting the following information</w:t>
      </w:r>
      <w:r w:rsidR="00C21340">
        <w:rPr>
          <w:bCs/>
        </w:rPr>
        <w:t xml:space="preserve"> by June 14, 2012</w:t>
      </w:r>
      <w:r>
        <w:rPr>
          <w:bCs/>
        </w:rPr>
        <w:t>:</w:t>
      </w:r>
    </w:p>
    <w:p w:rsidR="001E0C19" w:rsidRDefault="001E0C19" w:rsidP="007A0881">
      <w:pPr>
        <w:autoSpaceDE w:val="0"/>
        <w:autoSpaceDN w:val="0"/>
        <w:adjustRightInd w:val="0"/>
        <w:spacing w:after="0"/>
        <w:rPr>
          <w:bCs/>
        </w:rPr>
      </w:pPr>
    </w:p>
    <w:p w:rsidR="001E0C19" w:rsidRDefault="001E0C19" w:rsidP="007A0881">
      <w:pPr>
        <w:numPr>
          <w:ilvl w:val="0"/>
          <w:numId w:val="1"/>
        </w:numPr>
        <w:spacing w:after="120"/>
      </w:pPr>
      <w:r>
        <w:t>The number of customers impacted by the overcharge.</w:t>
      </w:r>
    </w:p>
    <w:p w:rsidR="001E0C19" w:rsidRDefault="001E0C19" w:rsidP="007A0881">
      <w:pPr>
        <w:numPr>
          <w:ilvl w:val="0"/>
          <w:numId w:val="1"/>
        </w:numPr>
        <w:spacing w:after="120"/>
      </w:pPr>
      <w:r>
        <w:t>The remedy, if any, provided to the impacted customers.</w:t>
      </w:r>
    </w:p>
    <w:p w:rsidR="001E0C19" w:rsidRDefault="001E0C19" w:rsidP="007A0881">
      <w:pPr>
        <w:numPr>
          <w:ilvl w:val="0"/>
          <w:numId w:val="1"/>
        </w:numPr>
        <w:spacing w:after="120"/>
      </w:pPr>
      <w:r>
        <w:t>An explanation of why the overcharge occurred, when and how it was discovered, and whether and when it was corrected.</w:t>
      </w:r>
    </w:p>
    <w:p w:rsidR="001E0C19" w:rsidRDefault="001E0C19" w:rsidP="007A0881">
      <w:pPr>
        <w:numPr>
          <w:ilvl w:val="0"/>
          <w:numId w:val="1"/>
        </w:numPr>
        <w:spacing w:after="120"/>
      </w:pPr>
      <w:r>
        <w:lastRenderedPageBreak/>
        <w:t>The name, title, telephone number, and e-mail address of the Pullman Disposal, Inc. contact person that our staff can work with directly for questions that may arise concerning any details of the information you provide.</w:t>
      </w:r>
      <w:r>
        <w:rPr>
          <w:rStyle w:val="FootnoteReference"/>
        </w:rPr>
        <w:footnoteReference w:id="2"/>
      </w:r>
    </w:p>
    <w:p w:rsidR="001E0C19" w:rsidRPr="001E0C19" w:rsidRDefault="001E0C19" w:rsidP="007A0881">
      <w:pPr>
        <w:autoSpaceDE w:val="0"/>
        <w:autoSpaceDN w:val="0"/>
        <w:adjustRightInd w:val="0"/>
        <w:spacing w:after="0"/>
        <w:rPr>
          <w:bCs/>
        </w:rPr>
      </w:pPr>
      <w:r>
        <w:rPr>
          <w:bCs/>
        </w:rPr>
        <w:br/>
        <w:t xml:space="preserve">On June 11, 2012, PDS responded to staff’s data request with an explanation that was substantially similar to Ms. </w:t>
      </w:r>
      <w:proofErr w:type="spellStart"/>
      <w:r>
        <w:rPr>
          <w:bCs/>
        </w:rPr>
        <w:t>Druffel’s</w:t>
      </w:r>
      <w:proofErr w:type="spellEnd"/>
      <w:r>
        <w:rPr>
          <w:bCs/>
        </w:rPr>
        <w:t xml:space="preserve"> email of May 30.</w:t>
      </w:r>
      <w:r>
        <w:rPr>
          <w:rStyle w:val="FootnoteReference"/>
          <w:bCs/>
        </w:rPr>
        <w:footnoteReference w:id="3"/>
      </w:r>
    </w:p>
    <w:p w:rsidR="00A266AD" w:rsidRDefault="00A266AD" w:rsidP="007A0881">
      <w:pPr>
        <w:autoSpaceDE w:val="0"/>
        <w:autoSpaceDN w:val="0"/>
        <w:adjustRightInd w:val="0"/>
        <w:spacing w:after="0"/>
        <w:jc w:val="center"/>
        <w:rPr>
          <w:b/>
          <w:bCs/>
        </w:rPr>
      </w:pPr>
    </w:p>
    <w:p w:rsidR="001E0C19" w:rsidRDefault="001E0C19" w:rsidP="007A0881">
      <w:pPr>
        <w:autoSpaceDE w:val="0"/>
        <w:autoSpaceDN w:val="0"/>
        <w:adjustRightInd w:val="0"/>
        <w:spacing w:after="0"/>
        <w:jc w:val="center"/>
        <w:rPr>
          <w:b/>
          <w:bCs/>
        </w:rPr>
      </w:pPr>
    </w:p>
    <w:p w:rsidR="001E0C19" w:rsidRDefault="001E0C19" w:rsidP="007A0881">
      <w:pPr>
        <w:autoSpaceDE w:val="0"/>
        <w:autoSpaceDN w:val="0"/>
        <w:adjustRightInd w:val="0"/>
        <w:spacing w:after="0"/>
        <w:jc w:val="center"/>
        <w:rPr>
          <w:b/>
          <w:bCs/>
        </w:rPr>
      </w:pPr>
    </w:p>
    <w:p w:rsidR="001E0C19" w:rsidRDefault="001E0C19" w:rsidP="007A0881">
      <w:pPr>
        <w:autoSpaceDE w:val="0"/>
        <w:autoSpaceDN w:val="0"/>
        <w:adjustRightInd w:val="0"/>
        <w:spacing w:after="0"/>
        <w:jc w:val="center"/>
        <w:rPr>
          <w:b/>
          <w:bCs/>
        </w:rPr>
      </w:pPr>
    </w:p>
    <w:p w:rsidR="001E0C19" w:rsidRDefault="001E0C19" w:rsidP="007A0881">
      <w:pPr>
        <w:autoSpaceDE w:val="0"/>
        <w:autoSpaceDN w:val="0"/>
        <w:adjustRightInd w:val="0"/>
        <w:spacing w:after="0"/>
        <w:jc w:val="center"/>
        <w:rPr>
          <w:b/>
          <w:bCs/>
        </w:rPr>
      </w:pPr>
    </w:p>
    <w:p w:rsidR="001E0C19" w:rsidRDefault="001E0C19" w:rsidP="007A0881">
      <w:pPr>
        <w:autoSpaceDE w:val="0"/>
        <w:autoSpaceDN w:val="0"/>
        <w:adjustRightInd w:val="0"/>
        <w:spacing w:after="0"/>
        <w:jc w:val="center"/>
        <w:rPr>
          <w:b/>
          <w:bCs/>
        </w:rPr>
      </w:pPr>
    </w:p>
    <w:p w:rsidR="001E0C19" w:rsidRDefault="001E0C19" w:rsidP="007A0881">
      <w:pPr>
        <w:autoSpaceDE w:val="0"/>
        <w:autoSpaceDN w:val="0"/>
        <w:adjustRightInd w:val="0"/>
        <w:spacing w:after="0"/>
        <w:jc w:val="center"/>
        <w:rPr>
          <w:b/>
          <w:bCs/>
        </w:rPr>
      </w:pPr>
    </w:p>
    <w:p w:rsidR="001E0C19" w:rsidRDefault="001E0C19" w:rsidP="007A0881">
      <w:pPr>
        <w:autoSpaceDE w:val="0"/>
        <w:autoSpaceDN w:val="0"/>
        <w:adjustRightInd w:val="0"/>
        <w:spacing w:after="0"/>
        <w:jc w:val="center"/>
        <w:rPr>
          <w:b/>
          <w:bCs/>
        </w:rPr>
      </w:pPr>
    </w:p>
    <w:p w:rsidR="001E0C19" w:rsidRDefault="001E0C19" w:rsidP="007A0881">
      <w:pPr>
        <w:autoSpaceDE w:val="0"/>
        <w:autoSpaceDN w:val="0"/>
        <w:adjustRightInd w:val="0"/>
        <w:spacing w:after="0"/>
        <w:jc w:val="center"/>
        <w:rPr>
          <w:b/>
          <w:bCs/>
        </w:rPr>
      </w:pPr>
    </w:p>
    <w:p w:rsidR="001E0C19" w:rsidRDefault="001E0C19" w:rsidP="007A0881">
      <w:pPr>
        <w:autoSpaceDE w:val="0"/>
        <w:autoSpaceDN w:val="0"/>
        <w:adjustRightInd w:val="0"/>
        <w:spacing w:after="0"/>
        <w:jc w:val="center"/>
        <w:rPr>
          <w:b/>
          <w:bCs/>
        </w:rPr>
      </w:pPr>
    </w:p>
    <w:p w:rsidR="001E0C19" w:rsidRDefault="001E0C19" w:rsidP="007A0881">
      <w:pPr>
        <w:autoSpaceDE w:val="0"/>
        <w:autoSpaceDN w:val="0"/>
        <w:adjustRightInd w:val="0"/>
        <w:spacing w:after="0"/>
        <w:jc w:val="center"/>
        <w:rPr>
          <w:b/>
          <w:bCs/>
        </w:rPr>
      </w:pPr>
    </w:p>
    <w:p w:rsidR="001E0C19" w:rsidRDefault="001E0C19" w:rsidP="007A0881">
      <w:pPr>
        <w:autoSpaceDE w:val="0"/>
        <w:autoSpaceDN w:val="0"/>
        <w:adjustRightInd w:val="0"/>
        <w:spacing w:after="0"/>
        <w:jc w:val="center"/>
        <w:rPr>
          <w:b/>
          <w:bCs/>
        </w:rPr>
      </w:pPr>
    </w:p>
    <w:p w:rsidR="001E0C19" w:rsidRDefault="001E0C19" w:rsidP="007A0881">
      <w:pPr>
        <w:autoSpaceDE w:val="0"/>
        <w:autoSpaceDN w:val="0"/>
        <w:adjustRightInd w:val="0"/>
        <w:spacing w:after="0"/>
        <w:jc w:val="center"/>
        <w:rPr>
          <w:b/>
          <w:bCs/>
        </w:rPr>
      </w:pPr>
    </w:p>
    <w:p w:rsidR="001E0C19" w:rsidRDefault="001E0C19" w:rsidP="007A0881">
      <w:pPr>
        <w:autoSpaceDE w:val="0"/>
        <w:autoSpaceDN w:val="0"/>
        <w:adjustRightInd w:val="0"/>
        <w:spacing w:after="0"/>
        <w:jc w:val="center"/>
        <w:rPr>
          <w:b/>
          <w:bCs/>
        </w:rPr>
      </w:pPr>
    </w:p>
    <w:p w:rsidR="001E0C19" w:rsidRDefault="001E0C19" w:rsidP="007A0881">
      <w:pPr>
        <w:autoSpaceDE w:val="0"/>
        <w:autoSpaceDN w:val="0"/>
        <w:adjustRightInd w:val="0"/>
        <w:spacing w:after="0"/>
        <w:jc w:val="center"/>
        <w:rPr>
          <w:b/>
          <w:bCs/>
        </w:rPr>
      </w:pPr>
    </w:p>
    <w:p w:rsidR="001E0C19" w:rsidRDefault="001E0C19" w:rsidP="007A0881">
      <w:pPr>
        <w:autoSpaceDE w:val="0"/>
        <w:autoSpaceDN w:val="0"/>
        <w:adjustRightInd w:val="0"/>
        <w:spacing w:after="0"/>
        <w:jc w:val="center"/>
        <w:rPr>
          <w:b/>
          <w:bCs/>
        </w:rPr>
      </w:pPr>
    </w:p>
    <w:p w:rsidR="001E0C19" w:rsidRDefault="001E0C19" w:rsidP="007A0881">
      <w:pPr>
        <w:autoSpaceDE w:val="0"/>
        <w:autoSpaceDN w:val="0"/>
        <w:adjustRightInd w:val="0"/>
        <w:spacing w:after="0"/>
        <w:jc w:val="center"/>
        <w:rPr>
          <w:b/>
          <w:bCs/>
        </w:rPr>
      </w:pPr>
    </w:p>
    <w:p w:rsidR="001E0C19" w:rsidRDefault="001E0C19" w:rsidP="007A0881">
      <w:pPr>
        <w:autoSpaceDE w:val="0"/>
        <w:autoSpaceDN w:val="0"/>
        <w:adjustRightInd w:val="0"/>
        <w:spacing w:after="0"/>
        <w:jc w:val="center"/>
        <w:rPr>
          <w:b/>
          <w:bCs/>
        </w:rPr>
      </w:pPr>
    </w:p>
    <w:p w:rsidR="001E0C19" w:rsidRDefault="001E0C19" w:rsidP="007A0881">
      <w:pPr>
        <w:autoSpaceDE w:val="0"/>
        <w:autoSpaceDN w:val="0"/>
        <w:adjustRightInd w:val="0"/>
        <w:spacing w:after="0"/>
        <w:jc w:val="center"/>
        <w:rPr>
          <w:b/>
          <w:bCs/>
        </w:rPr>
      </w:pPr>
    </w:p>
    <w:p w:rsidR="001E0C19" w:rsidRDefault="001E0C19" w:rsidP="007A0881">
      <w:pPr>
        <w:autoSpaceDE w:val="0"/>
        <w:autoSpaceDN w:val="0"/>
        <w:adjustRightInd w:val="0"/>
        <w:spacing w:after="0"/>
        <w:jc w:val="center"/>
        <w:rPr>
          <w:b/>
          <w:bCs/>
        </w:rPr>
      </w:pPr>
    </w:p>
    <w:p w:rsidR="001E0C19" w:rsidRDefault="001E0C19" w:rsidP="007A0881">
      <w:pPr>
        <w:autoSpaceDE w:val="0"/>
        <w:autoSpaceDN w:val="0"/>
        <w:adjustRightInd w:val="0"/>
        <w:spacing w:after="0"/>
        <w:jc w:val="center"/>
        <w:rPr>
          <w:b/>
          <w:bCs/>
        </w:rPr>
      </w:pPr>
    </w:p>
    <w:p w:rsidR="001E0C19" w:rsidRDefault="001E0C19" w:rsidP="007A0881">
      <w:pPr>
        <w:autoSpaceDE w:val="0"/>
        <w:autoSpaceDN w:val="0"/>
        <w:adjustRightInd w:val="0"/>
        <w:spacing w:after="0"/>
        <w:jc w:val="center"/>
        <w:rPr>
          <w:b/>
          <w:bCs/>
        </w:rPr>
      </w:pPr>
    </w:p>
    <w:p w:rsidR="001E0C19" w:rsidRDefault="001E0C19" w:rsidP="007A0881">
      <w:pPr>
        <w:autoSpaceDE w:val="0"/>
        <w:autoSpaceDN w:val="0"/>
        <w:adjustRightInd w:val="0"/>
        <w:spacing w:after="0"/>
        <w:jc w:val="center"/>
        <w:rPr>
          <w:b/>
          <w:bCs/>
        </w:rPr>
      </w:pPr>
    </w:p>
    <w:p w:rsidR="001E0C19" w:rsidRDefault="001E0C19" w:rsidP="007A0881">
      <w:pPr>
        <w:autoSpaceDE w:val="0"/>
        <w:autoSpaceDN w:val="0"/>
        <w:adjustRightInd w:val="0"/>
        <w:spacing w:after="0"/>
        <w:jc w:val="center"/>
        <w:rPr>
          <w:b/>
          <w:bCs/>
        </w:rPr>
      </w:pPr>
    </w:p>
    <w:p w:rsidR="001E0C19" w:rsidRDefault="001E0C19" w:rsidP="007A0881">
      <w:pPr>
        <w:autoSpaceDE w:val="0"/>
        <w:autoSpaceDN w:val="0"/>
        <w:adjustRightInd w:val="0"/>
        <w:spacing w:after="0"/>
        <w:jc w:val="center"/>
        <w:rPr>
          <w:b/>
          <w:bCs/>
        </w:rPr>
      </w:pPr>
    </w:p>
    <w:p w:rsidR="001E0C19" w:rsidRDefault="001E0C19" w:rsidP="007A0881">
      <w:pPr>
        <w:autoSpaceDE w:val="0"/>
        <w:autoSpaceDN w:val="0"/>
        <w:adjustRightInd w:val="0"/>
        <w:spacing w:after="0"/>
        <w:jc w:val="center"/>
        <w:rPr>
          <w:b/>
          <w:bCs/>
        </w:rPr>
      </w:pPr>
    </w:p>
    <w:p w:rsidR="001E0C19" w:rsidRDefault="001E0C19" w:rsidP="007A0881">
      <w:pPr>
        <w:autoSpaceDE w:val="0"/>
        <w:autoSpaceDN w:val="0"/>
        <w:adjustRightInd w:val="0"/>
        <w:spacing w:after="0"/>
        <w:jc w:val="center"/>
        <w:rPr>
          <w:b/>
          <w:bCs/>
        </w:rPr>
      </w:pPr>
    </w:p>
    <w:p w:rsidR="001E0C19" w:rsidRDefault="001E0C19" w:rsidP="007A0881">
      <w:pPr>
        <w:autoSpaceDE w:val="0"/>
        <w:autoSpaceDN w:val="0"/>
        <w:adjustRightInd w:val="0"/>
        <w:spacing w:after="0"/>
        <w:jc w:val="center"/>
        <w:rPr>
          <w:b/>
          <w:bCs/>
        </w:rPr>
      </w:pPr>
    </w:p>
    <w:p w:rsidR="001E0C19" w:rsidRDefault="001E0C19" w:rsidP="007A0881">
      <w:pPr>
        <w:autoSpaceDE w:val="0"/>
        <w:autoSpaceDN w:val="0"/>
        <w:adjustRightInd w:val="0"/>
        <w:spacing w:after="0"/>
        <w:jc w:val="center"/>
        <w:rPr>
          <w:b/>
          <w:bCs/>
        </w:rPr>
      </w:pPr>
    </w:p>
    <w:p w:rsidR="005B6C21" w:rsidRDefault="001E0C19" w:rsidP="007A0881">
      <w:pPr>
        <w:autoSpaceDE w:val="0"/>
        <w:autoSpaceDN w:val="0"/>
        <w:adjustRightInd w:val="0"/>
        <w:spacing w:after="0"/>
        <w:jc w:val="center"/>
        <w:rPr>
          <w:b/>
          <w:bCs/>
          <w:sz w:val="28"/>
          <w:szCs w:val="28"/>
        </w:rPr>
      </w:pPr>
      <w:r>
        <w:rPr>
          <w:b/>
          <w:bCs/>
          <w:sz w:val="28"/>
          <w:szCs w:val="28"/>
        </w:rPr>
        <w:lastRenderedPageBreak/>
        <w:t>FINDINGS</w:t>
      </w:r>
      <w:r w:rsidR="0014494E">
        <w:rPr>
          <w:b/>
          <w:bCs/>
          <w:sz w:val="28"/>
          <w:szCs w:val="28"/>
        </w:rPr>
        <w:t xml:space="preserve"> AND RECOMMENDATION</w:t>
      </w:r>
      <w:r>
        <w:rPr>
          <w:b/>
          <w:bCs/>
          <w:sz w:val="28"/>
          <w:szCs w:val="28"/>
        </w:rPr>
        <w:br/>
      </w:r>
    </w:p>
    <w:p w:rsidR="0014494E" w:rsidRPr="0014494E" w:rsidRDefault="0014494E" w:rsidP="007A0881">
      <w:pPr>
        <w:autoSpaceDE w:val="0"/>
        <w:autoSpaceDN w:val="0"/>
        <w:adjustRightInd w:val="0"/>
        <w:spacing w:after="0"/>
        <w:rPr>
          <w:b/>
          <w:bCs/>
        </w:rPr>
      </w:pPr>
      <w:r>
        <w:rPr>
          <w:b/>
          <w:bCs/>
        </w:rPr>
        <w:t>Findings</w:t>
      </w:r>
    </w:p>
    <w:p w:rsidR="005B6C21" w:rsidRDefault="001E0C19" w:rsidP="007A0881">
      <w:pPr>
        <w:autoSpaceDE w:val="0"/>
        <w:autoSpaceDN w:val="0"/>
        <w:adjustRightInd w:val="0"/>
        <w:spacing w:after="0"/>
        <w:rPr>
          <w:b/>
          <w:bCs/>
        </w:rPr>
      </w:pPr>
      <w:r w:rsidRPr="001E0C19">
        <w:rPr>
          <w:bCs/>
        </w:rPr>
        <w:t>Staff finds</w:t>
      </w:r>
      <w:r>
        <w:rPr>
          <w:bCs/>
        </w:rPr>
        <w:t xml:space="preserve"> that PDS’s self-reported overcharge, totaling $22,976</w:t>
      </w:r>
      <w:r w:rsidR="0014494E">
        <w:rPr>
          <w:bCs/>
        </w:rPr>
        <w:t xml:space="preserve"> and affecting 23 customers over a period of 10 months, constitute</w:t>
      </w:r>
      <w:r w:rsidR="00AB478B">
        <w:rPr>
          <w:bCs/>
        </w:rPr>
        <w:t>s</w:t>
      </w:r>
      <w:r w:rsidR="0014494E">
        <w:rPr>
          <w:bCs/>
        </w:rPr>
        <w:t xml:space="preserve"> 230 violations of WAC 480-70-236. WAC 480-70-236 provides that a solid waste company cannot charge rates for services that are higher, lower or different from those contained in its tariff. </w:t>
      </w:r>
    </w:p>
    <w:p w:rsidR="007A0881" w:rsidRDefault="007A0881" w:rsidP="007A0881">
      <w:r>
        <w:rPr>
          <w:b/>
        </w:rPr>
        <w:br/>
      </w:r>
      <w:r w:rsidR="0014494E" w:rsidRPr="0014494E">
        <w:rPr>
          <w:b/>
        </w:rPr>
        <w:t>Recommendation</w:t>
      </w:r>
      <w:r w:rsidR="0014494E">
        <w:rPr>
          <w:b/>
        </w:rPr>
        <w:br/>
      </w:r>
      <w:r w:rsidR="0014494E">
        <w:t xml:space="preserve">Staff recommends </w:t>
      </w:r>
      <w:r w:rsidR="008D1FE3">
        <w:t xml:space="preserve">a $100 penalty for </w:t>
      </w:r>
      <w:r>
        <w:t>23</w:t>
      </w:r>
      <w:r w:rsidR="0014494E">
        <w:t xml:space="preserve"> violations of WAC 480-70-236</w:t>
      </w:r>
      <w:r>
        <w:t>, which represents one violation per affected customer, for a total penalty of $2,300. Staff believes that penalties for 23 violations—as opposed to 230 violations—is proportionately appropriate given the inadvertent nature of the violations, and that the company self-reported them.</w:t>
      </w:r>
    </w:p>
    <w:p w:rsidR="0014494E" w:rsidRDefault="0014494E" w:rsidP="007A0881">
      <w:r>
        <w:t xml:space="preserve">Staff also recommends that the company refund its customers in the manner prescribed by WAC 480-70-406, which </w:t>
      </w:r>
      <w:r w:rsidR="002707C5">
        <w:t>states:</w:t>
      </w:r>
      <w:r>
        <w:t xml:space="preserve"> “once a company becomes aware that it has overcharged a customer, it must provide a refund or bill adjustment credit to the customer. The customer must be given a choice as to which option is preferred.” </w:t>
      </w:r>
      <w:r w:rsidR="004E6CC6">
        <w:t xml:space="preserve">Staff requests that the company provide written confirmation </w:t>
      </w:r>
      <w:r w:rsidR="002707C5">
        <w:t xml:space="preserve">of the refunds </w:t>
      </w:r>
      <w:r w:rsidR="00C21340">
        <w:t xml:space="preserve">or credits </w:t>
      </w:r>
      <w:r w:rsidR="002707C5">
        <w:t xml:space="preserve">once they are </w:t>
      </w:r>
      <w:r w:rsidR="004E6CC6">
        <w:t xml:space="preserve">made. </w:t>
      </w:r>
    </w:p>
    <w:p w:rsidR="006644C2" w:rsidRDefault="006644C2" w:rsidP="007A0881"/>
    <w:p w:rsidR="006644C2" w:rsidRDefault="006644C2" w:rsidP="007A0881"/>
    <w:p w:rsidR="006644C2" w:rsidRDefault="006644C2" w:rsidP="007A0881"/>
    <w:p w:rsidR="006644C2" w:rsidRDefault="006644C2" w:rsidP="007A0881"/>
    <w:p w:rsidR="006644C2" w:rsidRDefault="006644C2" w:rsidP="007A0881"/>
    <w:p w:rsidR="006644C2" w:rsidRDefault="006644C2" w:rsidP="007A0881"/>
    <w:p w:rsidR="006644C2" w:rsidRDefault="006644C2" w:rsidP="007A0881"/>
    <w:p w:rsidR="006644C2" w:rsidRDefault="006644C2" w:rsidP="007A0881"/>
    <w:p w:rsidR="006644C2" w:rsidRDefault="006644C2" w:rsidP="007A0881"/>
    <w:p w:rsidR="006644C2" w:rsidRDefault="006644C2" w:rsidP="007A0881"/>
    <w:p w:rsidR="006644C2" w:rsidRDefault="006644C2" w:rsidP="007A0881"/>
    <w:p w:rsidR="006644C2" w:rsidRDefault="006644C2" w:rsidP="007A0881">
      <w:pPr>
        <w:jc w:val="center"/>
        <w:rPr>
          <w:b/>
        </w:rPr>
      </w:pPr>
      <w:r>
        <w:rPr>
          <w:b/>
        </w:rPr>
        <w:lastRenderedPageBreak/>
        <w:t>APPENDIX A</w:t>
      </w:r>
    </w:p>
    <w:p w:rsidR="006644C2" w:rsidRDefault="006644C2" w:rsidP="007A0881">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Judy </w:t>
      </w:r>
      <w:proofErr w:type="spellStart"/>
      <w:r>
        <w:rPr>
          <w:rFonts w:ascii="Tahoma" w:hAnsi="Tahoma" w:cs="Tahoma"/>
          <w:sz w:val="20"/>
          <w:szCs w:val="20"/>
        </w:rPr>
        <w:t>Druffel</w:t>
      </w:r>
      <w:proofErr w:type="spellEnd"/>
      <w:r>
        <w:rPr>
          <w:rFonts w:ascii="Tahoma" w:hAnsi="Tahoma" w:cs="Tahoma"/>
          <w:sz w:val="20"/>
          <w:szCs w:val="20"/>
        </w:rPr>
        <w:t xml:space="preserve"> [mailto:judy@pullmandisposal.com]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May 30, 2012 6:56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Stillwell, Suzanne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Overcharge of Customers</w:t>
      </w:r>
    </w:p>
    <w:p w:rsidR="006644C2" w:rsidRDefault="006644C2" w:rsidP="007A0881">
      <w:r>
        <w:t>To Susan Stillwell,</w:t>
      </w:r>
    </w:p>
    <w:p w:rsidR="006644C2" w:rsidRDefault="006644C2" w:rsidP="007A0881">
      <w:r>
        <w:t>This April  when we were putting the new UTC rates from our rate increase into the computer, we found a large error in 23 of our customer accounts</w:t>
      </w:r>
      <w:proofErr w:type="gramStart"/>
      <w:r>
        <w:t xml:space="preserve">.  </w:t>
      </w:r>
      <w:proofErr w:type="gramEnd"/>
      <w:r>
        <w:t xml:space="preserve">We had been charging these customers double for their recycling service.  Some accounts have been charged as of June, 2011, and the others as of August, 2011, when they were restarting their service at the start of the WSU school year.  The software error happened when we transferred from our old software to our new software program. It affected only the recycling for </w:t>
      </w:r>
      <w:proofErr w:type="spellStart"/>
      <w:r>
        <w:t>multi family</w:t>
      </w:r>
      <w:proofErr w:type="spellEnd"/>
      <w:r>
        <w:t xml:space="preserve"> customers with 8 yard containers.</w:t>
      </w:r>
    </w:p>
    <w:p w:rsidR="006644C2" w:rsidRDefault="006644C2" w:rsidP="007A0881">
      <w:r>
        <w:t>As of April all of the accounts have been corrected and are being charged the correct rate.</w:t>
      </w:r>
    </w:p>
    <w:p w:rsidR="006644C2" w:rsidRDefault="006644C2" w:rsidP="007A0881">
      <w:r>
        <w:t>The extra money generated from these errors each month was approximately $2,297.00.  The total amount  for the10 month period was $22,976.00</w:t>
      </w:r>
      <w:proofErr w:type="gramStart"/>
      <w:r>
        <w:t xml:space="preserve">.  </w:t>
      </w:r>
      <w:proofErr w:type="gramEnd"/>
      <w:r>
        <w:t>This amount includes the taxes and fuel surcharge.  The money was deposited with the normal revenue from these accounts.  Our revenue fluctuates depending on several reasons.  One reason is the amount of extra garbage customers put out at the end and the start of the apartment leases.  Fraternities and Sororities preparing for special functions during the school year</w:t>
      </w:r>
      <w:proofErr w:type="gramStart"/>
      <w:r>
        <w:t xml:space="preserve">.  </w:t>
      </w:r>
      <w:proofErr w:type="gramEnd"/>
      <w:r>
        <w:t>Also construction drop boxes used.  None of the customers that were affected noticed the increase in their bills.</w:t>
      </w:r>
    </w:p>
    <w:p w:rsidR="006644C2" w:rsidRDefault="006644C2" w:rsidP="007A0881">
      <w:r>
        <w:t>Pullman Disposal would like to credit these accounts for the overcharges.  We will write each customer a letter and we are asking you if we could spread the credits over a 3 month period – July, August, and September.  One reason we are asking for the 3 months to credit their accounts is because our revenue is lower in June, July, and August.</w:t>
      </w:r>
    </w:p>
    <w:p w:rsidR="006644C2" w:rsidRDefault="006644C2" w:rsidP="007A0881">
      <w:r>
        <w:t xml:space="preserve">Thank you for your consideration of this matter. </w:t>
      </w:r>
    </w:p>
    <w:p w:rsidR="006644C2" w:rsidRDefault="006644C2" w:rsidP="007A0881">
      <w:r>
        <w:t>Sincerely,</w:t>
      </w:r>
    </w:p>
    <w:p w:rsidR="006644C2" w:rsidRDefault="006644C2" w:rsidP="007A0881">
      <w:r>
        <w:t xml:space="preserve">Judy </w:t>
      </w:r>
      <w:proofErr w:type="spellStart"/>
      <w:r>
        <w:t>Druffel</w:t>
      </w:r>
      <w:proofErr w:type="spellEnd"/>
      <w:r>
        <w:br/>
        <w:t>Office Manager</w:t>
      </w:r>
    </w:p>
    <w:p w:rsidR="006644C2" w:rsidRDefault="006644C2" w:rsidP="007A0881">
      <w:pPr>
        <w:rPr>
          <w:b/>
        </w:rPr>
      </w:pPr>
    </w:p>
    <w:p w:rsidR="006644C2" w:rsidRDefault="006644C2" w:rsidP="007A0881">
      <w:pPr>
        <w:rPr>
          <w:b/>
        </w:rPr>
      </w:pPr>
    </w:p>
    <w:p w:rsidR="006644C2" w:rsidRPr="006644C2" w:rsidRDefault="006644C2" w:rsidP="007A0881">
      <w:pPr>
        <w:jc w:val="center"/>
        <w:rPr>
          <w:b/>
        </w:rPr>
      </w:pPr>
      <w:r>
        <w:rPr>
          <w:b/>
        </w:rPr>
        <w:lastRenderedPageBreak/>
        <w:t>APPENDIX B</w:t>
      </w:r>
    </w:p>
    <w:p w:rsidR="006644C2" w:rsidRDefault="006644C2" w:rsidP="007A0881">
      <w:r>
        <w:rPr>
          <w:noProof/>
        </w:rPr>
        <w:drawing>
          <wp:inline distT="0" distB="0" distL="0" distR="0" wp14:anchorId="50DB20C6" wp14:editId="01851DFB">
            <wp:extent cx="5324475" cy="695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4475" cy="6953250"/>
                    </a:xfrm>
                    <a:prstGeom prst="rect">
                      <a:avLst/>
                    </a:prstGeom>
                    <a:noFill/>
                    <a:ln>
                      <a:noFill/>
                    </a:ln>
                  </pic:spPr>
                </pic:pic>
              </a:graphicData>
            </a:graphic>
          </wp:inline>
        </w:drawing>
      </w:r>
    </w:p>
    <w:p w:rsidR="006644C2" w:rsidRDefault="006644C2" w:rsidP="007A0881"/>
    <w:p w:rsidR="006644C2" w:rsidRPr="006644C2" w:rsidRDefault="006644C2" w:rsidP="007A0881">
      <w:pPr>
        <w:jc w:val="center"/>
        <w:rPr>
          <w:b/>
        </w:rPr>
      </w:pPr>
      <w:r>
        <w:rPr>
          <w:b/>
        </w:rPr>
        <w:lastRenderedPageBreak/>
        <w:t>APPENDIX C</w:t>
      </w:r>
      <w:r>
        <w:rPr>
          <w:b/>
          <w:noProof/>
        </w:rPr>
        <w:drawing>
          <wp:inline distT="0" distB="0" distL="0" distR="0" wp14:anchorId="6ADBD5B0" wp14:editId="0EA1A0ED">
            <wp:extent cx="5286375" cy="6496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6375" cy="6496050"/>
                    </a:xfrm>
                    <a:prstGeom prst="rect">
                      <a:avLst/>
                    </a:prstGeom>
                    <a:noFill/>
                    <a:ln>
                      <a:noFill/>
                    </a:ln>
                  </pic:spPr>
                </pic:pic>
              </a:graphicData>
            </a:graphic>
          </wp:inline>
        </w:drawing>
      </w:r>
      <w:r>
        <w:rPr>
          <w:b/>
          <w:noProof/>
        </w:rPr>
        <w:lastRenderedPageBreak/>
        <w:drawing>
          <wp:inline distT="0" distB="0" distL="0" distR="0" wp14:anchorId="69A756D2" wp14:editId="53BAB55E">
            <wp:extent cx="4981575" cy="2676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1575" cy="2676525"/>
                    </a:xfrm>
                    <a:prstGeom prst="rect">
                      <a:avLst/>
                    </a:prstGeom>
                    <a:noFill/>
                    <a:ln>
                      <a:noFill/>
                    </a:ln>
                  </pic:spPr>
                </pic:pic>
              </a:graphicData>
            </a:graphic>
          </wp:inline>
        </w:drawing>
      </w:r>
    </w:p>
    <w:sectPr w:rsidR="006644C2" w:rsidRPr="006644C2" w:rsidSect="004C4C21">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B5C" w:rsidRDefault="00707B5C" w:rsidP="009E7E19">
      <w:pPr>
        <w:spacing w:after="0" w:line="240" w:lineRule="auto"/>
      </w:pPr>
      <w:r>
        <w:separator/>
      </w:r>
    </w:p>
  </w:endnote>
  <w:endnote w:type="continuationSeparator" w:id="0">
    <w:p w:rsidR="00707B5C" w:rsidRDefault="00707B5C" w:rsidP="009E7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61002BDF"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19" w:rsidRDefault="001E0C19" w:rsidP="009E7E19">
    <w:pPr>
      <w:pStyle w:val="Header"/>
      <w:ind w:hanging="720"/>
    </w:pPr>
    <w:r>
      <w:br/>
    </w:r>
    <w:r>
      <w:br/>
    </w:r>
    <w:r w:rsidR="00BD06D8">
      <w:t>Pullman Disposal Service 2012 Investigation Report</w:t>
    </w:r>
  </w:p>
  <w:p w:rsidR="009E7E19" w:rsidRPr="00814C7A" w:rsidRDefault="009E7E19" w:rsidP="009E7E19">
    <w:pPr>
      <w:pStyle w:val="Header"/>
      <w:ind w:hanging="720"/>
    </w:pPr>
  </w:p>
  <w:sdt>
    <w:sdtPr>
      <w:id w:val="18986519"/>
      <w:docPartObj>
        <w:docPartGallery w:val="Page Numbers (Bottom of Page)"/>
        <w:docPartUnique/>
      </w:docPartObj>
    </w:sdtPr>
    <w:sdtEndPr/>
    <w:sdtContent>
      <w:p w:rsidR="009E7E19" w:rsidRDefault="009E7E19">
        <w:pPr>
          <w:pStyle w:val="Footer"/>
          <w:jc w:val="right"/>
        </w:pPr>
        <w:r>
          <w:t xml:space="preserve">Page </w:t>
        </w:r>
        <w:r w:rsidR="00F54E31">
          <w:fldChar w:fldCharType="begin"/>
        </w:r>
        <w:r>
          <w:instrText xml:space="preserve"> PAGE   \* MERGEFORMAT </w:instrText>
        </w:r>
        <w:r w:rsidR="00F54E31">
          <w:fldChar w:fldCharType="separate"/>
        </w:r>
        <w:r w:rsidR="00C0771D">
          <w:rPr>
            <w:noProof/>
          </w:rPr>
          <w:t>3</w:t>
        </w:r>
        <w:r w:rsidR="00F54E31">
          <w:fldChar w:fldCharType="end"/>
        </w:r>
        <w:r>
          <w:t xml:space="preserve"> </w:t>
        </w:r>
      </w:p>
    </w:sdtContent>
  </w:sdt>
  <w:p w:rsidR="009E7E19" w:rsidRDefault="009E7E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B5C" w:rsidRDefault="00707B5C" w:rsidP="009E7E19">
      <w:pPr>
        <w:spacing w:after="0" w:line="240" w:lineRule="auto"/>
      </w:pPr>
      <w:r>
        <w:separator/>
      </w:r>
    </w:p>
  </w:footnote>
  <w:footnote w:type="continuationSeparator" w:id="0">
    <w:p w:rsidR="00707B5C" w:rsidRDefault="00707B5C" w:rsidP="009E7E19">
      <w:pPr>
        <w:spacing w:after="0" w:line="240" w:lineRule="auto"/>
      </w:pPr>
      <w:r>
        <w:continuationSeparator/>
      </w:r>
    </w:p>
  </w:footnote>
  <w:footnote w:id="1">
    <w:p w:rsidR="001E0C19" w:rsidRDefault="001E0C19">
      <w:pPr>
        <w:pStyle w:val="FootnoteText"/>
      </w:pPr>
      <w:r>
        <w:rPr>
          <w:rStyle w:val="FootnoteReference"/>
        </w:rPr>
        <w:footnoteRef/>
      </w:r>
      <w:r>
        <w:t xml:space="preserve"> A copy of the May 30, 2012, email from Ms. </w:t>
      </w:r>
      <w:proofErr w:type="spellStart"/>
      <w:r>
        <w:t>Druffel</w:t>
      </w:r>
      <w:proofErr w:type="spellEnd"/>
      <w:r>
        <w:t xml:space="preserve"> is attached as Appendix A.</w:t>
      </w:r>
    </w:p>
  </w:footnote>
  <w:footnote w:id="2">
    <w:p w:rsidR="001E0C19" w:rsidRDefault="001E0C19">
      <w:pPr>
        <w:pStyle w:val="FootnoteText"/>
      </w:pPr>
      <w:r>
        <w:rPr>
          <w:rStyle w:val="FootnoteReference"/>
        </w:rPr>
        <w:footnoteRef/>
      </w:r>
      <w:r>
        <w:t xml:space="preserve"> A copy of the June </w:t>
      </w:r>
      <w:r w:rsidR="006644C2">
        <w:t>7</w:t>
      </w:r>
      <w:r>
        <w:t>, 2012, data request is attached as Appendix B.</w:t>
      </w:r>
    </w:p>
  </w:footnote>
  <w:footnote w:id="3">
    <w:p w:rsidR="001E0C19" w:rsidRDefault="001E0C19">
      <w:pPr>
        <w:pStyle w:val="FootnoteText"/>
      </w:pPr>
      <w:r>
        <w:rPr>
          <w:rStyle w:val="FootnoteReference"/>
        </w:rPr>
        <w:footnoteRef/>
      </w:r>
      <w:r>
        <w:t xml:space="preserve"> A copy of the June 11, 2012, response to staff’s data request is attached as Appendix 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61A98"/>
    <w:multiLevelType w:val="hybridMultilevel"/>
    <w:tmpl w:val="95BCC6E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0C9C"/>
    <w:rsid w:val="00010161"/>
    <w:rsid w:val="00056E4E"/>
    <w:rsid w:val="00072A77"/>
    <w:rsid w:val="00072E31"/>
    <w:rsid w:val="000775DD"/>
    <w:rsid w:val="000868C2"/>
    <w:rsid w:val="000B53ED"/>
    <w:rsid w:val="0014494E"/>
    <w:rsid w:val="00151454"/>
    <w:rsid w:val="00174451"/>
    <w:rsid w:val="001D6377"/>
    <w:rsid w:val="001E0C19"/>
    <w:rsid w:val="001F44C5"/>
    <w:rsid w:val="002552CA"/>
    <w:rsid w:val="002707C5"/>
    <w:rsid w:val="00273D33"/>
    <w:rsid w:val="003233EA"/>
    <w:rsid w:val="00325D7A"/>
    <w:rsid w:val="00327457"/>
    <w:rsid w:val="00344A6B"/>
    <w:rsid w:val="003C7E1C"/>
    <w:rsid w:val="003D1EED"/>
    <w:rsid w:val="003D5651"/>
    <w:rsid w:val="003D5C85"/>
    <w:rsid w:val="00410C49"/>
    <w:rsid w:val="00411E0C"/>
    <w:rsid w:val="0046744D"/>
    <w:rsid w:val="004B5943"/>
    <w:rsid w:val="004C3D5A"/>
    <w:rsid w:val="004C4C21"/>
    <w:rsid w:val="004E6CC6"/>
    <w:rsid w:val="00563182"/>
    <w:rsid w:val="005A7F20"/>
    <w:rsid w:val="005B6C21"/>
    <w:rsid w:val="0060625A"/>
    <w:rsid w:val="00632881"/>
    <w:rsid w:val="00635142"/>
    <w:rsid w:val="00644C3E"/>
    <w:rsid w:val="00662E68"/>
    <w:rsid w:val="006644C2"/>
    <w:rsid w:val="006726FB"/>
    <w:rsid w:val="006A466D"/>
    <w:rsid w:val="006B3526"/>
    <w:rsid w:val="006B6B94"/>
    <w:rsid w:val="00707B5C"/>
    <w:rsid w:val="00735088"/>
    <w:rsid w:val="007A0881"/>
    <w:rsid w:val="007E4FC4"/>
    <w:rsid w:val="008B4491"/>
    <w:rsid w:val="008D1FE3"/>
    <w:rsid w:val="008D59A0"/>
    <w:rsid w:val="008E76BA"/>
    <w:rsid w:val="00911ECD"/>
    <w:rsid w:val="00923BD2"/>
    <w:rsid w:val="009C3418"/>
    <w:rsid w:val="009E2A95"/>
    <w:rsid w:val="009E7E19"/>
    <w:rsid w:val="00A25461"/>
    <w:rsid w:val="00A266AD"/>
    <w:rsid w:val="00A4113B"/>
    <w:rsid w:val="00AB478B"/>
    <w:rsid w:val="00AB6505"/>
    <w:rsid w:val="00AD0100"/>
    <w:rsid w:val="00AD103F"/>
    <w:rsid w:val="00AD4E4B"/>
    <w:rsid w:val="00AF18AE"/>
    <w:rsid w:val="00B428F8"/>
    <w:rsid w:val="00B477CC"/>
    <w:rsid w:val="00B6357B"/>
    <w:rsid w:val="00BD06D8"/>
    <w:rsid w:val="00C0494C"/>
    <w:rsid w:val="00C0771D"/>
    <w:rsid w:val="00C21340"/>
    <w:rsid w:val="00C21B22"/>
    <w:rsid w:val="00C36D3B"/>
    <w:rsid w:val="00C747BA"/>
    <w:rsid w:val="00CC5E49"/>
    <w:rsid w:val="00CF191E"/>
    <w:rsid w:val="00D221EE"/>
    <w:rsid w:val="00D54D85"/>
    <w:rsid w:val="00D8575E"/>
    <w:rsid w:val="00D92FD3"/>
    <w:rsid w:val="00E12740"/>
    <w:rsid w:val="00E62824"/>
    <w:rsid w:val="00E97E57"/>
    <w:rsid w:val="00ED5EBC"/>
    <w:rsid w:val="00F003EC"/>
    <w:rsid w:val="00F54E31"/>
    <w:rsid w:val="00F639E5"/>
    <w:rsid w:val="00F63F63"/>
    <w:rsid w:val="00F71B2C"/>
    <w:rsid w:val="00FE0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9C"/>
    <w:rPr>
      <w:rFonts w:eastAsia="Calibri" w:cs="Times New Roman"/>
      <w:szCs w:val="24"/>
    </w:rPr>
  </w:style>
  <w:style w:type="paragraph" w:styleId="Heading4">
    <w:name w:val="heading 4"/>
    <w:basedOn w:val="Normal"/>
    <w:next w:val="Normal"/>
    <w:link w:val="Heading4Char"/>
    <w:uiPriority w:val="9"/>
    <w:semiHidden/>
    <w:unhideWhenUsed/>
    <w:qFormat/>
    <w:rsid w:val="004C4C21"/>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0C9C"/>
    <w:pPr>
      <w:spacing w:after="0" w:line="240" w:lineRule="auto"/>
    </w:pPr>
    <w:rPr>
      <w:rFonts w:eastAsia="Calibri" w:cs="Times New Roman"/>
      <w:szCs w:val="24"/>
    </w:rPr>
  </w:style>
  <w:style w:type="paragraph" w:styleId="Header">
    <w:name w:val="header"/>
    <w:basedOn w:val="Normal"/>
    <w:link w:val="HeaderChar"/>
    <w:uiPriority w:val="99"/>
    <w:unhideWhenUsed/>
    <w:rsid w:val="009E7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E19"/>
    <w:rPr>
      <w:rFonts w:eastAsia="Calibri" w:cs="Times New Roman"/>
      <w:szCs w:val="24"/>
    </w:rPr>
  </w:style>
  <w:style w:type="paragraph" w:styleId="Footer">
    <w:name w:val="footer"/>
    <w:basedOn w:val="Normal"/>
    <w:link w:val="FooterChar"/>
    <w:uiPriority w:val="99"/>
    <w:unhideWhenUsed/>
    <w:rsid w:val="009E7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E19"/>
    <w:rPr>
      <w:rFonts w:eastAsia="Calibri" w:cs="Times New Roman"/>
      <w:szCs w:val="24"/>
    </w:rPr>
  </w:style>
  <w:style w:type="paragraph" w:styleId="BalloonText">
    <w:name w:val="Balloon Text"/>
    <w:basedOn w:val="Normal"/>
    <w:link w:val="BalloonTextChar"/>
    <w:uiPriority w:val="99"/>
    <w:semiHidden/>
    <w:unhideWhenUsed/>
    <w:rsid w:val="00411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E0C"/>
    <w:rPr>
      <w:rFonts w:ascii="Tahoma" w:eastAsia="Calibri" w:hAnsi="Tahoma" w:cs="Tahoma"/>
      <w:sz w:val="16"/>
      <w:szCs w:val="16"/>
    </w:rPr>
  </w:style>
  <w:style w:type="character" w:styleId="CommentReference">
    <w:name w:val="annotation reference"/>
    <w:basedOn w:val="DefaultParagraphFont"/>
    <w:uiPriority w:val="99"/>
    <w:semiHidden/>
    <w:unhideWhenUsed/>
    <w:rsid w:val="006B3526"/>
    <w:rPr>
      <w:sz w:val="16"/>
      <w:szCs w:val="16"/>
    </w:rPr>
  </w:style>
  <w:style w:type="paragraph" w:styleId="CommentText">
    <w:name w:val="annotation text"/>
    <w:basedOn w:val="Normal"/>
    <w:link w:val="CommentTextChar"/>
    <w:uiPriority w:val="99"/>
    <w:semiHidden/>
    <w:unhideWhenUsed/>
    <w:rsid w:val="006B3526"/>
    <w:pPr>
      <w:spacing w:line="240" w:lineRule="auto"/>
    </w:pPr>
    <w:rPr>
      <w:sz w:val="20"/>
      <w:szCs w:val="20"/>
    </w:rPr>
  </w:style>
  <w:style w:type="character" w:customStyle="1" w:styleId="CommentTextChar">
    <w:name w:val="Comment Text Char"/>
    <w:basedOn w:val="DefaultParagraphFont"/>
    <w:link w:val="CommentText"/>
    <w:uiPriority w:val="99"/>
    <w:semiHidden/>
    <w:rsid w:val="006B3526"/>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B3526"/>
    <w:rPr>
      <w:b/>
      <w:bCs/>
    </w:rPr>
  </w:style>
  <w:style w:type="character" w:customStyle="1" w:styleId="CommentSubjectChar">
    <w:name w:val="Comment Subject Char"/>
    <w:basedOn w:val="CommentTextChar"/>
    <w:link w:val="CommentSubject"/>
    <w:uiPriority w:val="99"/>
    <w:semiHidden/>
    <w:rsid w:val="006B3526"/>
    <w:rPr>
      <w:rFonts w:eastAsia="Calibri" w:cs="Times New Roman"/>
      <w:b/>
      <w:bCs/>
      <w:sz w:val="20"/>
      <w:szCs w:val="20"/>
    </w:rPr>
  </w:style>
  <w:style w:type="paragraph" w:styleId="FootnoteText">
    <w:name w:val="footnote text"/>
    <w:basedOn w:val="Normal"/>
    <w:link w:val="FootnoteTextChar"/>
    <w:uiPriority w:val="99"/>
    <w:semiHidden/>
    <w:unhideWhenUsed/>
    <w:rsid w:val="006B35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3526"/>
    <w:rPr>
      <w:rFonts w:eastAsia="Calibri" w:cs="Times New Roman"/>
      <w:sz w:val="20"/>
      <w:szCs w:val="20"/>
    </w:rPr>
  </w:style>
  <w:style w:type="character" w:styleId="FootnoteReference">
    <w:name w:val="footnote reference"/>
    <w:basedOn w:val="DefaultParagraphFont"/>
    <w:uiPriority w:val="99"/>
    <w:semiHidden/>
    <w:unhideWhenUsed/>
    <w:rsid w:val="006B3526"/>
    <w:rPr>
      <w:vertAlign w:val="superscript"/>
    </w:rPr>
  </w:style>
  <w:style w:type="character" w:customStyle="1" w:styleId="Heading4Char">
    <w:name w:val="Heading 4 Char"/>
    <w:basedOn w:val="DefaultParagraphFont"/>
    <w:link w:val="Heading4"/>
    <w:uiPriority w:val="9"/>
    <w:semiHidden/>
    <w:rsid w:val="004C4C21"/>
    <w:rPr>
      <w:rFonts w:ascii="Cambria" w:eastAsia="Times New Roman" w:hAnsi="Cambria" w:cs="Times New Roman"/>
      <w:b/>
      <w:bCs/>
      <w:i/>
      <w:iCs/>
      <w:color w:val="4F81BD"/>
      <w:szCs w:val="24"/>
    </w:rPr>
  </w:style>
  <w:style w:type="paragraph" w:styleId="BodyTextIndent">
    <w:name w:val="Body Text Indent"/>
    <w:basedOn w:val="Normal"/>
    <w:link w:val="BodyTextIndentChar"/>
    <w:rsid w:val="004C4C21"/>
    <w:pPr>
      <w:spacing w:after="0" w:line="240" w:lineRule="auto"/>
      <w:ind w:hanging="180"/>
      <w:jc w:val="center"/>
    </w:pPr>
    <w:rPr>
      <w:rFonts w:ascii="Impact" w:eastAsia="Times New Roman" w:hAnsi="Impact"/>
      <w:color w:val="000000"/>
      <w:sz w:val="52"/>
      <w:szCs w:val="32"/>
    </w:rPr>
  </w:style>
  <w:style w:type="character" w:customStyle="1" w:styleId="BodyTextIndentChar">
    <w:name w:val="Body Text Indent Char"/>
    <w:basedOn w:val="DefaultParagraphFont"/>
    <w:link w:val="BodyTextIndent"/>
    <w:rsid w:val="004C4C21"/>
    <w:rPr>
      <w:rFonts w:ascii="Impact" w:eastAsia="Times New Roman" w:hAnsi="Impact" w:cs="Times New Roman"/>
      <w:color w:val="000000"/>
      <w:sz w:val="52"/>
      <w:szCs w:val="32"/>
    </w:rPr>
  </w:style>
  <w:style w:type="character" w:styleId="Hyperlink">
    <w:name w:val="Hyperlink"/>
    <w:basedOn w:val="DefaultParagraphFont"/>
    <w:uiPriority w:val="99"/>
    <w:unhideWhenUsed/>
    <w:rsid w:val="00BD06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166467">
      <w:bodyDiv w:val="1"/>
      <w:marLeft w:val="0"/>
      <w:marRight w:val="0"/>
      <w:marTop w:val="0"/>
      <w:marBottom w:val="0"/>
      <w:divBdr>
        <w:top w:val="none" w:sz="0" w:space="0" w:color="auto"/>
        <w:left w:val="none" w:sz="0" w:space="0" w:color="auto"/>
        <w:bottom w:val="none" w:sz="0" w:space="0" w:color="auto"/>
        <w:right w:val="none" w:sz="0" w:space="0" w:color="auto"/>
      </w:divBdr>
    </w:div>
    <w:div w:id="1083064757">
      <w:bodyDiv w:val="1"/>
      <w:marLeft w:val="0"/>
      <w:marRight w:val="0"/>
      <w:marTop w:val="0"/>
      <w:marBottom w:val="0"/>
      <w:divBdr>
        <w:top w:val="none" w:sz="0" w:space="0" w:color="auto"/>
        <w:left w:val="none" w:sz="0" w:space="0" w:color="auto"/>
        <w:bottom w:val="none" w:sz="0" w:space="0" w:color="auto"/>
        <w:right w:val="none" w:sz="0" w:space="0" w:color="auto"/>
      </w:divBdr>
    </w:div>
    <w:div w:id="156317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2012-07-20T07:00:00+00:00</OpenedDate>
    <Date1 xmlns="dc463f71-b30c-4ab2-9473-d307f9d35888">2012-07-26T07:00:00+00:00</Date1>
    <IsDocumentOrder xmlns="dc463f71-b30c-4ab2-9473-d307f9d35888">true</IsDocumentOrder>
    <IsHighlyConfidential xmlns="dc463f71-b30c-4ab2-9473-d307f9d35888">false</IsHighlyConfidential>
    <CaseCompanyNames xmlns="dc463f71-b30c-4ab2-9473-d307f9d35888">PULLMAN DISPOSAL SERVICE, INC.</CaseCompanyNames>
    <DocketNumber xmlns="dc463f71-b30c-4ab2-9473-d307f9d35888">121205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4AA2056123584BA1A97A157A0A07CB" ma:contentTypeVersion="139" ma:contentTypeDescription="" ma:contentTypeScope="" ma:versionID="2a21896677fd8cf780ba6d4b458c1a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22FF9E8-18DF-4000-9480-391C752F9AAA}"/>
</file>

<file path=customXml/itemProps2.xml><?xml version="1.0" encoding="utf-8"?>
<ds:datastoreItem xmlns:ds="http://schemas.openxmlformats.org/officeDocument/2006/customXml" ds:itemID="{9BA94C31-440D-4DE1-AFA8-60F3371949D0}"/>
</file>

<file path=customXml/itemProps3.xml><?xml version="1.0" encoding="utf-8"?>
<ds:datastoreItem xmlns:ds="http://schemas.openxmlformats.org/officeDocument/2006/customXml" ds:itemID="{0652DD35-4E9D-4EDD-97C2-AA243DA190AF}"/>
</file>

<file path=customXml/itemProps4.xml><?xml version="1.0" encoding="utf-8"?>
<ds:datastoreItem xmlns:ds="http://schemas.openxmlformats.org/officeDocument/2006/customXml" ds:itemID="{72051205-15CB-4F53-BFA0-DF06C9BFC90A}"/>
</file>

<file path=customXml/itemProps5.xml><?xml version="1.0" encoding="utf-8"?>
<ds:datastoreItem xmlns:ds="http://schemas.openxmlformats.org/officeDocument/2006/customXml" ds:itemID="{FD8E9511-55E2-462F-8F54-E676380A9594}"/>
</file>

<file path=docProps/app.xml><?xml version="1.0" encoding="utf-8"?>
<Properties xmlns="http://schemas.openxmlformats.org/officeDocument/2006/extended-properties" xmlns:vt="http://schemas.openxmlformats.org/officeDocument/2006/docPropsVTypes">
  <Template>Normal.dotm</Template>
  <TotalTime>5</TotalTime>
  <Pages>10</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Rayne Pearson</dc:creator>
  <cp:keywords/>
  <dc:description/>
  <cp:lastModifiedBy>Rayne Pearson</cp:lastModifiedBy>
  <cp:revision>3</cp:revision>
  <cp:lastPrinted>2012-07-26T18:40:00Z</cp:lastPrinted>
  <dcterms:created xsi:type="dcterms:W3CDTF">2012-07-26T18:38:00Z</dcterms:created>
  <dcterms:modified xsi:type="dcterms:W3CDTF">2012-07-26T18:44:00Z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0x0101006E56B4D1795A2E4DB2F0B01679ED314A000F4AA2056123584BA1A97A157A0A07CB</vt:lpwstr>
  </property>
  <property fmtid="{D5CDD505-2E9C-101B-9397-08002B2CF9AE}" pid="3" name="_docset_NoMedatataSyncRequired">
    <vt:lpwstr>False</vt:lpwstr>
  </property>
</Properties>
</file>