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-904875</wp:posOffset>
            </wp:positionV>
            <wp:extent cx="8048625" cy="181927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CD60DE" w:rsidRDefault="00CD60DE">
      <w:pPr>
        <w:jc w:val="both"/>
        <w:rPr>
          <w:sz w:val="24"/>
        </w:rPr>
      </w:pPr>
    </w:p>
    <w:p w:rsidR="00040621" w:rsidRDefault="00063C7A">
      <w:pPr>
        <w:jc w:val="both"/>
        <w:rPr>
          <w:sz w:val="24"/>
        </w:rPr>
      </w:pPr>
      <w:r>
        <w:rPr>
          <w:sz w:val="24"/>
        </w:rPr>
        <w:t>May 31, 2012</w:t>
      </w:r>
    </w:p>
    <w:p w:rsidR="00040621" w:rsidRDefault="00040621">
      <w:pPr>
        <w:jc w:val="both"/>
        <w:rPr>
          <w:sz w:val="24"/>
        </w:rPr>
      </w:pPr>
    </w:p>
    <w:p w:rsidR="005C2F04" w:rsidRDefault="005C2F04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>
        <w:rPr>
          <w:sz w:val="24"/>
        </w:rPr>
        <w:t>Danner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Default="00040621" w:rsidP="00DA1D28">
      <w:pPr>
        <w:pStyle w:val="BodyText2"/>
        <w:spacing w:line="360" w:lineRule="auto"/>
      </w:pPr>
      <w:r>
        <w:t xml:space="preserve">Attached for filing with the Commission is an electronic copy of </w:t>
      </w:r>
      <w:r w:rsidR="00D23FE7" w:rsidRPr="009653A2">
        <w:rPr>
          <w:szCs w:val="24"/>
        </w:rPr>
        <w:t>Avista Corporation</w:t>
      </w:r>
      <w:r w:rsidR="00D23FE7">
        <w:rPr>
          <w:szCs w:val="24"/>
        </w:rPr>
        <w:t>’s</w:t>
      </w:r>
      <w:r w:rsidR="00D23FE7" w:rsidRPr="009653A2">
        <w:rPr>
          <w:szCs w:val="24"/>
        </w:rPr>
        <w:t xml:space="preserve"> dba Avista Utilities (“Avista or the Company”)</w:t>
      </w:r>
      <w:r>
        <w:t xml:space="preserve"> </w:t>
      </w:r>
      <w:r w:rsidR="00EE6695">
        <w:t>filing</w:t>
      </w:r>
      <w:r w:rsidR="003A3A22">
        <w:t xml:space="preserve"> of its </w:t>
      </w:r>
      <w:r>
        <w:t xml:space="preserve">proposed revisions to the </w:t>
      </w:r>
      <w:r w:rsidR="007E00A2">
        <w:t>following tariff sheet</w:t>
      </w:r>
      <w:r w:rsidR="00063C7A">
        <w:t>s</w:t>
      </w:r>
      <w:r w:rsidR="0061578F">
        <w:t>,</w:t>
      </w:r>
      <w:r w:rsidR="00E51832">
        <w:t xml:space="preserve"> </w:t>
      </w:r>
      <w:r w:rsidR="00063C7A">
        <w:t xml:space="preserve">WN U-28 and </w:t>
      </w:r>
      <w:r w:rsidR="00E51832">
        <w:t>WN U-29</w:t>
      </w:r>
      <w:r>
        <w:t>:</w:t>
      </w:r>
    </w:p>
    <w:p w:rsidR="009D79A8" w:rsidRDefault="009D79A8" w:rsidP="00E51832">
      <w:pPr>
        <w:tabs>
          <w:tab w:val="left" w:pos="5760"/>
        </w:tabs>
        <w:ind w:left="720"/>
        <w:rPr>
          <w:sz w:val="24"/>
        </w:rPr>
      </w:pPr>
    </w:p>
    <w:p w:rsidR="00063C7A" w:rsidRPr="00FF0EC6" w:rsidRDefault="00063C7A" w:rsidP="00063C7A">
      <w:pPr>
        <w:tabs>
          <w:tab w:val="left" w:pos="4320"/>
        </w:tabs>
        <w:ind w:left="720"/>
        <w:rPr>
          <w:b/>
          <w:sz w:val="24"/>
        </w:rPr>
      </w:pPr>
      <w:r w:rsidRPr="00FF0EC6">
        <w:rPr>
          <w:b/>
          <w:sz w:val="24"/>
        </w:rPr>
        <w:t>Eleventh Revision Sheet 91</w:t>
      </w:r>
      <w:r w:rsidRPr="00FF0EC6">
        <w:rPr>
          <w:b/>
          <w:sz w:val="24"/>
        </w:rPr>
        <w:tab/>
      </w:r>
      <w:r w:rsidRPr="00FF0EC6">
        <w:rPr>
          <w:sz w:val="24"/>
        </w:rPr>
        <w:t>Canceling</w:t>
      </w:r>
      <w:r w:rsidRPr="00FF0EC6">
        <w:rPr>
          <w:b/>
          <w:sz w:val="24"/>
        </w:rPr>
        <w:tab/>
        <w:t>Tenth Revision Sheet 91</w:t>
      </w:r>
      <w:r w:rsidRPr="00FF0EC6">
        <w:rPr>
          <w:b/>
          <w:sz w:val="24"/>
        </w:rPr>
        <w:tab/>
      </w:r>
    </w:p>
    <w:p w:rsidR="00E51832" w:rsidRPr="00FF0EC6" w:rsidRDefault="00063C7A" w:rsidP="00063C7A">
      <w:pPr>
        <w:tabs>
          <w:tab w:val="left" w:pos="4320"/>
          <w:tab w:val="left" w:pos="5760"/>
        </w:tabs>
        <w:ind w:left="720"/>
        <w:rPr>
          <w:b/>
          <w:sz w:val="24"/>
        </w:rPr>
      </w:pPr>
      <w:r w:rsidRPr="00FF0EC6">
        <w:rPr>
          <w:b/>
          <w:sz w:val="24"/>
        </w:rPr>
        <w:t>Fift</w:t>
      </w:r>
      <w:r w:rsidR="0002071B" w:rsidRPr="00FF0EC6">
        <w:rPr>
          <w:b/>
          <w:sz w:val="24"/>
        </w:rPr>
        <w:t>eenth</w:t>
      </w:r>
      <w:r w:rsidR="00F52D82" w:rsidRPr="00FF0EC6">
        <w:rPr>
          <w:b/>
          <w:sz w:val="24"/>
        </w:rPr>
        <w:t xml:space="preserve"> </w:t>
      </w:r>
      <w:r w:rsidR="00E51832" w:rsidRPr="00FF0EC6">
        <w:rPr>
          <w:b/>
          <w:sz w:val="24"/>
        </w:rPr>
        <w:t>Revision Sheet 191</w:t>
      </w:r>
      <w:r w:rsidR="00B50F66" w:rsidRPr="00FF0EC6">
        <w:rPr>
          <w:b/>
          <w:sz w:val="24"/>
        </w:rPr>
        <w:t xml:space="preserve">          </w:t>
      </w:r>
      <w:r w:rsidRPr="00FF0EC6">
        <w:rPr>
          <w:b/>
          <w:sz w:val="24"/>
        </w:rPr>
        <w:tab/>
      </w:r>
      <w:r w:rsidR="00E51832" w:rsidRPr="00FF0EC6">
        <w:rPr>
          <w:sz w:val="24"/>
        </w:rPr>
        <w:t xml:space="preserve">Canceling </w:t>
      </w:r>
      <w:r w:rsidR="00B50F66" w:rsidRPr="00FF0EC6">
        <w:rPr>
          <w:b/>
          <w:sz w:val="24"/>
        </w:rPr>
        <w:tab/>
      </w:r>
      <w:r w:rsidRPr="00FF0EC6">
        <w:rPr>
          <w:b/>
          <w:sz w:val="24"/>
        </w:rPr>
        <w:t>Fourteenth</w:t>
      </w:r>
      <w:r w:rsidR="00F52D82" w:rsidRPr="00FF0EC6">
        <w:rPr>
          <w:b/>
          <w:sz w:val="24"/>
        </w:rPr>
        <w:t xml:space="preserve"> </w:t>
      </w:r>
      <w:r w:rsidR="00E51832" w:rsidRPr="00FF0EC6">
        <w:rPr>
          <w:b/>
          <w:sz w:val="24"/>
        </w:rPr>
        <w:t>Revision Sheet 191</w:t>
      </w:r>
    </w:p>
    <w:p w:rsidR="003A3A22" w:rsidRDefault="003A3A22" w:rsidP="002C67B6">
      <w:pPr>
        <w:jc w:val="both"/>
        <w:rPr>
          <w:sz w:val="24"/>
          <w:szCs w:val="24"/>
        </w:rPr>
      </w:pPr>
      <w:bookmarkStart w:id="0" w:name="OLE_LINK2"/>
      <w:bookmarkStart w:id="1" w:name="OLE_LINK3"/>
    </w:p>
    <w:p w:rsidR="00BF6B7E" w:rsidRDefault="00F52D82" w:rsidP="00BF6B7E">
      <w:pPr>
        <w:pStyle w:val="BodyText2"/>
        <w:spacing w:line="360" w:lineRule="auto"/>
        <w:ind w:firstLine="720"/>
        <w:rPr>
          <w:szCs w:val="24"/>
        </w:rPr>
      </w:pPr>
      <w:r w:rsidRPr="00BF6B7E">
        <w:rPr>
          <w:szCs w:val="24"/>
        </w:rPr>
        <w:t xml:space="preserve">As part of the </w:t>
      </w:r>
      <w:r w:rsidR="009D79A8" w:rsidRPr="00BF6B7E">
        <w:rPr>
          <w:szCs w:val="24"/>
        </w:rPr>
        <w:t>conditions</w:t>
      </w:r>
      <w:r w:rsidRPr="00BF6B7E">
        <w:rPr>
          <w:szCs w:val="24"/>
        </w:rPr>
        <w:t xml:space="preserve"> approved by the Commission in Docket No</w:t>
      </w:r>
      <w:r w:rsidR="00946679" w:rsidRPr="00BF6B7E">
        <w:rPr>
          <w:szCs w:val="24"/>
        </w:rPr>
        <w:t>. UE-</w:t>
      </w:r>
      <w:r w:rsidR="00063C7A" w:rsidRPr="00BF6B7E">
        <w:rPr>
          <w:szCs w:val="24"/>
        </w:rPr>
        <w:t>111882</w:t>
      </w:r>
      <w:r w:rsidR="00452092" w:rsidRPr="00BF6B7E">
        <w:rPr>
          <w:szCs w:val="24"/>
        </w:rPr>
        <w:t>, Order 01</w:t>
      </w:r>
      <w:r w:rsidR="00F31B46" w:rsidRPr="00BF6B7E">
        <w:rPr>
          <w:szCs w:val="24"/>
        </w:rPr>
        <w:t xml:space="preserve"> at Paragraph </w:t>
      </w:r>
      <w:r w:rsidR="00063C7A" w:rsidRPr="00BF6B7E">
        <w:rPr>
          <w:szCs w:val="24"/>
        </w:rPr>
        <w:t>30</w:t>
      </w:r>
      <w:r w:rsidR="00485113" w:rsidRPr="00BF6B7E">
        <w:rPr>
          <w:szCs w:val="24"/>
        </w:rPr>
        <w:t xml:space="preserve">, </w:t>
      </w:r>
      <w:r w:rsidR="001975F3" w:rsidRPr="00BF6B7E">
        <w:rPr>
          <w:szCs w:val="24"/>
        </w:rPr>
        <w:t xml:space="preserve"> </w:t>
      </w:r>
      <w:r w:rsidRPr="00BF6B7E">
        <w:rPr>
          <w:szCs w:val="24"/>
        </w:rPr>
        <w:t xml:space="preserve">Avista </w:t>
      </w:r>
      <w:r w:rsidR="00714294" w:rsidRPr="00BF6B7E">
        <w:rPr>
          <w:szCs w:val="24"/>
        </w:rPr>
        <w:t>must</w:t>
      </w:r>
      <w:r w:rsidRPr="00BF6B7E">
        <w:rPr>
          <w:szCs w:val="24"/>
        </w:rPr>
        <w:t xml:space="preserve"> file with the Commission </w:t>
      </w:r>
      <w:r w:rsidR="00063C7A" w:rsidRPr="00BF6B7E">
        <w:rPr>
          <w:szCs w:val="24"/>
        </w:rPr>
        <w:t xml:space="preserve">a cost recovery tariff by June 1, 2012, with </w:t>
      </w:r>
      <w:r w:rsidR="00BF6B7E">
        <w:rPr>
          <w:szCs w:val="24"/>
        </w:rPr>
        <w:t xml:space="preserve">a </w:t>
      </w:r>
      <w:r w:rsidR="00063C7A" w:rsidRPr="00BF6B7E">
        <w:rPr>
          <w:szCs w:val="24"/>
        </w:rPr>
        <w:t xml:space="preserve">requested effective date of August 1, 2012. </w:t>
      </w:r>
      <w:r w:rsidRPr="00BF6B7E">
        <w:rPr>
          <w:szCs w:val="24"/>
        </w:rPr>
        <w:t xml:space="preserve"> </w:t>
      </w:r>
      <w:r w:rsidR="00BF6B7E" w:rsidRPr="00BF6B7E">
        <w:rPr>
          <w:szCs w:val="24"/>
        </w:rPr>
        <w:t>The Company’s tariff rider mechanism is designed to match future revenue with budgeted expenditures. To ensure appropriate recovery, the mechanism includes a true-up feature that reconciles the previous periods’ actual expenditures and collections.</w:t>
      </w:r>
    </w:p>
    <w:p w:rsidR="00BF6B7E" w:rsidRPr="00BF6B7E" w:rsidRDefault="00BF6B7E" w:rsidP="00BF6B7E">
      <w:pPr>
        <w:pStyle w:val="BodyText2"/>
        <w:spacing w:line="360" w:lineRule="auto"/>
        <w:ind w:firstLine="720"/>
        <w:rPr>
          <w:szCs w:val="24"/>
        </w:rPr>
      </w:pPr>
      <w:r w:rsidRPr="00BF6B7E">
        <w:rPr>
          <w:szCs w:val="24"/>
        </w:rPr>
        <w:t>As of March 31, 2012, the current Schedule 91 (electric) and 191 (natural gas) tariff rider balances were over $2.4 million overfunded and $741,000 overfunded respectively.  Overfunded balances indicate that more tariff rider funding was collected than necessary</w:t>
      </w:r>
      <w:r w:rsidR="005519C3">
        <w:rPr>
          <w:szCs w:val="24"/>
        </w:rPr>
        <w:t xml:space="preserve"> to fund the ong</w:t>
      </w:r>
      <w:r w:rsidR="005519C3" w:rsidRPr="00BF6B7E">
        <w:rPr>
          <w:szCs w:val="24"/>
        </w:rPr>
        <w:t>oing</w:t>
      </w:r>
      <w:r w:rsidRPr="00BF6B7E">
        <w:rPr>
          <w:szCs w:val="24"/>
        </w:rPr>
        <w:t xml:space="preserve"> D</w:t>
      </w:r>
      <w:r>
        <w:rPr>
          <w:szCs w:val="24"/>
        </w:rPr>
        <w:t xml:space="preserve">emand </w:t>
      </w:r>
      <w:r w:rsidRPr="00BF6B7E">
        <w:rPr>
          <w:szCs w:val="24"/>
        </w:rPr>
        <w:t>S</w:t>
      </w:r>
      <w:r>
        <w:rPr>
          <w:szCs w:val="24"/>
        </w:rPr>
        <w:t>ide Management (DSM)</w:t>
      </w:r>
      <w:r w:rsidRPr="00BF6B7E">
        <w:rPr>
          <w:szCs w:val="24"/>
        </w:rPr>
        <w:t xml:space="preserve"> operations.  In addition, for Schedule 91, the Company incurs a 10 percent interest on any overfunded balances. </w:t>
      </w:r>
    </w:p>
    <w:p w:rsidR="005C2F04" w:rsidRDefault="005C2F04" w:rsidP="00BF6B7E">
      <w:pPr>
        <w:spacing w:line="360" w:lineRule="auto"/>
        <w:ind w:firstLine="720"/>
        <w:jc w:val="both"/>
        <w:rPr>
          <w:sz w:val="24"/>
          <w:szCs w:val="24"/>
        </w:rPr>
      </w:pPr>
    </w:p>
    <w:p w:rsidR="00B14584" w:rsidRPr="00BF6B7E" w:rsidRDefault="00BF6B7E" w:rsidP="00BF6B7E">
      <w:pPr>
        <w:spacing w:line="360" w:lineRule="auto"/>
        <w:ind w:firstLine="720"/>
        <w:jc w:val="both"/>
        <w:rPr>
          <w:sz w:val="24"/>
          <w:szCs w:val="24"/>
        </w:rPr>
      </w:pPr>
      <w:r w:rsidRPr="00BF6B7E">
        <w:rPr>
          <w:sz w:val="24"/>
          <w:szCs w:val="24"/>
        </w:rPr>
        <w:lastRenderedPageBreak/>
        <w:t xml:space="preserve">In the past, the increase to Schedules 91 and 191 allowed for adequate revenue to both fund current energy efficiency operations as well as </w:t>
      </w:r>
      <w:r w:rsidR="005519C3">
        <w:rPr>
          <w:sz w:val="24"/>
          <w:szCs w:val="24"/>
        </w:rPr>
        <w:t xml:space="preserve">to </w:t>
      </w:r>
      <w:r w:rsidRPr="00BF6B7E">
        <w:rPr>
          <w:sz w:val="24"/>
          <w:szCs w:val="24"/>
        </w:rPr>
        <w:t xml:space="preserve">reduce the accumulation of underfunded tariff rider balances for these Schedules.  The tariff rider adjustments proposed in this filing would reduce the </w:t>
      </w:r>
      <w:r w:rsidR="00CE0039">
        <w:rPr>
          <w:sz w:val="24"/>
          <w:szCs w:val="24"/>
        </w:rPr>
        <w:t>over-funded</w:t>
      </w:r>
      <w:r w:rsidRPr="00BF6B7E">
        <w:rPr>
          <w:sz w:val="24"/>
          <w:szCs w:val="24"/>
        </w:rPr>
        <w:t xml:space="preserve"> balance, </w:t>
      </w:r>
      <w:r w:rsidR="00CE0039">
        <w:rPr>
          <w:sz w:val="24"/>
          <w:szCs w:val="24"/>
        </w:rPr>
        <w:t>and provide approximately</w:t>
      </w:r>
      <w:r w:rsidRPr="00BF6B7E">
        <w:rPr>
          <w:sz w:val="24"/>
          <w:szCs w:val="24"/>
        </w:rPr>
        <w:t xml:space="preserve"> $12.3 million and $4.4 milli</w:t>
      </w:r>
      <w:r w:rsidR="005519C3">
        <w:rPr>
          <w:sz w:val="24"/>
          <w:szCs w:val="24"/>
        </w:rPr>
        <w:t>on in annual revenue to fund on</w:t>
      </w:r>
      <w:r w:rsidRPr="00BF6B7E">
        <w:rPr>
          <w:sz w:val="24"/>
          <w:szCs w:val="24"/>
        </w:rPr>
        <w:t>going electric and natural gas efficiency</w:t>
      </w:r>
      <w:r w:rsidR="00CE0039">
        <w:rPr>
          <w:sz w:val="24"/>
          <w:szCs w:val="24"/>
        </w:rPr>
        <w:t>,</w:t>
      </w:r>
      <w:r w:rsidRPr="00BF6B7E">
        <w:rPr>
          <w:sz w:val="24"/>
          <w:szCs w:val="24"/>
        </w:rPr>
        <w:t xml:space="preserve"> respectively.</w:t>
      </w:r>
      <w:r w:rsidR="00485113" w:rsidRPr="00BF6B7E">
        <w:rPr>
          <w:sz w:val="24"/>
          <w:szCs w:val="24"/>
        </w:rPr>
        <w:t xml:space="preserve">  </w:t>
      </w:r>
      <w:bookmarkEnd w:id="0"/>
      <w:bookmarkEnd w:id="1"/>
    </w:p>
    <w:p w:rsidR="002C67B6" w:rsidRPr="00DA1D28" w:rsidRDefault="002C67B6" w:rsidP="00BF6B7E">
      <w:pPr>
        <w:spacing w:line="360" w:lineRule="auto"/>
        <w:ind w:firstLine="720"/>
        <w:jc w:val="both"/>
        <w:rPr>
          <w:sz w:val="24"/>
          <w:szCs w:val="24"/>
        </w:rPr>
      </w:pPr>
      <w:r w:rsidRPr="002C67B6">
        <w:rPr>
          <w:sz w:val="24"/>
          <w:szCs w:val="24"/>
        </w:rPr>
        <w:t>Schedule</w:t>
      </w:r>
      <w:r w:rsidR="0005174E">
        <w:rPr>
          <w:sz w:val="24"/>
          <w:szCs w:val="24"/>
        </w:rPr>
        <w:t>s</w:t>
      </w:r>
      <w:r w:rsidRPr="002C67B6">
        <w:rPr>
          <w:sz w:val="24"/>
          <w:szCs w:val="24"/>
        </w:rPr>
        <w:t xml:space="preserve"> </w:t>
      </w:r>
      <w:r w:rsidR="003709CC">
        <w:rPr>
          <w:sz w:val="24"/>
          <w:szCs w:val="24"/>
        </w:rPr>
        <w:t xml:space="preserve">91 and </w:t>
      </w:r>
      <w:r w:rsidR="00DA1D28">
        <w:rPr>
          <w:sz w:val="24"/>
          <w:szCs w:val="24"/>
        </w:rPr>
        <w:t>191 fund</w:t>
      </w:r>
      <w:r w:rsidRPr="002C67B6">
        <w:rPr>
          <w:sz w:val="24"/>
          <w:szCs w:val="24"/>
        </w:rPr>
        <w:t xml:space="preserve"> DSM programs described in </w:t>
      </w:r>
      <w:r w:rsidR="00BF6B7E">
        <w:rPr>
          <w:sz w:val="24"/>
          <w:szCs w:val="24"/>
        </w:rPr>
        <w:t xml:space="preserve">the Company’s </w:t>
      </w:r>
      <w:r w:rsidRPr="002C67B6">
        <w:rPr>
          <w:sz w:val="24"/>
          <w:szCs w:val="24"/>
        </w:rPr>
        <w:t>Schedule</w:t>
      </w:r>
      <w:r w:rsidR="00435BF4">
        <w:rPr>
          <w:sz w:val="24"/>
          <w:szCs w:val="24"/>
        </w:rPr>
        <w:t>s</w:t>
      </w:r>
      <w:r w:rsidRPr="002C67B6">
        <w:rPr>
          <w:sz w:val="24"/>
          <w:szCs w:val="24"/>
        </w:rPr>
        <w:t xml:space="preserve"> </w:t>
      </w:r>
      <w:r w:rsidR="003709CC">
        <w:rPr>
          <w:sz w:val="24"/>
          <w:szCs w:val="24"/>
        </w:rPr>
        <w:t xml:space="preserve">90 and </w:t>
      </w:r>
      <w:r w:rsidRPr="002C67B6">
        <w:rPr>
          <w:sz w:val="24"/>
          <w:szCs w:val="24"/>
        </w:rPr>
        <w:t xml:space="preserve">190.  </w:t>
      </w:r>
      <w:r w:rsidR="00AE00CF" w:rsidRPr="002C67B6">
        <w:rPr>
          <w:sz w:val="24"/>
          <w:szCs w:val="24"/>
        </w:rPr>
        <w:t xml:space="preserve">All Schedule </w:t>
      </w:r>
      <w:r w:rsidR="00AE00CF">
        <w:rPr>
          <w:sz w:val="24"/>
          <w:szCs w:val="24"/>
        </w:rPr>
        <w:t xml:space="preserve">91 and </w:t>
      </w:r>
      <w:r w:rsidR="00AE00CF" w:rsidRPr="002C67B6">
        <w:rPr>
          <w:sz w:val="24"/>
          <w:szCs w:val="24"/>
        </w:rPr>
        <w:t xml:space="preserve">191 </w:t>
      </w:r>
      <w:r w:rsidR="00DA1D28">
        <w:rPr>
          <w:sz w:val="24"/>
          <w:szCs w:val="24"/>
        </w:rPr>
        <w:t>DSM revenue</w:t>
      </w:r>
      <w:r w:rsidR="00AE00CF" w:rsidRPr="002C67B6">
        <w:rPr>
          <w:sz w:val="24"/>
          <w:szCs w:val="24"/>
        </w:rPr>
        <w:t xml:space="preserve"> </w:t>
      </w:r>
      <w:r w:rsidR="00A90350">
        <w:rPr>
          <w:sz w:val="24"/>
          <w:szCs w:val="24"/>
        </w:rPr>
        <w:t>is applied only to</w:t>
      </w:r>
      <w:r w:rsidR="00AE00CF" w:rsidRPr="002C67B6">
        <w:rPr>
          <w:sz w:val="24"/>
          <w:szCs w:val="24"/>
        </w:rPr>
        <w:t xml:space="preserve"> </w:t>
      </w:r>
      <w:r w:rsidR="00A90350">
        <w:rPr>
          <w:sz w:val="24"/>
          <w:szCs w:val="24"/>
        </w:rPr>
        <w:t>the provision of</w:t>
      </w:r>
      <w:r w:rsidR="00AE00CF" w:rsidRPr="002C67B6">
        <w:rPr>
          <w:sz w:val="24"/>
          <w:szCs w:val="24"/>
        </w:rPr>
        <w:t xml:space="preserve"> </w:t>
      </w:r>
      <w:r w:rsidR="00AE00CF">
        <w:rPr>
          <w:sz w:val="24"/>
          <w:szCs w:val="24"/>
        </w:rPr>
        <w:t xml:space="preserve">electric and </w:t>
      </w:r>
      <w:r w:rsidR="00AE00CF" w:rsidRPr="002C67B6">
        <w:rPr>
          <w:sz w:val="24"/>
          <w:szCs w:val="24"/>
        </w:rPr>
        <w:t xml:space="preserve">natural gas efficiency </w:t>
      </w:r>
      <w:r w:rsidR="00A90350">
        <w:rPr>
          <w:sz w:val="24"/>
          <w:szCs w:val="24"/>
        </w:rPr>
        <w:t>service</w:t>
      </w:r>
      <w:r w:rsidR="00AE00CF" w:rsidRPr="002C67B6">
        <w:rPr>
          <w:sz w:val="24"/>
          <w:szCs w:val="24"/>
        </w:rPr>
        <w:t xml:space="preserve"> </w:t>
      </w:r>
      <w:r w:rsidR="00DA1D28">
        <w:rPr>
          <w:sz w:val="24"/>
          <w:szCs w:val="24"/>
        </w:rPr>
        <w:t>including</w:t>
      </w:r>
      <w:r w:rsidR="00AE00CF">
        <w:rPr>
          <w:sz w:val="24"/>
          <w:szCs w:val="24"/>
        </w:rPr>
        <w:t xml:space="preserve"> </w:t>
      </w:r>
      <w:r w:rsidR="00DA1D28">
        <w:rPr>
          <w:sz w:val="24"/>
          <w:szCs w:val="24"/>
        </w:rPr>
        <w:t>programs</w:t>
      </w:r>
      <w:r w:rsidR="00AE00CF" w:rsidRPr="002C67B6">
        <w:rPr>
          <w:sz w:val="24"/>
          <w:szCs w:val="24"/>
        </w:rPr>
        <w:t xml:space="preserve"> off</w:t>
      </w:r>
      <w:r w:rsidR="00356DBD">
        <w:rPr>
          <w:sz w:val="24"/>
          <w:szCs w:val="24"/>
        </w:rPr>
        <w:t xml:space="preserve">ered by the Company directly, </w:t>
      </w:r>
      <w:r w:rsidR="00AE00CF" w:rsidRPr="002C67B6">
        <w:rPr>
          <w:sz w:val="24"/>
          <w:szCs w:val="24"/>
        </w:rPr>
        <w:t xml:space="preserve">through designated contractors, or as part of regional </w:t>
      </w:r>
      <w:r w:rsidR="00AE00CF">
        <w:rPr>
          <w:sz w:val="24"/>
          <w:szCs w:val="24"/>
        </w:rPr>
        <w:t xml:space="preserve">electric and </w:t>
      </w:r>
      <w:r w:rsidR="00AE00CF" w:rsidRPr="002C67B6">
        <w:rPr>
          <w:sz w:val="24"/>
          <w:szCs w:val="24"/>
        </w:rPr>
        <w:t>natural gas efficiency programs</w:t>
      </w:r>
      <w:r w:rsidR="00DA1D28">
        <w:rPr>
          <w:sz w:val="24"/>
          <w:szCs w:val="24"/>
        </w:rPr>
        <w:t xml:space="preserve"> </w:t>
      </w:r>
      <w:r w:rsidR="00356DBD">
        <w:rPr>
          <w:sz w:val="24"/>
          <w:szCs w:val="24"/>
        </w:rPr>
        <w:t>as well as</w:t>
      </w:r>
      <w:r w:rsidR="00DA1D28">
        <w:rPr>
          <w:sz w:val="24"/>
          <w:szCs w:val="24"/>
        </w:rPr>
        <w:t xml:space="preserve"> evaluation, meas</w:t>
      </w:r>
      <w:r w:rsidR="00A90350">
        <w:rPr>
          <w:sz w:val="24"/>
          <w:szCs w:val="24"/>
        </w:rPr>
        <w:t>urement and verification (EM&amp;V)</w:t>
      </w:r>
      <w:r w:rsidR="00AE00CF" w:rsidRPr="002C67B6">
        <w:rPr>
          <w:sz w:val="24"/>
          <w:szCs w:val="24"/>
        </w:rPr>
        <w:t xml:space="preserve">. </w:t>
      </w:r>
      <w:r w:rsidRPr="002C67B6">
        <w:rPr>
          <w:sz w:val="24"/>
          <w:szCs w:val="24"/>
        </w:rPr>
        <w:t>These programs include</w:t>
      </w:r>
      <w:r w:rsidR="007437E9">
        <w:rPr>
          <w:sz w:val="24"/>
          <w:szCs w:val="24"/>
        </w:rPr>
        <w:t xml:space="preserve"> but are not limited to </w:t>
      </w:r>
      <w:r w:rsidR="00DA1D28">
        <w:rPr>
          <w:sz w:val="24"/>
          <w:szCs w:val="24"/>
        </w:rPr>
        <w:t>the following</w:t>
      </w:r>
      <w:r w:rsidRPr="002C67B6">
        <w:rPr>
          <w:sz w:val="24"/>
          <w:szCs w:val="24"/>
        </w:rPr>
        <w:t>:</w:t>
      </w:r>
    </w:p>
    <w:p w:rsidR="002C67B6" w:rsidRPr="002C67B6" w:rsidRDefault="002C67B6" w:rsidP="002C67B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bCs/>
          <w:sz w:val="24"/>
          <w:szCs w:val="24"/>
        </w:rPr>
      </w:pPr>
      <w:r w:rsidRPr="002C67B6">
        <w:rPr>
          <w:bCs/>
          <w:sz w:val="24"/>
          <w:szCs w:val="24"/>
        </w:rPr>
        <w:t>Appliance</w:t>
      </w:r>
      <w:r w:rsidRPr="002C67B6">
        <w:rPr>
          <w:sz w:val="24"/>
          <w:szCs w:val="24"/>
        </w:rPr>
        <w:t xml:space="preserve"> </w:t>
      </w:r>
      <w:r w:rsidRPr="002C67B6">
        <w:rPr>
          <w:bCs/>
          <w:sz w:val="24"/>
          <w:szCs w:val="24"/>
        </w:rPr>
        <w:t>measures</w:t>
      </w:r>
    </w:p>
    <w:p w:rsidR="002C67B6" w:rsidRPr="002C67B6" w:rsidRDefault="007437E9" w:rsidP="002C67B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autoSpaceDE w:val="0"/>
        <w:autoSpaceDN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Compressed air</w:t>
      </w:r>
      <w:r w:rsidR="002C67B6" w:rsidRPr="002C67B6">
        <w:rPr>
          <w:sz w:val="24"/>
          <w:szCs w:val="24"/>
        </w:rPr>
        <w:t xml:space="preserve"> </w:t>
      </w:r>
      <w:r w:rsidR="002C67B6" w:rsidRPr="002C67B6">
        <w:rPr>
          <w:bCs/>
          <w:sz w:val="24"/>
          <w:szCs w:val="24"/>
        </w:rPr>
        <w:t>measures</w:t>
      </w:r>
    </w:p>
    <w:p w:rsidR="002C67B6" w:rsidRPr="002C67B6" w:rsidRDefault="007437E9" w:rsidP="002C67B6">
      <w:pPr>
        <w:numPr>
          <w:ilvl w:val="0"/>
          <w:numId w:val="4"/>
        </w:numPr>
        <w:rPr>
          <w:sz w:val="24"/>
          <w:szCs w:val="24"/>
        </w:rPr>
      </w:pPr>
      <w:r>
        <w:rPr>
          <w:bCs/>
          <w:sz w:val="24"/>
          <w:szCs w:val="24"/>
        </w:rPr>
        <w:t>HVAC</w:t>
      </w:r>
      <w:r w:rsidR="002C67B6" w:rsidRPr="002C67B6">
        <w:rPr>
          <w:bCs/>
          <w:sz w:val="24"/>
          <w:szCs w:val="24"/>
        </w:rPr>
        <w:t xml:space="preserve"> measures</w:t>
      </w:r>
      <w:r w:rsidR="002C67B6" w:rsidRPr="002C67B6">
        <w:rPr>
          <w:sz w:val="24"/>
          <w:szCs w:val="24"/>
        </w:rPr>
        <w:t xml:space="preserve"> </w:t>
      </w:r>
    </w:p>
    <w:p w:rsidR="002C67B6" w:rsidRPr="002C67B6" w:rsidRDefault="007437E9" w:rsidP="002C67B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Industrial</w:t>
      </w:r>
      <w:r w:rsidR="002C67B6" w:rsidRPr="002C67B6">
        <w:rPr>
          <w:sz w:val="24"/>
          <w:szCs w:val="24"/>
        </w:rPr>
        <w:t xml:space="preserve"> </w:t>
      </w:r>
      <w:r w:rsidR="002C67B6" w:rsidRPr="002C67B6">
        <w:rPr>
          <w:bCs/>
          <w:sz w:val="24"/>
          <w:szCs w:val="24"/>
        </w:rPr>
        <w:t>measures</w:t>
      </w:r>
      <w:r w:rsidR="002C67B6" w:rsidRPr="002C67B6">
        <w:rPr>
          <w:sz w:val="24"/>
          <w:szCs w:val="24"/>
        </w:rPr>
        <w:t xml:space="preserve"> </w:t>
      </w:r>
    </w:p>
    <w:p w:rsidR="002C67B6" w:rsidRPr="002C67B6" w:rsidRDefault="007437E9" w:rsidP="002C67B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Lighting</w:t>
      </w:r>
      <w:r w:rsidR="002C67B6" w:rsidRPr="002C67B6">
        <w:rPr>
          <w:bCs/>
          <w:sz w:val="24"/>
          <w:szCs w:val="24"/>
        </w:rPr>
        <w:t xml:space="preserve"> measures </w:t>
      </w:r>
    </w:p>
    <w:p w:rsidR="002C67B6" w:rsidRPr="002C67B6" w:rsidRDefault="002C67B6" w:rsidP="002C67B6">
      <w:pPr>
        <w:pStyle w:val="Items1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2C67B6">
        <w:rPr>
          <w:rFonts w:ascii="Times New Roman" w:hAnsi="Times New Roman" w:cs="Times New Roman"/>
          <w:bCs/>
        </w:rPr>
        <w:t>Maintenance</w:t>
      </w:r>
      <w:r w:rsidRPr="002C67B6">
        <w:rPr>
          <w:rFonts w:ascii="Times New Roman" w:hAnsi="Times New Roman" w:cs="Times New Roman"/>
        </w:rPr>
        <w:t xml:space="preserve"> </w:t>
      </w:r>
      <w:r w:rsidRPr="002C67B6">
        <w:rPr>
          <w:rFonts w:ascii="Times New Roman" w:hAnsi="Times New Roman" w:cs="Times New Roman"/>
          <w:bCs/>
        </w:rPr>
        <w:t>measures</w:t>
      </w:r>
      <w:r w:rsidRPr="002C67B6">
        <w:rPr>
          <w:rFonts w:ascii="Times New Roman" w:hAnsi="Times New Roman" w:cs="Times New Roman"/>
        </w:rPr>
        <w:t xml:space="preserve"> </w:t>
      </w:r>
    </w:p>
    <w:p w:rsidR="002C67B6" w:rsidRPr="00DA1D28" w:rsidRDefault="007437E9" w:rsidP="00DA1D2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Motors</w:t>
      </w:r>
      <w:r w:rsidR="002C67B6" w:rsidRPr="002C67B6">
        <w:rPr>
          <w:sz w:val="24"/>
          <w:szCs w:val="24"/>
        </w:rPr>
        <w:t xml:space="preserve"> </w:t>
      </w:r>
      <w:r w:rsidR="002C67B6" w:rsidRPr="002C67B6">
        <w:rPr>
          <w:bCs/>
          <w:sz w:val="24"/>
          <w:szCs w:val="24"/>
        </w:rPr>
        <w:t>measures</w:t>
      </w:r>
    </w:p>
    <w:p w:rsidR="002C67B6" w:rsidRPr="002C67B6" w:rsidRDefault="00982C4F" w:rsidP="002C67B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Northwest Energy Efficiency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  <w:szCs w:val="24"/>
            </w:rPr>
            <w:t>Alliance</w:t>
          </w:r>
        </w:smartTag>
      </w:smartTag>
      <w:r>
        <w:rPr>
          <w:bCs/>
          <w:sz w:val="24"/>
          <w:szCs w:val="24"/>
        </w:rPr>
        <w:t xml:space="preserve"> participation</w:t>
      </w:r>
      <w:r w:rsidR="002C67B6" w:rsidRPr="002C67B6">
        <w:rPr>
          <w:sz w:val="24"/>
          <w:szCs w:val="24"/>
        </w:rPr>
        <w:t xml:space="preserve"> </w:t>
      </w:r>
    </w:p>
    <w:p w:rsidR="002C67B6" w:rsidRPr="002C67B6" w:rsidRDefault="002C67B6" w:rsidP="002C67B6">
      <w:pPr>
        <w:numPr>
          <w:ilvl w:val="0"/>
          <w:numId w:val="4"/>
        </w:numPr>
        <w:jc w:val="both"/>
        <w:rPr>
          <w:sz w:val="24"/>
          <w:szCs w:val="24"/>
        </w:rPr>
      </w:pPr>
      <w:r w:rsidRPr="002C67B6">
        <w:rPr>
          <w:bCs/>
          <w:sz w:val="24"/>
          <w:szCs w:val="24"/>
        </w:rPr>
        <w:t>Shell measures</w:t>
      </w:r>
      <w:r w:rsidRPr="002C67B6">
        <w:rPr>
          <w:sz w:val="24"/>
          <w:szCs w:val="24"/>
        </w:rPr>
        <w:t xml:space="preserve"> </w:t>
      </w:r>
    </w:p>
    <w:p w:rsidR="002C67B6" w:rsidRPr="002C67B6" w:rsidRDefault="002C67B6" w:rsidP="002C67B6">
      <w:pPr>
        <w:numPr>
          <w:ilvl w:val="0"/>
          <w:numId w:val="4"/>
        </w:num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2C67B6">
            <w:rPr>
              <w:bCs/>
              <w:sz w:val="24"/>
              <w:szCs w:val="24"/>
            </w:rPr>
            <w:t>Sustainable</w:t>
          </w:r>
        </w:smartTag>
        <w:r w:rsidRPr="002C67B6">
          <w:rPr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2C67B6">
            <w:rPr>
              <w:bCs/>
              <w:sz w:val="24"/>
              <w:szCs w:val="24"/>
            </w:rPr>
            <w:t>Building</w:t>
          </w:r>
        </w:smartTag>
      </w:smartTag>
      <w:r w:rsidRPr="002C67B6">
        <w:rPr>
          <w:sz w:val="24"/>
          <w:szCs w:val="24"/>
        </w:rPr>
        <w:t xml:space="preserve"> </w:t>
      </w:r>
      <w:r w:rsidRPr="002C67B6">
        <w:rPr>
          <w:bCs/>
          <w:sz w:val="24"/>
          <w:szCs w:val="24"/>
        </w:rPr>
        <w:t>measures</w:t>
      </w:r>
    </w:p>
    <w:p w:rsidR="002C67B6" w:rsidRPr="002C67B6" w:rsidRDefault="002C67B6" w:rsidP="002C67B6">
      <w:pPr>
        <w:ind w:firstLine="360"/>
        <w:rPr>
          <w:sz w:val="24"/>
          <w:szCs w:val="24"/>
        </w:rPr>
      </w:pPr>
    </w:p>
    <w:p w:rsidR="00F423F3" w:rsidRPr="00E25458" w:rsidRDefault="00F423F3" w:rsidP="00BF6B7E">
      <w:pPr>
        <w:suppressAutoHyphens/>
        <w:spacing w:line="360" w:lineRule="auto"/>
        <w:ind w:firstLine="720"/>
        <w:jc w:val="both"/>
        <w:outlineLvl w:val="0"/>
        <w:rPr>
          <w:sz w:val="24"/>
          <w:szCs w:val="24"/>
          <w:u w:val="single"/>
        </w:rPr>
      </w:pPr>
      <w:r w:rsidRPr="002E4C90">
        <w:rPr>
          <w:sz w:val="24"/>
          <w:szCs w:val="24"/>
        </w:rPr>
        <w:t xml:space="preserve">The Company’s programs are based on providing a financial incentive, or “rebate,” for cost-effective efficiency measures </w:t>
      </w:r>
      <w:r w:rsidR="00435BF4">
        <w:rPr>
          <w:sz w:val="24"/>
          <w:szCs w:val="24"/>
        </w:rPr>
        <w:t>with a simple pay</w:t>
      </w:r>
      <w:r w:rsidRPr="002E4C90">
        <w:rPr>
          <w:sz w:val="24"/>
          <w:szCs w:val="24"/>
        </w:rPr>
        <w:t>back of greater than one year</w:t>
      </w:r>
      <w:r w:rsidR="00356DBD">
        <w:rPr>
          <w:sz w:val="24"/>
          <w:szCs w:val="24"/>
        </w:rPr>
        <w:t xml:space="preserve"> and up to thirteen years</w:t>
      </w:r>
      <w:r w:rsidRPr="002E4C90">
        <w:rPr>
          <w:sz w:val="24"/>
          <w:szCs w:val="24"/>
        </w:rPr>
        <w:t xml:space="preserve">.  This includes over 300 measures that are packaged into over 30 programs for customer convenience.  </w:t>
      </w:r>
    </w:p>
    <w:p w:rsidR="00F423F3" w:rsidRDefault="00F423F3" w:rsidP="00BF6B7E">
      <w:pPr>
        <w:pStyle w:val="BodyText2"/>
        <w:spacing w:line="360" w:lineRule="auto"/>
        <w:ind w:firstLine="720"/>
        <w:rPr>
          <w:szCs w:val="24"/>
        </w:rPr>
      </w:pPr>
      <w:r w:rsidRPr="002E4C90">
        <w:rPr>
          <w:szCs w:val="24"/>
        </w:rPr>
        <w:t xml:space="preserve">Avista has </w:t>
      </w:r>
      <w:r>
        <w:rPr>
          <w:szCs w:val="24"/>
        </w:rPr>
        <w:t>long encouraged</w:t>
      </w:r>
      <w:r w:rsidRPr="002E4C90">
        <w:rPr>
          <w:szCs w:val="24"/>
        </w:rPr>
        <w:t xml:space="preserve"> the direct-use of natural gas to its </w:t>
      </w:r>
      <w:r>
        <w:rPr>
          <w:szCs w:val="24"/>
        </w:rPr>
        <w:t xml:space="preserve">electric </w:t>
      </w:r>
      <w:r w:rsidR="00063617">
        <w:rPr>
          <w:szCs w:val="24"/>
        </w:rPr>
        <w:t>customers.  As an electric energy efficiency program, t</w:t>
      </w:r>
      <w:r w:rsidRPr="002E4C90">
        <w:rPr>
          <w:szCs w:val="24"/>
        </w:rPr>
        <w:t>he Company is continuing this effort with residential rebates for the conversion of electric to natural gas space and water heat loads as well as a broad program for any non-residential electric to natural gas conversions meeting specified criteria for relative British Thermal Unit (BTU) efficiency.  The cost-effective p</w:t>
      </w:r>
      <w:r w:rsidR="00B14584">
        <w:rPr>
          <w:szCs w:val="24"/>
        </w:rPr>
        <w:t>otential for these measures has</w:t>
      </w:r>
      <w:r w:rsidRPr="002E4C90">
        <w:rPr>
          <w:szCs w:val="24"/>
        </w:rPr>
        <w:t xml:space="preserve"> been incorporated into Avista’s Integrated Resource Planning effort and are contained within the identified acquisition goal.  Avista’s residential programs include high efficiency equipment, electric to natural gas convers</w:t>
      </w:r>
      <w:r w:rsidR="005519C3">
        <w:rPr>
          <w:szCs w:val="24"/>
        </w:rPr>
        <w:t>ions, Compact Fluorescent Lamps</w:t>
      </w:r>
      <w:r w:rsidRPr="002E4C90">
        <w:rPr>
          <w:szCs w:val="24"/>
        </w:rPr>
        <w:t xml:space="preserve"> (CFLs), </w:t>
      </w:r>
      <w:r w:rsidR="00435BF4">
        <w:rPr>
          <w:szCs w:val="24"/>
        </w:rPr>
        <w:t xml:space="preserve">“second” </w:t>
      </w:r>
      <w:r w:rsidRPr="002E4C90">
        <w:rPr>
          <w:szCs w:val="24"/>
        </w:rPr>
        <w:t xml:space="preserve">refrigerator recycling, weatherization, rooftop dampers as well as providing educational assistance through various community events.    </w:t>
      </w:r>
    </w:p>
    <w:p w:rsidR="00F423F3" w:rsidRDefault="00F423F3" w:rsidP="00BF6B7E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lastRenderedPageBreak/>
        <w:t xml:space="preserve">For non-residential customers, in addition to prescriptive </w:t>
      </w:r>
      <w:r w:rsidR="0073219B">
        <w:rPr>
          <w:sz w:val="24"/>
          <w:szCs w:val="24"/>
        </w:rPr>
        <w:t>(or “standard offer</w:t>
      </w:r>
      <w:r w:rsidR="005519C3">
        <w:rPr>
          <w:sz w:val="24"/>
          <w:szCs w:val="24"/>
        </w:rPr>
        <w:t>”) programs, Avista offers site-</w:t>
      </w:r>
      <w:r w:rsidR="0073219B">
        <w:rPr>
          <w:sz w:val="24"/>
          <w:szCs w:val="24"/>
        </w:rPr>
        <w:t>specific (or customized)</w:t>
      </w:r>
      <w:r w:rsidRPr="002E4C90">
        <w:rPr>
          <w:sz w:val="24"/>
          <w:szCs w:val="24"/>
        </w:rPr>
        <w:t xml:space="preserve"> </w:t>
      </w:r>
      <w:r w:rsidR="0073219B">
        <w:rPr>
          <w:sz w:val="24"/>
          <w:szCs w:val="24"/>
        </w:rPr>
        <w:t>services</w:t>
      </w:r>
      <w:r w:rsidR="005519C3">
        <w:rPr>
          <w:sz w:val="24"/>
          <w:szCs w:val="24"/>
        </w:rPr>
        <w:t>.   The site-</w:t>
      </w:r>
      <w:r w:rsidRPr="002E4C90">
        <w:rPr>
          <w:sz w:val="24"/>
          <w:szCs w:val="24"/>
        </w:rPr>
        <w:t xml:space="preserve">specific </w:t>
      </w:r>
      <w:r w:rsidR="0073219B">
        <w:rPr>
          <w:sz w:val="24"/>
          <w:szCs w:val="24"/>
        </w:rPr>
        <w:t>program</w:t>
      </w:r>
      <w:r w:rsidRPr="002E4C90">
        <w:rPr>
          <w:sz w:val="24"/>
          <w:szCs w:val="24"/>
        </w:rPr>
        <w:t xml:space="preserve"> provides incentives on any cost-effective commercial and industrial energy efficiency measure with a simple financial payback exceeding one year</w:t>
      </w:r>
      <w:r w:rsidR="0073219B">
        <w:rPr>
          <w:sz w:val="24"/>
          <w:szCs w:val="24"/>
        </w:rPr>
        <w:t>, up to thirteen years</w:t>
      </w:r>
      <w:r w:rsidRPr="002E4C90">
        <w:rPr>
          <w:sz w:val="24"/>
          <w:szCs w:val="24"/>
        </w:rPr>
        <w:t>. This is implemented through site analyses, customized diagnoses, and incentives determined for savings generated specific to c</w:t>
      </w:r>
      <w:r w:rsidR="0073219B">
        <w:rPr>
          <w:sz w:val="24"/>
          <w:szCs w:val="24"/>
        </w:rPr>
        <w:t>ustomers’ premise or pr</w:t>
      </w:r>
      <w:r w:rsidR="005519C3">
        <w:rPr>
          <w:sz w:val="24"/>
          <w:szCs w:val="24"/>
        </w:rPr>
        <w:t>ocess.  In addition to the site-</w:t>
      </w:r>
      <w:r w:rsidR="0073219B">
        <w:rPr>
          <w:sz w:val="24"/>
          <w:szCs w:val="24"/>
        </w:rPr>
        <w:t>specific offering, c</w:t>
      </w:r>
      <w:r w:rsidRPr="002E4C90">
        <w:rPr>
          <w:sz w:val="24"/>
          <w:szCs w:val="24"/>
        </w:rPr>
        <w:t>ommercial and industrial programs available to Avista custom</w:t>
      </w:r>
      <w:r w:rsidR="00FB41D2">
        <w:rPr>
          <w:sz w:val="24"/>
          <w:szCs w:val="24"/>
        </w:rPr>
        <w:t xml:space="preserve">ers include </w:t>
      </w:r>
      <w:r w:rsidRPr="002E4C90">
        <w:rPr>
          <w:sz w:val="24"/>
          <w:szCs w:val="24"/>
        </w:rPr>
        <w:t>lighting and controls, commercial food servic</w:t>
      </w:r>
      <w:r w:rsidR="0005174E">
        <w:rPr>
          <w:sz w:val="24"/>
          <w:szCs w:val="24"/>
        </w:rPr>
        <w:t>e equipment</w:t>
      </w:r>
      <w:r w:rsidRPr="002E4C90">
        <w:rPr>
          <w:sz w:val="24"/>
          <w:szCs w:val="24"/>
        </w:rPr>
        <w:t xml:space="preserve">, premium efficiency motors, power management for personal computer </w:t>
      </w:r>
      <w:r w:rsidR="00FB41D2">
        <w:rPr>
          <w:sz w:val="24"/>
          <w:szCs w:val="24"/>
        </w:rPr>
        <w:t>networks</w:t>
      </w:r>
      <w:r w:rsidRPr="002E4C90">
        <w:rPr>
          <w:sz w:val="24"/>
          <w:szCs w:val="24"/>
        </w:rPr>
        <w:t>, commercial</w:t>
      </w:r>
      <w:r w:rsidR="005519C3">
        <w:rPr>
          <w:sz w:val="24"/>
          <w:szCs w:val="24"/>
        </w:rPr>
        <w:t xml:space="preserve"> HVAC variable frequency drives,</w:t>
      </w:r>
      <w:r w:rsidRPr="002E4C90">
        <w:rPr>
          <w:sz w:val="24"/>
          <w:szCs w:val="24"/>
        </w:rPr>
        <w:t xml:space="preserve"> refrigerated warehouses, vending machine controllers, demand controlled ventilation, side-stream filtration, steam trap replacement and repair, multifamily development, electric to natural gas water heater conversions, and commercial clothes washers.</w:t>
      </w:r>
    </w:p>
    <w:p w:rsidR="00B07028" w:rsidRDefault="00B07028" w:rsidP="00BF6B7E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>In addition to Avista’s prescriptive and site-speci</w:t>
      </w:r>
      <w:r w:rsidR="00A03E67">
        <w:rPr>
          <w:sz w:val="24"/>
          <w:szCs w:val="24"/>
        </w:rPr>
        <w:t xml:space="preserve">fic programs, the Company </w:t>
      </w:r>
      <w:r w:rsidR="005C2F04">
        <w:rPr>
          <w:sz w:val="24"/>
          <w:szCs w:val="24"/>
        </w:rPr>
        <w:t>helps fund</w:t>
      </w:r>
      <w:r w:rsidR="00A03E67">
        <w:rPr>
          <w:sz w:val="24"/>
          <w:szCs w:val="24"/>
        </w:rPr>
        <w:t xml:space="preserve"> </w:t>
      </w:r>
      <w:r w:rsidRPr="002E4C90">
        <w:rPr>
          <w:sz w:val="24"/>
          <w:szCs w:val="24"/>
        </w:rPr>
        <w:t>the activities of the Northwest Energy Efficiency Alliance (NEEA).  NEEA focuses on using a regional approach to obtain electric efficiency through the transformation of markets for efficiency measures and services.  An example of NEEA-sponsored programs that benefits Avista customers is decreasing the cost of CFLs and high-efficiency appliances by working through manufacturers.  For some measures a large-scale, cross-utility approach is the most cost-effective means to achieve energy efficien</w:t>
      </w:r>
      <w:r w:rsidR="00FB41D2">
        <w:rPr>
          <w:sz w:val="24"/>
          <w:szCs w:val="24"/>
        </w:rPr>
        <w:t xml:space="preserve">cy savings. This approach is </w:t>
      </w:r>
      <w:r w:rsidRPr="002E4C90">
        <w:rPr>
          <w:sz w:val="24"/>
          <w:szCs w:val="24"/>
        </w:rPr>
        <w:t>particularly effective for markets composed of large numbers of smaller usage homogeneous consumers, such as the residential and small commercial markets.</w:t>
      </w:r>
      <w:r>
        <w:rPr>
          <w:sz w:val="24"/>
          <w:szCs w:val="24"/>
        </w:rPr>
        <w:t xml:space="preserve">  </w:t>
      </w:r>
      <w:r w:rsidRPr="002E4C90">
        <w:rPr>
          <w:sz w:val="24"/>
          <w:szCs w:val="24"/>
        </w:rPr>
        <w:t xml:space="preserve">Historically, Avista has received approximately </w:t>
      </w:r>
      <w:r w:rsidR="00AA3519">
        <w:rPr>
          <w:sz w:val="24"/>
          <w:szCs w:val="24"/>
        </w:rPr>
        <w:t xml:space="preserve">1.5 to </w:t>
      </w:r>
      <w:r w:rsidR="00FB41D2">
        <w:rPr>
          <w:sz w:val="24"/>
          <w:szCs w:val="24"/>
        </w:rPr>
        <w:t>2</w:t>
      </w:r>
      <w:r w:rsidRPr="002E4C90">
        <w:rPr>
          <w:sz w:val="24"/>
          <w:szCs w:val="24"/>
        </w:rPr>
        <w:t xml:space="preserve"> aMW of savings in its service territo</w:t>
      </w:r>
      <w:r w:rsidR="00590008">
        <w:rPr>
          <w:sz w:val="24"/>
          <w:szCs w:val="24"/>
        </w:rPr>
        <w:t xml:space="preserve">ry from NEEA programs.  </w:t>
      </w:r>
    </w:p>
    <w:p w:rsidR="00B07028" w:rsidRPr="002E4C90" w:rsidRDefault="00B07028" w:rsidP="00BF6B7E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The Company </w:t>
      </w:r>
      <w:r w:rsidR="00FE220A">
        <w:rPr>
          <w:sz w:val="24"/>
          <w:szCs w:val="24"/>
        </w:rPr>
        <w:t>provided</w:t>
      </w:r>
      <w:r w:rsidR="00435BF4">
        <w:rPr>
          <w:sz w:val="24"/>
          <w:szCs w:val="24"/>
        </w:rPr>
        <w:t xml:space="preserve"> </w:t>
      </w:r>
      <w:r w:rsidR="00B50F66">
        <w:rPr>
          <w:sz w:val="24"/>
          <w:szCs w:val="24"/>
        </w:rPr>
        <w:t xml:space="preserve">approximately </w:t>
      </w:r>
      <w:r w:rsidR="00435BF4" w:rsidRPr="007479E3">
        <w:rPr>
          <w:sz w:val="24"/>
          <w:szCs w:val="24"/>
        </w:rPr>
        <w:t>$</w:t>
      </w:r>
      <w:r w:rsidR="00BF6B7E">
        <w:rPr>
          <w:sz w:val="24"/>
          <w:szCs w:val="24"/>
        </w:rPr>
        <w:t>2</w:t>
      </w:r>
      <w:r w:rsidR="00435BF4">
        <w:rPr>
          <w:sz w:val="24"/>
          <w:szCs w:val="24"/>
        </w:rPr>
        <w:t xml:space="preserve"> million for</w:t>
      </w:r>
      <w:r w:rsidRPr="002E4C90">
        <w:rPr>
          <w:sz w:val="24"/>
          <w:szCs w:val="24"/>
        </w:rPr>
        <w:t xml:space="preserve"> l</w:t>
      </w:r>
      <w:r w:rsidR="00BF6B7E">
        <w:rPr>
          <w:sz w:val="24"/>
          <w:szCs w:val="24"/>
        </w:rPr>
        <w:t>ow-income weatherization in 2011</w:t>
      </w:r>
      <w:r w:rsidRPr="002E4C90">
        <w:rPr>
          <w:sz w:val="24"/>
          <w:szCs w:val="24"/>
        </w:rPr>
        <w:t xml:space="preserve"> in </w:t>
      </w:r>
      <w:smartTag w:uri="urn:schemas-microsoft-com:office:smarttags" w:element="State">
        <w:r w:rsidRPr="002E4C90">
          <w:rPr>
            <w:sz w:val="24"/>
            <w:szCs w:val="24"/>
          </w:rPr>
          <w:t>Washington</w:t>
        </w:r>
      </w:smartTag>
      <w:r w:rsidRPr="002E4C90">
        <w:rPr>
          <w:sz w:val="24"/>
          <w:szCs w:val="24"/>
        </w:rPr>
        <w:t xml:space="preserve">.  This program is administered by the </w:t>
      </w:r>
      <w:r w:rsidR="00B50F66">
        <w:rPr>
          <w:sz w:val="24"/>
          <w:szCs w:val="24"/>
        </w:rPr>
        <w:t>six</w:t>
      </w:r>
      <w:r w:rsidRPr="002E4C90">
        <w:rPr>
          <w:sz w:val="24"/>
          <w:szCs w:val="24"/>
        </w:rPr>
        <w:t xml:space="preserve"> local community action agencies in our eastern </w:t>
      </w:r>
      <w:smartTag w:uri="urn:schemas-microsoft-com:office:smarttags" w:element="place">
        <w:smartTag w:uri="urn:schemas-microsoft-com:office:smarttags" w:element="State">
          <w:r w:rsidRPr="002E4C90">
            <w:rPr>
              <w:sz w:val="24"/>
              <w:szCs w:val="24"/>
            </w:rPr>
            <w:t>Washington</w:t>
          </w:r>
        </w:smartTag>
      </w:smartTag>
      <w:r w:rsidRPr="002E4C90">
        <w:rPr>
          <w:sz w:val="24"/>
          <w:szCs w:val="24"/>
        </w:rPr>
        <w:t xml:space="preserve"> service territory.</w:t>
      </w:r>
      <w:r>
        <w:rPr>
          <w:sz w:val="24"/>
          <w:szCs w:val="24"/>
        </w:rPr>
        <w:t xml:space="preserve"> </w:t>
      </w:r>
      <w:r w:rsidRPr="002E4C90">
        <w:rPr>
          <w:sz w:val="24"/>
          <w:szCs w:val="24"/>
        </w:rPr>
        <w:t xml:space="preserve">The Company also provides a </w:t>
      </w:r>
      <w:r w:rsidR="005C2F04">
        <w:rPr>
          <w:sz w:val="24"/>
          <w:szCs w:val="24"/>
        </w:rPr>
        <w:t xml:space="preserve">separate </w:t>
      </w:r>
      <w:r w:rsidRPr="002E4C90">
        <w:rPr>
          <w:sz w:val="24"/>
          <w:szCs w:val="24"/>
        </w:rPr>
        <w:t>Low Income Rate Assistance Program (LIRAP) for bill-paying assistance.</w:t>
      </w:r>
    </w:p>
    <w:p w:rsidR="0072508A" w:rsidRPr="00565FBA" w:rsidRDefault="00BF6B7E" w:rsidP="00565FBA">
      <w:pPr>
        <w:pStyle w:val="BodyText2"/>
        <w:spacing w:line="360" w:lineRule="auto"/>
        <w:ind w:firstLine="720"/>
      </w:pPr>
      <w:r>
        <w:t>In 2011</w:t>
      </w:r>
      <w:r w:rsidR="0072508A">
        <w:t xml:space="preserve">, approximately </w:t>
      </w:r>
      <w:r w:rsidR="005519C3">
        <w:t>2</w:t>
      </w:r>
      <w:r w:rsidR="005E12C6">
        <w:t>9</w:t>
      </w:r>
      <w:r w:rsidR="0072508A">
        <w:t xml:space="preserve"> Full Time Equivalents (FTE) delivered energy efficiency programs and measures resulting </w:t>
      </w:r>
      <w:r w:rsidR="00B50F66">
        <w:t xml:space="preserve">in </w:t>
      </w:r>
      <w:r w:rsidR="00F623F2">
        <w:t xml:space="preserve">Washington </w:t>
      </w:r>
      <w:r w:rsidR="005519C3">
        <w:t xml:space="preserve">local </w:t>
      </w:r>
      <w:r w:rsidR="00B50F66">
        <w:t xml:space="preserve">electric savings of  </w:t>
      </w:r>
      <w:r w:rsidR="005E12C6">
        <w:t>172,341</w:t>
      </w:r>
      <w:r w:rsidR="00F623F2">
        <w:t xml:space="preserve"> </w:t>
      </w:r>
      <w:r w:rsidR="00B50F66">
        <w:t>M</w:t>
      </w:r>
      <w:r w:rsidR="0072508A">
        <w:t xml:space="preserve">Wh (or </w:t>
      </w:r>
      <w:r w:rsidR="005E12C6">
        <w:t>134</w:t>
      </w:r>
      <w:r w:rsidR="0072508A">
        <w:t xml:space="preserve">% of the IRP goal) and natural gas savings of </w:t>
      </w:r>
      <w:r w:rsidR="005519C3">
        <w:t>1.1</w:t>
      </w:r>
      <w:r w:rsidR="0072508A">
        <w:t xml:space="preserve"> million therms (or </w:t>
      </w:r>
      <w:r w:rsidR="005519C3">
        <w:t>67</w:t>
      </w:r>
      <w:r w:rsidR="0072508A">
        <w:t xml:space="preserve">% of the IRP goal).  Approximately </w:t>
      </w:r>
      <w:r w:rsidR="005C2F04">
        <w:t>71</w:t>
      </w:r>
      <w:r w:rsidR="0072508A">
        <w:t xml:space="preserve">% of the energy efficiency budget was provided to participating customers as rebates (residential) and financial incentives (commercial and industrial).  </w:t>
      </w:r>
      <w:r w:rsidR="0072508A" w:rsidRPr="00BA001D">
        <w:t xml:space="preserve">This does not include additional benefits such as </w:t>
      </w:r>
      <w:r w:rsidR="0072508A">
        <w:t xml:space="preserve">site audits and </w:t>
      </w:r>
      <w:r w:rsidR="0072508A" w:rsidRPr="00BA001D">
        <w:t>technical analyses provided to customers by the Company’s DSM engineering staff.</w:t>
      </w:r>
    </w:p>
    <w:p w:rsidR="0072508A" w:rsidRPr="0072508A" w:rsidRDefault="0072508A" w:rsidP="00BF6B7E">
      <w:pPr>
        <w:pStyle w:val="BodyText2"/>
        <w:spacing w:line="360" w:lineRule="auto"/>
        <w:ind w:firstLine="720"/>
        <w:rPr>
          <w:szCs w:val="24"/>
        </w:rPr>
      </w:pPr>
      <w:r>
        <w:lastRenderedPageBreak/>
        <w:t xml:space="preserve">As required by Paragraph </w:t>
      </w:r>
      <w:r w:rsidR="00565FBA">
        <w:t>28</w:t>
      </w:r>
      <w:r>
        <w:t xml:space="preserve"> of the Commission’s Order 01 in Docket No. UE-</w:t>
      </w:r>
      <w:r w:rsidR="00565FBA">
        <w:t>111882</w:t>
      </w:r>
      <w:r>
        <w:t xml:space="preserve">, </w:t>
      </w:r>
      <w:r w:rsidR="00565FBA">
        <w:t>Avista must spend a “reasonable” amount of its</w:t>
      </w:r>
      <w:r>
        <w:t xml:space="preserve"> DSM budget </w:t>
      </w:r>
      <w:r w:rsidR="00565FBA">
        <w:t>on</w:t>
      </w:r>
      <w:r>
        <w:t xml:space="preserve"> evaluation, measurement and </w:t>
      </w:r>
      <w:r w:rsidR="00565FBA">
        <w:t>verification</w:t>
      </w:r>
      <w:r>
        <w:t xml:space="preserve"> (EM&amp;V).  Avista has engaged The Cadmus Group to perform independent evaluation at a cost </w:t>
      </w:r>
      <w:r w:rsidR="00565FBA">
        <w:t>of approximately</w:t>
      </w:r>
      <w:r>
        <w:t xml:space="preserve"> $1</w:t>
      </w:r>
      <w:r w:rsidR="005519C3">
        <w:t>.2</w:t>
      </w:r>
      <w:r>
        <w:t xml:space="preserve"> million</w:t>
      </w:r>
      <w:r w:rsidR="005519C3">
        <w:t xml:space="preserve"> </w:t>
      </w:r>
      <w:r w:rsidR="005C2F04">
        <w:t xml:space="preserve">in </w:t>
      </w:r>
      <w:r w:rsidR="005519C3">
        <w:t>2011</w:t>
      </w:r>
      <w:r>
        <w:t xml:space="preserve">.  </w:t>
      </w:r>
      <w:r w:rsidRPr="0072508A">
        <w:rPr>
          <w:szCs w:val="24"/>
        </w:rPr>
        <w:t xml:space="preserve">  </w:t>
      </w:r>
    </w:p>
    <w:p w:rsidR="00343AFB" w:rsidRPr="00CE0F6F" w:rsidRDefault="0072508A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72508A">
        <w:rPr>
          <w:sz w:val="24"/>
          <w:szCs w:val="24"/>
        </w:rPr>
        <w:t>Several metrics are applied to determine the costs and benefits of these programs.</w:t>
      </w:r>
      <w:r>
        <w:rPr>
          <w:sz w:val="24"/>
          <w:szCs w:val="24"/>
        </w:rPr>
        <w:t xml:space="preserve"> </w:t>
      </w:r>
      <w:r w:rsidRPr="0072508A">
        <w:rPr>
          <w:sz w:val="24"/>
          <w:szCs w:val="24"/>
        </w:rPr>
        <w:t xml:space="preserve">The primary cost-effectiveness test is the Total Resource Cost (TRC) test; the </w:t>
      </w:r>
      <w:r w:rsidR="007B5D91">
        <w:rPr>
          <w:sz w:val="24"/>
          <w:szCs w:val="24"/>
        </w:rPr>
        <w:t xml:space="preserve">Program Administrator Cost </w:t>
      </w:r>
      <w:r w:rsidR="00B50F66">
        <w:rPr>
          <w:sz w:val="24"/>
          <w:szCs w:val="24"/>
        </w:rPr>
        <w:t>(</w:t>
      </w:r>
      <w:r w:rsidR="007B5D91">
        <w:rPr>
          <w:sz w:val="24"/>
          <w:szCs w:val="24"/>
        </w:rPr>
        <w:t>PAC</w:t>
      </w:r>
      <w:r w:rsidRPr="0072508A">
        <w:rPr>
          <w:sz w:val="24"/>
          <w:szCs w:val="24"/>
        </w:rPr>
        <w:t xml:space="preserve">) is </w:t>
      </w:r>
      <w:r w:rsidR="007B5D91">
        <w:rPr>
          <w:sz w:val="24"/>
          <w:szCs w:val="24"/>
        </w:rPr>
        <w:t>another</w:t>
      </w:r>
      <w:r w:rsidRPr="0072508A">
        <w:rPr>
          <w:sz w:val="24"/>
          <w:szCs w:val="24"/>
        </w:rPr>
        <w:t xml:space="preserve"> key determinant of program efficacy.</w:t>
      </w:r>
      <w:r w:rsidRPr="00351550">
        <w:rPr>
          <w:rStyle w:val="FootnoteReference"/>
          <w:sz w:val="24"/>
          <w:szCs w:val="24"/>
        </w:rPr>
        <w:footnoteReference w:id="1"/>
      </w:r>
      <w:r w:rsidRPr="002E4C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2508A">
        <w:rPr>
          <w:sz w:val="24"/>
          <w:szCs w:val="24"/>
        </w:rPr>
        <w:t xml:space="preserve">  Ratios over 1.0 illustrate that benefits exceed costs.  For 201</w:t>
      </w:r>
      <w:r w:rsidR="001F178D">
        <w:rPr>
          <w:sz w:val="24"/>
          <w:szCs w:val="24"/>
        </w:rPr>
        <w:t>1</w:t>
      </w:r>
      <w:r w:rsidRPr="0072508A">
        <w:rPr>
          <w:sz w:val="24"/>
          <w:szCs w:val="24"/>
        </w:rPr>
        <w:t xml:space="preserve">, the Company’s DSM portfolios were cost-effective with TRC and PAC ratios of </w:t>
      </w:r>
      <w:r w:rsidR="009E5B7D">
        <w:rPr>
          <w:sz w:val="24"/>
          <w:szCs w:val="24"/>
        </w:rPr>
        <w:t>1.12</w:t>
      </w:r>
      <w:r w:rsidRPr="0072508A">
        <w:rPr>
          <w:sz w:val="24"/>
          <w:szCs w:val="24"/>
        </w:rPr>
        <w:t xml:space="preserve"> and </w:t>
      </w:r>
      <w:r w:rsidR="009E5B7D">
        <w:rPr>
          <w:sz w:val="24"/>
          <w:szCs w:val="24"/>
        </w:rPr>
        <w:t>2.61</w:t>
      </w:r>
      <w:r w:rsidRPr="0072508A">
        <w:rPr>
          <w:sz w:val="24"/>
          <w:szCs w:val="24"/>
        </w:rPr>
        <w:t xml:space="preserve">, respectively, for its electric portfolio, and </w:t>
      </w:r>
      <w:r w:rsidR="009E5B7D">
        <w:rPr>
          <w:sz w:val="24"/>
          <w:szCs w:val="24"/>
        </w:rPr>
        <w:t>1.03</w:t>
      </w:r>
      <w:r w:rsidRPr="0072508A">
        <w:rPr>
          <w:sz w:val="24"/>
          <w:szCs w:val="24"/>
        </w:rPr>
        <w:t xml:space="preserve"> and </w:t>
      </w:r>
      <w:r w:rsidR="009E5B7D">
        <w:rPr>
          <w:sz w:val="24"/>
          <w:szCs w:val="24"/>
        </w:rPr>
        <w:t>2.75</w:t>
      </w:r>
      <w:r w:rsidRPr="0072508A">
        <w:rPr>
          <w:sz w:val="24"/>
          <w:szCs w:val="24"/>
        </w:rPr>
        <w:t xml:space="preserve">, respectively, for its natural gas portfolio.  </w:t>
      </w:r>
      <w:r w:rsidR="00343AFB" w:rsidRPr="00CE0F6F">
        <w:rPr>
          <w:sz w:val="24"/>
          <w:szCs w:val="24"/>
        </w:rPr>
        <w:t xml:space="preserve"> </w:t>
      </w:r>
    </w:p>
    <w:p w:rsidR="003902FF" w:rsidRDefault="003902FF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>The Company has reg</w:t>
      </w:r>
      <w:r>
        <w:rPr>
          <w:sz w:val="24"/>
          <w:szCs w:val="24"/>
        </w:rPr>
        <w:t xml:space="preserve">ularly convened stakeholder meetings to gain input from </w:t>
      </w:r>
      <w:r w:rsidRPr="002E4C90">
        <w:rPr>
          <w:sz w:val="24"/>
          <w:szCs w:val="24"/>
        </w:rPr>
        <w:t>customer representatives, Commission staff members, and individuals from t</w:t>
      </w:r>
      <w:r w:rsidR="005C2F04">
        <w:rPr>
          <w:sz w:val="24"/>
          <w:szCs w:val="24"/>
        </w:rPr>
        <w:t>he environmental communities.  In t</w:t>
      </w:r>
      <w:r w:rsidRPr="002E4C90">
        <w:rPr>
          <w:sz w:val="24"/>
          <w:szCs w:val="24"/>
        </w:rPr>
        <w:t xml:space="preserve">hese stakeholder meetings the Company’s program offerings </w:t>
      </w:r>
      <w:r w:rsidR="005C2F04">
        <w:rPr>
          <w:sz w:val="24"/>
          <w:szCs w:val="24"/>
        </w:rPr>
        <w:t xml:space="preserve">are reviewed </w:t>
      </w:r>
      <w:r w:rsidRPr="002E4C90">
        <w:rPr>
          <w:sz w:val="24"/>
          <w:szCs w:val="24"/>
        </w:rPr>
        <w:t xml:space="preserve">as well as the underlying cost-effectiveness tests and results.  </w:t>
      </w:r>
      <w:r>
        <w:rPr>
          <w:sz w:val="24"/>
          <w:szCs w:val="24"/>
        </w:rPr>
        <w:t>Stakeholder involvement has grown in the past year, partl</w:t>
      </w:r>
      <w:r w:rsidR="00772C70">
        <w:rPr>
          <w:sz w:val="24"/>
          <w:szCs w:val="24"/>
        </w:rPr>
        <w:t>y due to the Company’s EM&amp;V Collaborative held in 2010 and partly due to increased attention on the conservation “I-937” targets.  The Company continues to appreciate the time and input provided by Avista’s stakeholders.</w:t>
      </w:r>
    </w:p>
    <w:p w:rsidR="00CF657D" w:rsidRPr="00FF0471" w:rsidRDefault="00B14584" w:rsidP="00565FBA">
      <w:pPr>
        <w:suppressAutoHyphens/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In conclusion, Avista</w:t>
      </w:r>
      <w:r w:rsidR="00351550">
        <w:rPr>
          <w:sz w:val="24"/>
          <w:szCs w:val="24"/>
        </w:rPr>
        <w:t xml:space="preserve"> </w:t>
      </w:r>
      <w:r w:rsidR="00351550" w:rsidRPr="00B756C4">
        <w:rPr>
          <w:rStyle w:val="LineNumber"/>
        </w:rPr>
        <w:t xml:space="preserve">requests the Commission </w:t>
      </w:r>
      <w:r w:rsidR="00351550">
        <w:rPr>
          <w:rStyle w:val="LineNumber"/>
        </w:rPr>
        <w:t>approve the</w:t>
      </w:r>
      <w:r w:rsidR="00351550" w:rsidRPr="00B756C4">
        <w:rPr>
          <w:rStyle w:val="LineNumber"/>
        </w:rPr>
        <w:t xml:space="preserve"> proposed </w:t>
      </w:r>
      <w:r w:rsidR="00236524">
        <w:rPr>
          <w:rStyle w:val="LineNumber"/>
        </w:rPr>
        <w:t xml:space="preserve">reduction in </w:t>
      </w:r>
      <w:r w:rsidR="00351550" w:rsidRPr="00B756C4">
        <w:rPr>
          <w:rStyle w:val="LineNumber"/>
        </w:rPr>
        <w:t xml:space="preserve">rates and charges </w:t>
      </w:r>
      <w:r w:rsidR="00351550">
        <w:rPr>
          <w:rStyle w:val="LineNumber"/>
        </w:rPr>
        <w:t>in Schedule</w:t>
      </w:r>
      <w:r w:rsidR="00565FBA">
        <w:rPr>
          <w:rStyle w:val="LineNumber"/>
        </w:rPr>
        <w:t>s 91 and</w:t>
      </w:r>
      <w:r w:rsidR="00351550">
        <w:rPr>
          <w:rStyle w:val="LineNumber"/>
        </w:rPr>
        <w:t xml:space="preserve"> 191</w:t>
      </w:r>
      <w:r w:rsidR="00351550">
        <w:rPr>
          <w:sz w:val="24"/>
          <w:szCs w:val="24"/>
        </w:rPr>
        <w:t>. The e</w:t>
      </w:r>
      <w:r w:rsidR="00E25458" w:rsidRPr="00C87E5A">
        <w:rPr>
          <w:sz w:val="24"/>
          <w:szCs w:val="24"/>
        </w:rPr>
        <w:t xml:space="preserve">stimated annual revenue change associated with this filing is approximately </w:t>
      </w:r>
      <w:r w:rsidR="00B50F66">
        <w:rPr>
          <w:sz w:val="24"/>
          <w:szCs w:val="24"/>
        </w:rPr>
        <w:t xml:space="preserve">a decrease of </w:t>
      </w:r>
      <w:r w:rsidR="00E25458" w:rsidRPr="007479E3">
        <w:rPr>
          <w:sz w:val="24"/>
          <w:szCs w:val="24"/>
        </w:rPr>
        <w:t>$</w:t>
      </w:r>
      <w:r w:rsidR="00B213D0">
        <w:rPr>
          <w:sz w:val="24"/>
          <w:szCs w:val="24"/>
        </w:rPr>
        <w:t>8.2</w:t>
      </w:r>
      <w:r w:rsidR="00B50F66">
        <w:rPr>
          <w:sz w:val="24"/>
          <w:szCs w:val="24"/>
        </w:rPr>
        <w:t xml:space="preserve"> </w:t>
      </w:r>
      <w:r w:rsidR="00E25458" w:rsidRPr="00C87E5A">
        <w:rPr>
          <w:sz w:val="24"/>
          <w:szCs w:val="24"/>
        </w:rPr>
        <w:t xml:space="preserve">million for </w:t>
      </w:r>
      <w:r w:rsidR="00565FBA">
        <w:rPr>
          <w:sz w:val="24"/>
          <w:szCs w:val="24"/>
        </w:rPr>
        <w:t>electric Schedule 91</w:t>
      </w:r>
      <w:r w:rsidR="001F178D">
        <w:rPr>
          <w:sz w:val="24"/>
          <w:szCs w:val="24"/>
        </w:rPr>
        <w:t>, or a decrease of 1.</w:t>
      </w:r>
      <w:r w:rsidR="00D01DA5">
        <w:rPr>
          <w:sz w:val="24"/>
          <w:szCs w:val="24"/>
        </w:rPr>
        <w:t>8</w:t>
      </w:r>
      <w:r w:rsidR="001F178D">
        <w:rPr>
          <w:sz w:val="24"/>
          <w:szCs w:val="24"/>
        </w:rPr>
        <w:t xml:space="preserve">% </w:t>
      </w:r>
      <w:r w:rsidR="00D01DA5">
        <w:rPr>
          <w:sz w:val="24"/>
          <w:szCs w:val="24"/>
        </w:rPr>
        <w:t>in overall</w:t>
      </w:r>
      <w:r w:rsidR="001F178D">
        <w:rPr>
          <w:sz w:val="24"/>
          <w:szCs w:val="24"/>
        </w:rPr>
        <w:t xml:space="preserve"> billed rates</w:t>
      </w:r>
      <w:r w:rsidR="00565FBA">
        <w:rPr>
          <w:sz w:val="24"/>
          <w:szCs w:val="24"/>
        </w:rPr>
        <w:t xml:space="preserve"> and a decrease of $</w:t>
      </w:r>
      <w:r w:rsidR="00B213D0">
        <w:rPr>
          <w:sz w:val="24"/>
          <w:szCs w:val="24"/>
        </w:rPr>
        <w:t>1.9</w:t>
      </w:r>
      <w:r w:rsidR="00565FBA">
        <w:rPr>
          <w:sz w:val="24"/>
          <w:szCs w:val="24"/>
        </w:rPr>
        <w:t xml:space="preserve"> million for </w:t>
      </w:r>
      <w:r w:rsidR="00E25458" w:rsidRPr="00C87E5A">
        <w:rPr>
          <w:sz w:val="24"/>
          <w:szCs w:val="24"/>
        </w:rPr>
        <w:t>natural gas</w:t>
      </w:r>
      <w:r w:rsidR="00CF657D">
        <w:rPr>
          <w:sz w:val="24"/>
          <w:szCs w:val="24"/>
        </w:rPr>
        <w:t xml:space="preserve"> Schedule 191</w:t>
      </w:r>
      <w:r w:rsidR="00236524">
        <w:rPr>
          <w:sz w:val="24"/>
          <w:szCs w:val="24"/>
        </w:rPr>
        <w:t>, or a</w:t>
      </w:r>
      <w:r w:rsidR="00E25458" w:rsidRPr="00C87E5A">
        <w:rPr>
          <w:sz w:val="24"/>
          <w:szCs w:val="24"/>
        </w:rPr>
        <w:t xml:space="preserve"> </w:t>
      </w:r>
      <w:r w:rsidR="00B50F66">
        <w:rPr>
          <w:sz w:val="24"/>
          <w:szCs w:val="24"/>
        </w:rPr>
        <w:t>de</w:t>
      </w:r>
      <w:r w:rsidR="00E25458" w:rsidRPr="00C87E5A">
        <w:rPr>
          <w:sz w:val="24"/>
          <w:szCs w:val="24"/>
        </w:rPr>
        <w:t xml:space="preserve">crease of </w:t>
      </w:r>
      <w:r w:rsidR="005519C3">
        <w:rPr>
          <w:sz w:val="24"/>
          <w:szCs w:val="24"/>
        </w:rPr>
        <w:t>1.3</w:t>
      </w:r>
      <w:r w:rsidR="00E1037B" w:rsidRPr="007479E3">
        <w:rPr>
          <w:sz w:val="24"/>
          <w:szCs w:val="24"/>
        </w:rPr>
        <w:t>%</w:t>
      </w:r>
      <w:r w:rsidR="00377FD1">
        <w:rPr>
          <w:sz w:val="24"/>
          <w:szCs w:val="24"/>
        </w:rPr>
        <w:t xml:space="preserve"> </w:t>
      </w:r>
      <w:r w:rsidR="00D01DA5">
        <w:rPr>
          <w:sz w:val="24"/>
          <w:szCs w:val="24"/>
        </w:rPr>
        <w:t>in overall</w:t>
      </w:r>
      <w:r w:rsidR="00377FD1">
        <w:rPr>
          <w:sz w:val="24"/>
          <w:szCs w:val="24"/>
        </w:rPr>
        <w:t xml:space="preserve"> billed rates</w:t>
      </w:r>
      <w:r w:rsidR="00E25458" w:rsidRPr="00C87E5A">
        <w:rPr>
          <w:sz w:val="24"/>
          <w:szCs w:val="24"/>
        </w:rPr>
        <w:t xml:space="preserve">. </w:t>
      </w:r>
      <w:r w:rsidR="00565FBA">
        <w:rPr>
          <w:sz w:val="24"/>
          <w:szCs w:val="24"/>
        </w:rPr>
        <w:t xml:space="preserve">The proposed rate </w:t>
      </w:r>
      <w:r w:rsidR="00565FBA" w:rsidRPr="00236524">
        <w:rPr>
          <w:sz w:val="24"/>
          <w:szCs w:val="24"/>
        </w:rPr>
        <w:t>decrease</w:t>
      </w:r>
      <w:r w:rsidR="00565FBA">
        <w:rPr>
          <w:sz w:val="24"/>
          <w:szCs w:val="24"/>
        </w:rPr>
        <w:t xml:space="preserve"> will have an average monthly bill impact to residential </w:t>
      </w:r>
      <w:r w:rsidR="005C2F04">
        <w:rPr>
          <w:sz w:val="24"/>
          <w:szCs w:val="24"/>
        </w:rPr>
        <w:t xml:space="preserve">electric </w:t>
      </w:r>
      <w:r w:rsidR="00565FBA">
        <w:rPr>
          <w:sz w:val="24"/>
          <w:szCs w:val="24"/>
        </w:rPr>
        <w:t>customers using 989 kWh of $1.47 reduction to their bill</w:t>
      </w:r>
      <w:r w:rsidR="00D01DA5">
        <w:rPr>
          <w:sz w:val="24"/>
          <w:szCs w:val="24"/>
        </w:rPr>
        <w:t>, or 1.9%</w:t>
      </w:r>
      <w:r w:rsidR="00565FBA">
        <w:rPr>
          <w:sz w:val="24"/>
          <w:szCs w:val="24"/>
        </w:rPr>
        <w:t xml:space="preserve">. </w:t>
      </w:r>
      <w:r w:rsidR="00351550">
        <w:rPr>
          <w:sz w:val="24"/>
          <w:szCs w:val="24"/>
        </w:rPr>
        <w:t xml:space="preserve">The proposed </w:t>
      </w:r>
      <w:r w:rsidR="00B50F66">
        <w:rPr>
          <w:sz w:val="24"/>
          <w:szCs w:val="24"/>
        </w:rPr>
        <w:t xml:space="preserve">rate </w:t>
      </w:r>
      <w:r w:rsidR="00B50F66" w:rsidRPr="00236524">
        <w:rPr>
          <w:sz w:val="24"/>
          <w:szCs w:val="24"/>
        </w:rPr>
        <w:t>decrease</w:t>
      </w:r>
      <w:r w:rsidR="00351550">
        <w:rPr>
          <w:sz w:val="24"/>
          <w:szCs w:val="24"/>
        </w:rPr>
        <w:t xml:space="preserve"> will have an average monthly bill impact to resi</w:t>
      </w:r>
      <w:r w:rsidR="00565FBA">
        <w:rPr>
          <w:sz w:val="24"/>
          <w:szCs w:val="24"/>
        </w:rPr>
        <w:t xml:space="preserve">dential </w:t>
      </w:r>
      <w:r w:rsidR="005C2F04">
        <w:rPr>
          <w:sz w:val="24"/>
          <w:szCs w:val="24"/>
        </w:rPr>
        <w:t xml:space="preserve">natural gas </w:t>
      </w:r>
      <w:r w:rsidR="00565FBA">
        <w:rPr>
          <w:sz w:val="24"/>
          <w:szCs w:val="24"/>
        </w:rPr>
        <w:t>customers using 68</w:t>
      </w:r>
      <w:r w:rsidR="00351550">
        <w:rPr>
          <w:sz w:val="24"/>
          <w:szCs w:val="24"/>
        </w:rPr>
        <w:t xml:space="preserve"> therms of $</w:t>
      </w:r>
      <w:r w:rsidR="00565FBA">
        <w:rPr>
          <w:sz w:val="24"/>
          <w:szCs w:val="24"/>
        </w:rPr>
        <w:t>0.79</w:t>
      </w:r>
      <w:r w:rsidR="00236524">
        <w:rPr>
          <w:sz w:val="24"/>
          <w:szCs w:val="24"/>
        </w:rPr>
        <w:t xml:space="preserve"> reduction to their bill</w:t>
      </w:r>
      <w:r w:rsidR="00D01DA5">
        <w:rPr>
          <w:sz w:val="24"/>
          <w:szCs w:val="24"/>
        </w:rPr>
        <w:t>, or 1.3%</w:t>
      </w:r>
      <w:r w:rsidR="00351550">
        <w:rPr>
          <w:sz w:val="24"/>
          <w:szCs w:val="24"/>
        </w:rPr>
        <w:t>.</w:t>
      </w:r>
      <w:r w:rsidR="00FF0471">
        <w:rPr>
          <w:sz w:val="24"/>
          <w:szCs w:val="24"/>
        </w:rPr>
        <w:t xml:space="preserve"> </w:t>
      </w:r>
    </w:p>
    <w:p w:rsidR="005C2F04" w:rsidRDefault="005C2F04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5C2F04" w:rsidRDefault="005C2F04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5C2F04" w:rsidRDefault="005C2F04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7C4DFB" w:rsidRDefault="00E25458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C87E5A">
        <w:rPr>
          <w:sz w:val="24"/>
          <w:szCs w:val="24"/>
        </w:rPr>
        <w:lastRenderedPageBreak/>
        <w:t xml:space="preserve">Pursuant to WAC 480-100-195(2), enclosed is a “Notice of Tariff Change” which will be posted </w:t>
      </w:r>
      <w:r w:rsidR="00565FBA">
        <w:rPr>
          <w:sz w:val="24"/>
          <w:szCs w:val="24"/>
        </w:rPr>
        <w:t xml:space="preserve">on the </w:t>
      </w:r>
      <w:r w:rsidRPr="00C87E5A">
        <w:rPr>
          <w:sz w:val="24"/>
          <w:szCs w:val="24"/>
        </w:rPr>
        <w:t>Company</w:t>
      </w:r>
      <w:r w:rsidR="00565FBA">
        <w:rPr>
          <w:sz w:val="24"/>
          <w:szCs w:val="24"/>
        </w:rPr>
        <w:t>’s</w:t>
      </w:r>
      <w:r w:rsidRPr="00C87E5A">
        <w:rPr>
          <w:sz w:val="24"/>
          <w:szCs w:val="24"/>
        </w:rPr>
        <w:t xml:space="preserve"> </w:t>
      </w:r>
      <w:r w:rsidR="00565FBA">
        <w:rPr>
          <w:sz w:val="24"/>
          <w:szCs w:val="24"/>
        </w:rPr>
        <w:t>website</w:t>
      </w:r>
      <w:r w:rsidRPr="00C87E5A">
        <w:rPr>
          <w:sz w:val="24"/>
          <w:szCs w:val="24"/>
        </w:rPr>
        <w:t xml:space="preserve"> coincident with the date of this </w:t>
      </w:r>
      <w:r w:rsidR="00B50F66">
        <w:rPr>
          <w:sz w:val="24"/>
          <w:szCs w:val="24"/>
        </w:rPr>
        <w:t>filing</w:t>
      </w:r>
      <w:r w:rsidRPr="00C87E5A">
        <w:rPr>
          <w:sz w:val="24"/>
          <w:szCs w:val="24"/>
        </w:rPr>
        <w:t>. Also enclo</w:t>
      </w:r>
      <w:r w:rsidR="007C4DFB">
        <w:rPr>
          <w:sz w:val="24"/>
          <w:szCs w:val="24"/>
        </w:rPr>
        <w:t xml:space="preserve">sed </w:t>
      </w:r>
      <w:r w:rsidR="00742560">
        <w:rPr>
          <w:sz w:val="24"/>
          <w:szCs w:val="24"/>
        </w:rPr>
        <w:t xml:space="preserve">are the </w:t>
      </w:r>
      <w:r w:rsidR="007C4DFB">
        <w:rPr>
          <w:sz w:val="24"/>
          <w:szCs w:val="24"/>
        </w:rPr>
        <w:t xml:space="preserve"> </w:t>
      </w:r>
      <w:r w:rsidR="001F178D">
        <w:rPr>
          <w:sz w:val="24"/>
          <w:szCs w:val="24"/>
        </w:rPr>
        <w:t xml:space="preserve">Company’s </w:t>
      </w:r>
      <w:r w:rsidR="007C4DFB">
        <w:rPr>
          <w:sz w:val="24"/>
          <w:szCs w:val="24"/>
        </w:rPr>
        <w:t>workpaper</w:t>
      </w:r>
      <w:r w:rsidR="00B14584">
        <w:rPr>
          <w:sz w:val="24"/>
          <w:szCs w:val="24"/>
        </w:rPr>
        <w:t>s</w:t>
      </w:r>
      <w:r w:rsidRPr="00C87E5A">
        <w:rPr>
          <w:sz w:val="24"/>
          <w:szCs w:val="24"/>
        </w:rPr>
        <w:t xml:space="preserve"> supporting this filing.</w:t>
      </w:r>
      <w:r w:rsidR="00C87E5A" w:rsidRPr="00C87E5A">
        <w:rPr>
          <w:sz w:val="24"/>
          <w:szCs w:val="24"/>
        </w:rPr>
        <w:t xml:space="preserve">  </w:t>
      </w:r>
    </w:p>
    <w:p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88729D">
        <w:rPr>
          <w:sz w:val="24"/>
          <w:szCs w:val="24"/>
        </w:rPr>
        <w:t>Bruce Folsom</w:t>
      </w:r>
      <w:r w:rsidR="00884A50">
        <w:rPr>
          <w:sz w:val="24"/>
          <w:szCs w:val="24"/>
        </w:rPr>
        <w:t xml:space="preserve">, </w:t>
      </w:r>
      <w:r w:rsidR="00565FBA">
        <w:rPr>
          <w:sz w:val="24"/>
          <w:szCs w:val="24"/>
        </w:rPr>
        <w:t>Director</w:t>
      </w:r>
      <w:r w:rsidR="00884A50">
        <w:rPr>
          <w:sz w:val="24"/>
          <w:szCs w:val="24"/>
        </w:rPr>
        <w:t xml:space="preserve">, </w:t>
      </w:r>
      <w:r w:rsidR="003846FB">
        <w:rPr>
          <w:sz w:val="24"/>
          <w:szCs w:val="24"/>
        </w:rPr>
        <w:t>Energy Efficiency</w:t>
      </w:r>
      <w:r w:rsidRPr="002E4C90">
        <w:rPr>
          <w:sz w:val="24"/>
          <w:szCs w:val="24"/>
        </w:rPr>
        <w:t xml:space="preserve"> </w:t>
      </w:r>
      <w:r w:rsidR="005519C3">
        <w:rPr>
          <w:sz w:val="24"/>
          <w:szCs w:val="24"/>
        </w:rPr>
        <w:t xml:space="preserve">Policy </w:t>
      </w:r>
      <w:r w:rsidRPr="002E4C90">
        <w:rPr>
          <w:sz w:val="24"/>
          <w:szCs w:val="24"/>
        </w:rPr>
        <w:t>at (509) 495-</w:t>
      </w:r>
      <w:r w:rsidR="0088729D">
        <w:rPr>
          <w:sz w:val="24"/>
          <w:szCs w:val="24"/>
        </w:rPr>
        <w:t xml:space="preserve">8706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Pr="00427F5F">
        <w:rPr>
          <w:rFonts w:ascii="Lucida Handwriting" w:hAnsi="Lucida Handwriting"/>
          <w:sz w:val="24"/>
          <w:szCs w:val="24"/>
        </w:rPr>
        <w:t>/Linda Gervais//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Pr="00427F5F" w:rsidRDefault="0088729D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linda.gervais@avistacorp.com</w:t>
      </w:r>
    </w:p>
    <w:p w:rsidR="00040621" w:rsidRPr="00427F5F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:rsidR="00040621" w:rsidRDefault="00040621">
      <w:pPr>
        <w:jc w:val="both"/>
        <w:rPr>
          <w:sz w:val="24"/>
          <w:szCs w:val="24"/>
        </w:rPr>
      </w:pPr>
    </w:p>
    <w:p w:rsidR="00B232C8" w:rsidRDefault="00B232C8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cc: </w:t>
      </w:r>
      <w:r w:rsidR="00B14584">
        <w:rPr>
          <w:sz w:val="24"/>
          <w:szCs w:val="24"/>
        </w:rPr>
        <w:tab/>
      </w:r>
      <w:r w:rsidR="00FC23BC">
        <w:rPr>
          <w:sz w:val="24"/>
          <w:szCs w:val="24"/>
        </w:rPr>
        <w:t>Advisory Group</w:t>
      </w:r>
    </w:p>
    <w:p w:rsidR="00F31B46" w:rsidRPr="00DD4751" w:rsidRDefault="00B14584" w:rsidP="002331C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1B46" w:rsidRDefault="00F31B46" w:rsidP="00F31B46">
      <w:pPr>
        <w:rPr>
          <w:sz w:val="24"/>
          <w:szCs w:val="24"/>
        </w:rPr>
      </w:pPr>
    </w:p>
    <w:p w:rsidR="002331C4" w:rsidRDefault="002331C4" w:rsidP="00343AFB">
      <w:pPr>
        <w:spacing w:line="360" w:lineRule="auto"/>
        <w:jc w:val="both"/>
        <w:rPr>
          <w:sz w:val="24"/>
          <w:szCs w:val="24"/>
        </w:rPr>
      </w:pPr>
    </w:p>
    <w:p w:rsidR="00F31B46" w:rsidRPr="00DD4751" w:rsidRDefault="00F31B46" w:rsidP="00B14584">
      <w:pPr>
        <w:tabs>
          <w:tab w:val="left" w:pos="360"/>
        </w:tabs>
        <w:jc w:val="both"/>
        <w:rPr>
          <w:sz w:val="24"/>
          <w:szCs w:val="24"/>
        </w:rPr>
      </w:pPr>
    </w:p>
    <w:sectPr w:rsidR="00F31B46" w:rsidRPr="00DD4751" w:rsidSect="00BB23E3">
      <w:headerReference w:type="default" r:id="rId9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39" w:rsidRDefault="00CE0039">
      <w:r>
        <w:separator/>
      </w:r>
    </w:p>
  </w:endnote>
  <w:endnote w:type="continuationSeparator" w:id="0">
    <w:p w:rsidR="00CE0039" w:rsidRDefault="00CE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39" w:rsidRDefault="00CE0039">
      <w:r>
        <w:separator/>
      </w:r>
    </w:p>
  </w:footnote>
  <w:footnote w:type="continuationSeparator" w:id="0">
    <w:p w:rsidR="00CE0039" w:rsidRDefault="00CE0039">
      <w:r>
        <w:continuationSeparator/>
      </w:r>
    </w:p>
  </w:footnote>
  <w:footnote w:id="1">
    <w:p w:rsidR="00CE0039" w:rsidRPr="00585C1D" w:rsidRDefault="00CE0039" w:rsidP="0072508A">
      <w:pPr>
        <w:autoSpaceDE w:val="0"/>
        <w:autoSpaceDN w:val="0"/>
        <w:adjustRightInd w:val="0"/>
        <w:jc w:val="both"/>
      </w:pPr>
      <w:r>
        <w:rPr>
          <w:rStyle w:val="FootnoteReference"/>
        </w:rPr>
        <w:footnoteRef/>
      </w:r>
      <w:r w:rsidRPr="00585C1D">
        <w:t xml:space="preserve"> The Total Resource Cost Test measures the net costs of a demand-side management program</w:t>
      </w:r>
      <w:r>
        <w:t xml:space="preserve"> </w:t>
      </w:r>
      <w:r w:rsidRPr="00585C1D">
        <w:t>as a resource option based on the total costs of the program, i</w:t>
      </w:r>
      <w:r>
        <w:t xml:space="preserve">ncluding both the participants' </w:t>
      </w:r>
      <w:r w:rsidRPr="00585C1D">
        <w:t>and the utility's costs. The Program Administrator Cost Test measures the net co</w:t>
      </w:r>
      <w:r>
        <w:t xml:space="preserve">sts of a demand-side management </w:t>
      </w:r>
      <w:r w:rsidRPr="00585C1D">
        <w:t>program as a resource option based on the costs incurr</w:t>
      </w:r>
      <w:r>
        <w:t xml:space="preserve">ed by the program administrator </w:t>
      </w:r>
      <w:r w:rsidRPr="00585C1D">
        <w:t>(including incentive costs) and excluding any net costs i</w:t>
      </w:r>
      <w:r>
        <w:t xml:space="preserve">ncurred by the participant. The </w:t>
      </w:r>
      <w:r w:rsidRPr="00585C1D">
        <w:t>benefits are similar to the TRC benefits. Costs are defined more narrowly.</w:t>
      </w:r>
    </w:p>
    <w:p w:rsidR="00CE0039" w:rsidRPr="00585C1D" w:rsidRDefault="00CE0039" w:rsidP="0072508A">
      <w:pPr>
        <w:autoSpaceDE w:val="0"/>
        <w:autoSpaceDN w:val="0"/>
        <w:adjustRightInd w:val="0"/>
      </w:pPr>
    </w:p>
    <w:p w:rsidR="00CE0039" w:rsidRPr="00585C1D" w:rsidRDefault="00CE0039" w:rsidP="0072508A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39" w:rsidRDefault="00CE0039">
    <w:pPr>
      <w:pStyle w:val="Header"/>
      <w:rPr>
        <w:sz w:val="24"/>
      </w:rPr>
    </w:pPr>
    <w:r>
      <w:rPr>
        <w:sz w:val="24"/>
      </w:rPr>
      <w:t>Schedule 91 &amp; 191 Revisions</w:t>
    </w:r>
  </w:p>
  <w:p w:rsidR="00CE0039" w:rsidRDefault="00CE0039">
    <w:pPr>
      <w:pStyle w:val="Header"/>
      <w:rPr>
        <w:sz w:val="24"/>
      </w:rPr>
    </w:pPr>
    <w:r>
      <w:rPr>
        <w:sz w:val="24"/>
      </w:rPr>
      <w:t>May 31, 2012</w:t>
    </w:r>
  </w:p>
  <w:p w:rsidR="00CE0039" w:rsidRDefault="00CE0039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C2456C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C2456C">
      <w:rPr>
        <w:rStyle w:val="PageNumber"/>
        <w:sz w:val="24"/>
      </w:rPr>
      <w:fldChar w:fldCharType="separate"/>
    </w:r>
    <w:r w:rsidR="005E12C6">
      <w:rPr>
        <w:rStyle w:val="PageNumber"/>
        <w:noProof/>
        <w:sz w:val="24"/>
      </w:rPr>
      <w:t>5</w:t>
    </w:r>
    <w:r w:rsidR="00C2456C">
      <w:rPr>
        <w:rStyle w:val="PageNumber"/>
        <w:sz w:val="24"/>
      </w:rPr>
      <w:fldChar w:fldCharType="end"/>
    </w:r>
  </w:p>
  <w:p w:rsidR="00CE0039" w:rsidRDefault="00CE0039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5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401B8"/>
    <w:rsid w:val="00040621"/>
    <w:rsid w:val="0005174E"/>
    <w:rsid w:val="00052E25"/>
    <w:rsid w:val="00063617"/>
    <w:rsid w:val="00063C7A"/>
    <w:rsid w:val="000D6898"/>
    <w:rsid w:val="000E5DE2"/>
    <w:rsid w:val="0011729D"/>
    <w:rsid w:val="001241B9"/>
    <w:rsid w:val="00134021"/>
    <w:rsid w:val="00134550"/>
    <w:rsid w:val="00190B82"/>
    <w:rsid w:val="00196E09"/>
    <w:rsid w:val="001975F3"/>
    <w:rsid w:val="001B4920"/>
    <w:rsid w:val="001C6991"/>
    <w:rsid w:val="001F178D"/>
    <w:rsid w:val="00230EF0"/>
    <w:rsid w:val="002331C4"/>
    <w:rsid w:val="00236524"/>
    <w:rsid w:val="002862F8"/>
    <w:rsid w:val="002908DF"/>
    <w:rsid w:val="00295620"/>
    <w:rsid w:val="002B39ED"/>
    <w:rsid w:val="002B7DD0"/>
    <w:rsid w:val="002C67B6"/>
    <w:rsid w:val="002E141A"/>
    <w:rsid w:val="002E4C90"/>
    <w:rsid w:val="00316FDE"/>
    <w:rsid w:val="00323DF0"/>
    <w:rsid w:val="00343AFB"/>
    <w:rsid w:val="003458F3"/>
    <w:rsid w:val="00351550"/>
    <w:rsid w:val="00356DBD"/>
    <w:rsid w:val="0036547E"/>
    <w:rsid w:val="003709CC"/>
    <w:rsid w:val="00377742"/>
    <w:rsid w:val="00377FD1"/>
    <w:rsid w:val="003846FB"/>
    <w:rsid w:val="003902FF"/>
    <w:rsid w:val="003A3A22"/>
    <w:rsid w:val="003A42E1"/>
    <w:rsid w:val="003B0826"/>
    <w:rsid w:val="003B424A"/>
    <w:rsid w:val="003C2809"/>
    <w:rsid w:val="003E58EA"/>
    <w:rsid w:val="003E5D5C"/>
    <w:rsid w:val="003F44D5"/>
    <w:rsid w:val="00427F5F"/>
    <w:rsid w:val="00435BF4"/>
    <w:rsid w:val="00450756"/>
    <w:rsid w:val="00452092"/>
    <w:rsid w:val="00485113"/>
    <w:rsid w:val="00497379"/>
    <w:rsid w:val="004A0D38"/>
    <w:rsid w:val="004A2184"/>
    <w:rsid w:val="004A4359"/>
    <w:rsid w:val="004B014C"/>
    <w:rsid w:val="004B39F6"/>
    <w:rsid w:val="004B4CE7"/>
    <w:rsid w:val="004C3C45"/>
    <w:rsid w:val="004D7755"/>
    <w:rsid w:val="004E5F73"/>
    <w:rsid w:val="004F058C"/>
    <w:rsid w:val="00505AF6"/>
    <w:rsid w:val="005123F8"/>
    <w:rsid w:val="005519C3"/>
    <w:rsid w:val="00565FBA"/>
    <w:rsid w:val="00571611"/>
    <w:rsid w:val="00590008"/>
    <w:rsid w:val="0059415F"/>
    <w:rsid w:val="005A2EF9"/>
    <w:rsid w:val="005A47D6"/>
    <w:rsid w:val="005B086C"/>
    <w:rsid w:val="005C2F04"/>
    <w:rsid w:val="005C3A92"/>
    <w:rsid w:val="005E12C6"/>
    <w:rsid w:val="005F40FB"/>
    <w:rsid w:val="005F4179"/>
    <w:rsid w:val="005F754A"/>
    <w:rsid w:val="006100B1"/>
    <w:rsid w:val="0061578F"/>
    <w:rsid w:val="00622D0B"/>
    <w:rsid w:val="00634275"/>
    <w:rsid w:val="00655B6B"/>
    <w:rsid w:val="00666D7C"/>
    <w:rsid w:val="00672C44"/>
    <w:rsid w:val="00676FA4"/>
    <w:rsid w:val="006918B9"/>
    <w:rsid w:val="006E11A7"/>
    <w:rsid w:val="006F2A24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6656"/>
    <w:rsid w:val="007B5D91"/>
    <w:rsid w:val="007C4DFB"/>
    <w:rsid w:val="007E00A2"/>
    <w:rsid w:val="00827194"/>
    <w:rsid w:val="0083065F"/>
    <w:rsid w:val="008614DF"/>
    <w:rsid w:val="008621D3"/>
    <w:rsid w:val="00884A50"/>
    <w:rsid w:val="0088729D"/>
    <w:rsid w:val="0089647E"/>
    <w:rsid w:val="008C1672"/>
    <w:rsid w:val="008D7D48"/>
    <w:rsid w:val="008E0338"/>
    <w:rsid w:val="008E336C"/>
    <w:rsid w:val="00920E8A"/>
    <w:rsid w:val="0092371B"/>
    <w:rsid w:val="00931669"/>
    <w:rsid w:val="00936303"/>
    <w:rsid w:val="00946679"/>
    <w:rsid w:val="00982C4F"/>
    <w:rsid w:val="00994CAA"/>
    <w:rsid w:val="00996800"/>
    <w:rsid w:val="009C1D50"/>
    <w:rsid w:val="009C4B4F"/>
    <w:rsid w:val="009D79A8"/>
    <w:rsid w:val="009E5B7D"/>
    <w:rsid w:val="009F3585"/>
    <w:rsid w:val="00A010CF"/>
    <w:rsid w:val="00A03E67"/>
    <w:rsid w:val="00A11561"/>
    <w:rsid w:val="00A42EC5"/>
    <w:rsid w:val="00A4498A"/>
    <w:rsid w:val="00A46111"/>
    <w:rsid w:val="00A47591"/>
    <w:rsid w:val="00A62952"/>
    <w:rsid w:val="00A8189A"/>
    <w:rsid w:val="00A90350"/>
    <w:rsid w:val="00AA10B4"/>
    <w:rsid w:val="00AA3519"/>
    <w:rsid w:val="00AC187E"/>
    <w:rsid w:val="00AD4048"/>
    <w:rsid w:val="00AE00CF"/>
    <w:rsid w:val="00AF20EE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A5429"/>
    <w:rsid w:val="00BB23E3"/>
    <w:rsid w:val="00BB5649"/>
    <w:rsid w:val="00BD64FB"/>
    <w:rsid w:val="00BE65D5"/>
    <w:rsid w:val="00BF090D"/>
    <w:rsid w:val="00BF1BC5"/>
    <w:rsid w:val="00BF6B7E"/>
    <w:rsid w:val="00C0555C"/>
    <w:rsid w:val="00C129F8"/>
    <w:rsid w:val="00C2174A"/>
    <w:rsid w:val="00C2456C"/>
    <w:rsid w:val="00C34953"/>
    <w:rsid w:val="00C41B9A"/>
    <w:rsid w:val="00C436D9"/>
    <w:rsid w:val="00C83322"/>
    <w:rsid w:val="00C87E5A"/>
    <w:rsid w:val="00C96877"/>
    <w:rsid w:val="00CA0D34"/>
    <w:rsid w:val="00CB374C"/>
    <w:rsid w:val="00CC1BAA"/>
    <w:rsid w:val="00CD346B"/>
    <w:rsid w:val="00CD60DE"/>
    <w:rsid w:val="00CD78C3"/>
    <w:rsid w:val="00CE0039"/>
    <w:rsid w:val="00CF657D"/>
    <w:rsid w:val="00D01DA5"/>
    <w:rsid w:val="00D04A56"/>
    <w:rsid w:val="00D23FE7"/>
    <w:rsid w:val="00D2493D"/>
    <w:rsid w:val="00D26572"/>
    <w:rsid w:val="00D37B30"/>
    <w:rsid w:val="00D44DF6"/>
    <w:rsid w:val="00D50B07"/>
    <w:rsid w:val="00D55F36"/>
    <w:rsid w:val="00DA1D28"/>
    <w:rsid w:val="00DC380B"/>
    <w:rsid w:val="00DD4751"/>
    <w:rsid w:val="00DE0C75"/>
    <w:rsid w:val="00DE4DE1"/>
    <w:rsid w:val="00DE77A0"/>
    <w:rsid w:val="00E04D16"/>
    <w:rsid w:val="00E06BAC"/>
    <w:rsid w:val="00E1037B"/>
    <w:rsid w:val="00E17377"/>
    <w:rsid w:val="00E25458"/>
    <w:rsid w:val="00E31C7B"/>
    <w:rsid w:val="00E40917"/>
    <w:rsid w:val="00E51832"/>
    <w:rsid w:val="00E65250"/>
    <w:rsid w:val="00E67087"/>
    <w:rsid w:val="00E745FD"/>
    <w:rsid w:val="00E811F1"/>
    <w:rsid w:val="00E97DC2"/>
    <w:rsid w:val="00EE08D9"/>
    <w:rsid w:val="00EE6695"/>
    <w:rsid w:val="00F31B46"/>
    <w:rsid w:val="00F33CF2"/>
    <w:rsid w:val="00F33E5E"/>
    <w:rsid w:val="00F40A80"/>
    <w:rsid w:val="00F423F3"/>
    <w:rsid w:val="00F46E04"/>
    <w:rsid w:val="00F52D82"/>
    <w:rsid w:val="00F53CDD"/>
    <w:rsid w:val="00F623F2"/>
    <w:rsid w:val="00F66FE5"/>
    <w:rsid w:val="00F67B3A"/>
    <w:rsid w:val="00F743D8"/>
    <w:rsid w:val="00F830C7"/>
    <w:rsid w:val="00F91CD4"/>
    <w:rsid w:val="00FA3020"/>
    <w:rsid w:val="00FB41D2"/>
    <w:rsid w:val="00FB73F1"/>
    <w:rsid w:val="00FC23BC"/>
    <w:rsid w:val="00FC4767"/>
    <w:rsid w:val="00FD7B2A"/>
    <w:rsid w:val="00FE220A"/>
    <w:rsid w:val="00FE393C"/>
    <w:rsid w:val="00FF0471"/>
    <w:rsid w:val="00FF0EC6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2012-05-31T07:00:00+00:00</OpenedDate>
    <Date1 xmlns="dc463f71-b30c-4ab2-9473-d307f9d35888">2012-05-31T07:00:00+00:00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61921312B7844FA3B19F3126DDE74F" ma:contentTypeVersion="139" ma:contentTypeDescription="" ma:contentTypeScope="" ma:versionID="cdb4e8c4f8b223d3b66661de9bb8b7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F7290-7F25-41D1-816D-C195BE3FFC09}"/>
</file>

<file path=customXml/itemProps2.xml><?xml version="1.0" encoding="utf-8"?>
<ds:datastoreItem xmlns:ds="http://schemas.openxmlformats.org/officeDocument/2006/customXml" ds:itemID="{C575C7BF-4649-420A-A95A-7D58FB65BBEC}"/>
</file>

<file path=customXml/itemProps3.xml><?xml version="1.0" encoding="utf-8"?>
<ds:datastoreItem xmlns:ds="http://schemas.openxmlformats.org/officeDocument/2006/customXml" ds:itemID="{C1BD58E4-22EA-490D-841D-B873D8113BA1}"/>
</file>

<file path=customXml/itemProps4.xml><?xml version="1.0" encoding="utf-8"?>
<ds:datastoreItem xmlns:ds="http://schemas.openxmlformats.org/officeDocument/2006/customXml" ds:itemID="{2545670B-438A-4B4A-A771-67A65712C3B1}"/>
</file>

<file path=customXml/itemProps5.xml><?xml version="1.0" encoding="utf-8"?>
<ds:datastoreItem xmlns:ds="http://schemas.openxmlformats.org/officeDocument/2006/customXml" ds:itemID="{1C5C8820-4206-4279-9EBA-9B5BA3E164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1363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Avista - Patrick Ehrbar</cp:lastModifiedBy>
  <cp:revision>10</cp:revision>
  <cp:lastPrinted>2012-05-29T17:21:00Z</cp:lastPrinted>
  <dcterms:created xsi:type="dcterms:W3CDTF">2012-05-25T18:07:00Z</dcterms:created>
  <dcterms:modified xsi:type="dcterms:W3CDTF">2012-05-30T17:34:00Z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0x0101006E56B4D1795A2E4DB2F0B01679ED314A00C161921312B7844FA3B19F3126DDE74F</vt:lpwstr>
  </property>
  <property fmtid="{D5CDD505-2E9C-101B-9397-08002B2CF9AE}" pid="3" name="_docset_NoMedatataSyncRequired">
    <vt:lpwstr>False</vt:lpwstr>
  </property>
</Properties>
</file>