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C3" w:rsidRDefault="000A75C3"/>
    <w:p w:rsidR="000A75C3" w:rsidRDefault="000A75C3"/>
    <w:p w:rsidR="000A75C3" w:rsidRDefault="000A75C3" w:rsidP="000A75C3">
      <w:pPr>
        <w:ind w:left="-180"/>
      </w:pPr>
      <w:r>
        <w:t>March 1, 2012</w:t>
      </w:r>
    </w:p>
    <w:p w:rsidR="000A75C3" w:rsidRDefault="000A75C3" w:rsidP="000A75C3">
      <w:pPr>
        <w:ind w:left="-180"/>
      </w:pPr>
    </w:p>
    <w:p w:rsidR="000A75C3" w:rsidRPr="001C4F47" w:rsidRDefault="000A75C3" w:rsidP="000A75C3">
      <w:pPr>
        <w:ind w:left="-180"/>
        <w:rPr>
          <w:rFonts w:ascii="Times New Roman" w:hAnsi="Times New Roman"/>
          <w:b/>
          <w:i/>
          <w:szCs w:val="24"/>
        </w:rPr>
      </w:pPr>
      <w:r w:rsidRPr="001C4F47">
        <w:rPr>
          <w:rFonts w:ascii="Times New Roman" w:hAnsi="Times New Roman"/>
          <w:b/>
          <w:i/>
          <w:szCs w:val="24"/>
        </w:rPr>
        <w:t>VIA ELECTRONIC FILING</w:t>
      </w:r>
    </w:p>
    <w:p w:rsidR="000A75C3" w:rsidRPr="001C4F47" w:rsidRDefault="000A75C3" w:rsidP="000A75C3">
      <w:pPr>
        <w:ind w:left="-180"/>
        <w:rPr>
          <w:rFonts w:ascii="Times New Roman" w:hAnsi="Times New Roman"/>
          <w:b/>
          <w:i/>
          <w:szCs w:val="24"/>
        </w:rPr>
      </w:pPr>
      <w:r w:rsidRPr="001C4F47">
        <w:rPr>
          <w:rFonts w:ascii="Times New Roman" w:hAnsi="Times New Roman"/>
          <w:b/>
          <w:i/>
          <w:szCs w:val="24"/>
        </w:rPr>
        <w:t>AND OVERNIGHT DELIVERY</w:t>
      </w:r>
    </w:p>
    <w:p w:rsidR="000A75C3" w:rsidRDefault="000A75C3" w:rsidP="000A75C3">
      <w:pPr>
        <w:ind w:left="-180"/>
        <w:rPr>
          <w:rFonts w:ascii="Times New Roman" w:hAnsi="Times New Roman"/>
          <w:szCs w:val="24"/>
        </w:rPr>
      </w:pPr>
    </w:p>
    <w:p w:rsidR="000A75C3" w:rsidRPr="008E620A" w:rsidRDefault="000A75C3" w:rsidP="000A75C3">
      <w:pPr>
        <w:ind w:left="-180"/>
        <w:rPr>
          <w:rFonts w:ascii="Times New Roman" w:hAnsi="Times New Roman"/>
          <w:szCs w:val="24"/>
        </w:rPr>
      </w:pPr>
    </w:p>
    <w:p w:rsidR="000A75C3" w:rsidRPr="001C4F47" w:rsidRDefault="000A75C3" w:rsidP="000A75C3">
      <w:pPr>
        <w:ind w:left="-180"/>
        <w:rPr>
          <w:rFonts w:ascii="Times New Roman" w:hAnsi="Times New Roman"/>
          <w:szCs w:val="24"/>
        </w:rPr>
      </w:pPr>
      <w:r w:rsidRPr="001C4F47">
        <w:rPr>
          <w:rFonts w:ascii="Times New Roman" w:hAnsi="Times New Roman"/>
          <w:szCs w:val="24"/>
        </w:rPr>
        <w:t>Washington Utilities &amp; Transportation Commission</w:t>
      </w:r>
    </w:p>
    <w:p w:rsidR="000A75C3" w:rsidRPr="001C4F47" w:rsidRDefault="000A75C3" w:rsidP="000A75C3">
      <w:pPr>
        <w:ind w:left="-180"/>
        <w:rPr>
          <w:rFonts w:ascii="Times New Roman" w:hAnsi="Times New Roman"/>
          <w:szCs w:val="24"/>
        </w:rPr>
      </w:pPr>
      <w:r w:rsidRPr="001C4F47">
        <w:rPr>
          <w:rFonts w:ascii="Times New Roman" w:hAnsi="Times New Roman"/>
          <w:szCs w:val="24"/>
        </w:rPr>
        <w:t>1300 S. Evergreen Park Drive SW</w:t>
      </w:r>
    </w:p>
    <w:p w:rsidR="000A75C3" w:rsidRPr="001C4F47" w:rsidRDefault="000A75C3" w:rsidP="000A75C3">
      <w:pPr>
        <w:ind w:left="-180"/>
        <w:rPr>
          <w:rFonts w:ascii="Times New Roman" w:hAnsi="Times New Roman"/>
          <w:szCs w:val="24"/>
        </w:rPr>
      </w:pPr>
      <w:r w:rsidRPr="001C4F47">
        <w:rPr>
          <w:rFonts w:ascii="Times New Roman" w:hAnsi="Times New Roman"/>
          <w:szCs w:val="24"/>
        </w:rPr>
        <w:t>P.O. Box 47250</w:t>
      </w:r>
    </w:p>
    <w:p w:rsidR="000A75C3" w:rsidRPr="001C4F47" w:rsidRDefault="000A75C3" w:rsidP="000A75C3">
      <w:pPr>
        <w:ind w:left="-180"/>
        <w:rPr>
          <w:rFonts w:ascii="Times New Roman" w:hAnsi="Times New Roman"/>
          <w:szCs w:val="24"/>
        </w:rPr>
      </w:pPr>
      <w:r w:rsidRPr="001C4F47">
        <w:rPr>
          <w:rFonts w:ascii="Times New Roman" w:hAnsi="Times New Roman"/>
          <w:szCs w:val="24"/>
        </w:rPr>
        <w:t>Olympia, WA 98504-7250</w:t>
      </w:r>
    </w:p>
    <w:p w:rsidR="000A75C3" w:rsidRPr="001C4F47" w:rsidRDefault="000A75C3" w:rsidP="000A75C3">
      <w:pPr>
        <w:ind w:left="-180"/>
        <w:rPr>
          <w:rFonts w:ascii="Times New Roman" w:hAnsi="Times New Roman"/>
          <w:szCs w:val="24"/>
        </w:rPr>
      </w:pPr>
    </w:p>
    <w:p w:rsidR="000A75C3" w:rsidRPr="001C4F47" w:rsidRDefault="000A75C3" w:rsidP="000A75C3">
      <w:pPr>
        <w:tabs>
          <w:tab w:val="left" w:pos="900"/>
        </w:tabs>
        <w:ind w:left="-180"/>
        <w:rPr>
          <w:rFonts w:ascii="Times New Roman" w:hAnsi="Times New Roman"/>
          <w:szCs w:val="24"/>
        </w:rPr>
      </w:pPr>
      <w:r w:rsidRPr="001C4F47">
        <w:rPr>
          <w:rFonts w:ascii="Times New Roman" w:hAnsi="Times New Roman"/>
          <w:szCs w:val="24"/>
        </w:rPr>
        <w:t>Attention:  David W. Danner</w:t>
      </w:r>
    </w:p>
    <w:p w:rsidR="000A75C3" w:rsidRPr="001C4F47" w:rsidRDefault="000A75C3" w:rsidP="000A75C3">
      <w:pPr>
        <w:tabs>
          <w:tab w:val="left" w:pos="900"/>
        </w:tabs>
        <w:ind w:left="-180"/>
        <w:rPr>
          <w:rFonts w:ascii="Times New Roman" w:hAnsi="Times New Roman"/>
          <w:szCs w:val="24"/>
        </w:rPr>
      </w:pPr>
      <w:r w:rsidRPr="001C4F47">
        <w:rPr>
          <w:rFonts w:ascii="Times New Roman" w:hAnsi="Times New Roman"/>
          <w:szCs w:val="24"/>
        </w:rPr>
        <w:tab/>
        <w:t>Executive Director and Secretary</w:t>
      </w:r>
    </w:p>
    <w:p w:rsidR="000A75C3" w:rsidRPr="001C4F47" w:rsidRDefault="000A75C3" w:rsidP="000A75C3">
      <w:pPr>
        <w:tabs>
          <w:tab w:val="left" w:pos="540"/>
        </w:tabs>
        <w:ind w:left="-180"/>
        <w:rPr>
          <w:rFonts w:ascii="Times New Roman" w:hAnsi="Times New Roman"/>
          <w:sz w:val="22"/>
          <w:szCs w:val="22"/>
        </w:rPr>
      </w:pPr>
    </w:p>
    <w:p w:rsidR="000A75C3" w:rsidRPr="001C4F47" w:rsidRDefault="000A75C3" w:rsidP="000A75C3">
      <w:pPr>
        <w:tabs>
          <w:tab w:val="left" w:pos="540"/>
        </w:tabs>
        <w:ind w:left="-180"/>
        <w:rPr>
          <w:rFonts w:ascii="Times New Roman" w:hAnsi="Times New Roman"/>
          <w:b/>
          <w:szCs w:val="24"/>
        </w:rPr>
      </w:pPr>
      <w:r w:rsidRPr="001C4F47">
        <w:rPr>
          <w:b/>
          <w:szCs w:val="24"/>
        </w:rPr>
        <w:t>RE:</w:t>
      </w:r>
      <w:r w:rsidRPr="001C4F47">
        <w:rPr>
          <w:szCs w:val="24"/>
        </w:rPr>
        <w:t xml:space="preserve">  </w:t>
      </w:r>
      <w:r w:rsidRPr="001C4F47">
        <w:rPr>
          <w:b/>
          <w:szCs w:val="24"/>
        </w:rPr>
        <w:t>WAC 480-143-190 Property Disclosure Report</w:t>
      </w:r>
    </w:p>
    <w:p w:rsidR="000A75C3" w:rsidRDefault="000A75C3" w:rsidP="000A75C3">
      <w:pPr>
        <w:ind w:left="-180"/>
        <w:rPr>
          <w:rFonts w:ascii="Times New Roman" w:hAnsi="Times New Roman"/>
          <w:szCs w:val="24"/>
        </w:rPr>
      </w:pPr>
    </w:p>
    <w:p w:rsidR="000A75C3" w:rsidRPr="001C4F47" w:rsidRDefault="000A75C3" w:rsidP="000A75C3">
      <w:pPr>
        <w:ind w:left="-180"/>
        <w:rPr>
          <w:rFonts w:ascii="Times New Roman" w:hAnsi="Times New Roman"/>
          <w:szCs w:val="24"/>
        </w:rPr>
      </w:pPr>
      <w:r w:rsidRPr="001C4F47">
        <w:rPr>
          <w:rFonts w:ascii="Times New Roman" w:hAnsi="Times New Roman"/>
          <w:szCs w:val="24"/>
        </w:rPr>
        <w:t>Dear Mr. Danner:</w:t>
      </w:r>
    </w:p>
    <w:p w:rsidR="000A75C3" w:rsidRPr="001C4F47" w:rsidRDefault="000A75C3" w:rsidP="000A75C3">
      <w:pPr>
        <w:ind w:left="-180"/>
        <w:rPr>
          <w:rFonts w:ascii="Times New Roman" w:hAnsi="Times New Roman"/>
          <w:szCs w:val="24"/>
        </w:rPr>
      </w:pPr>
    </w:p>
    <w:p w:rsidR="000A75C3" w:rsidRPr="001C4F47" w:rsidRDefault="000A75C3" w:rsidP="000A75C3">
      <w:pPr>
        <w:ind w:left="-180"/>
        <w:rPr>
          <w:szCs w:val="24"/>
        </w:rPr>
      </w:pPr>
      <w:r w:rsidRPr="001C4F47">
        <w:rPr>
          <w:szCs w:val="24"/>
        </w:rPr>
        <w:t xml:space="preserve">WAC 480-143-190 requires public service companies to file with the Washington Utilities and Transportation Commission (“Commission”) by March 1 of each year, a list of property transfers that occurred in the previous year without commission approval. </w:t>
      </w:r>
    </w:p>
    <w:p w:rsidR="000A75C3" w:rsidRPr="001C4F47" w:rsidRDefault="000A75C3" w:rsidP="000A75C3">
      <w:pPr>
        <w:ind w:left="-180"/>
        <w:rPr>
          <w:szCs w:val="24"/>
        </w:rPr>
      </w:pPr>
    </w:p>
    <w:p w:rsidR="000A75C3" w:rsidRPr="001C4F47" w:rsidRDefault="000A75C3" w:rsidP="000A75C3">
      <w:pPr>
        <w:ind w:left="-180"/>
        <w:rPr>
          <w:szCs w:val="24"/>
        </w:rPr>
      </w:pPr>
      <w:r w:rsidRPr="001C4F47">
        <w:rPr>
          <w:szCs w:val="24"/>
        </w:rPr>
        <w:t>In 2011, PacifiCorp, d.b.a. Pacific Power &amp; Light Company, (the “Company”) had no transactions that included the transfer of property that exceeded the reporting threshold of 0.01% of the Company’s rate base authorized by Commission in Order No. 06 in Docket UE-100749.  The reporting threshold of 0.01% as established in WAC 480-143-190 for PacifiCorp is approximately $73,000.  Please note that only items allocated to Washington using the West Control Area allocation methodology are included in this report.</w:t>
      </w:r>
    </w:p>
    <w:p w:rsidR="000A75C3" w:rsidRPr="001C4F47" w:rsidRDefault="000A75C3" w:rsidP="000A75C3">
      <w:pPr>
        <w:ind w:left="-180"/>
        <w:rPr>
          <w:szCs w:val="24"/>
        </w:rPr>
      </w:pPr>
    </w:p>
    <w:p w:rsidR="000A75C3" w:rsidRPr="001C4F47" w:rsidRDefault="000A75C3" w:rsidP="000A75C3">
      <w:pPr>
        <w:ind w:left="-180"/>
        <w:rPr>
          <w:szCs w:val="24"/>
        </w:rPr>
      </w:pPr>
      <w:r w:rsidRPr="001C4F47">
        <w:rPr>
          <w:szCs w:val="24"/>
        </w:rPr>
        <w:t>Attached please find the officer’s affidavit in compliance with the requirements set forth in this rule attesting that there were no transfers of property meeting the rule criteria during the 2011 period.</w:t>
      </w:r>
    </w:p>
    <w:p w:rsidR="000A75C3" w:rsidRPr="001C4F47" w:rsidRDefault="000A75C3" w:rsidP="000A75C3">
      <w:pPr>
        <w:ind w:left="-180"/>
        <w:rPr>
          <w:szCs w:val="24"/>
        </w:rPr>
      </w:pPr>
    </w:p>
    <w:p w:rsidR="000A75C3" w:rsidRPr="001C4F47" w:rsidRDefault="000A75C3" w:rsidP="000A75C3">
      <w:pPr>
        <w:ind w:left="-180"/>
        <w:rPr>
          <w:szCs w:val="24"/>
        </w:rPr>
      </w:pPr>
      <w:r w:rsidRPr="001C4F47">
        <w:rPr>
          <w:szCs w:val="24"/>
        </w:rPr>
        <w:t>If you have any questions or require further information, please contact Carla Bird, Regulatory Manager, at (503) 813-5269.</w:t>
      </w:r>
    </w:p>
    <w:p w:rsidR="000A75C3" w:rsidRPr="001C4F47" w:rsidRDefault="000A75C3" w:rsidP="000A75C3">
      <w:pPr>
        <w:ind w:left="-180"/>
        <w:jc w:val="both"/>
        <w:rPr>
          <w:rFonts w:ascii="Times New Roman" w:hAnsi="Times New Roman"/>
          <w:szCs w:val="24"/>
        </w:rPr>
      </w:pPr>
    </w:p>
    <w:p w:rsidR="000A75C3" w:rsidRPr="001C4F47" w:rsidRDefault="000A75C3" w:rsidP="000A75C3">
      <w:pPr>
        <w:ind w:left="-180"/>
        <w:jc w:val="both"/>
        <w:rPr>
          <w:rFonts w:ascii="Times New Roman" w:hAnsi="Times New Roman"/>
          <w:szCs w:val="24"/>
        </w:rPr>
      </w:pPr>
      <w:r w:rsidRPr="001C4F47">
        <w:rPr>
          <w:rFonts w:ascii="Times New Roman" w:hAnsi="Times New Roman"/>
          <w:szCs w:val="24"/>
        </w:rPr>
        <w:t>Sincerely,</w:t>
      </w:r>
    </w:p>
    <w:p w:rsidR="000A75C3" w:rsidRPr="001C4F47" w:rsidRDefault="000A75C3" w:rsidP="000A75C3">
      <w:pPr>
        <w:ind w:left="-180"/>
        <w:jc w:val="both"/>
        <w:rPr>
          <w:rFonts w:ascii="Times New Roman" w:hAnsi="Times New Roman"/>
          <w:szCs w:val="24"/>
        </w:rPr>
      </w:pPr>
    </w:p>
    <w:p w:rsidR="000A75C3" w:rsidRPr="001C4F47" w:rsidRDefault="000A75C3" w:rsidP="000A75C3">
      <w:pPr>
        <w:ind w:left="-180"/>
        <w:jc w:val="both"/>
        <w:rPr>
          <w:rFonts w:ascii="Times New Roman" w:hAnsi="Times New Roman"/>
          <w:szCs w:val="24"/>
        </w:rPr>
      </w:pPr>
    </w:p>
    <w:p w:rsidR="000A75C3" w:rsidRPr="001C4F47" w:rsidRDefault="000A75C3" w:rsidP="000A75C3">
      <w:pPr>
        <w:ind w:left="-180"/>
        <w:rPr>
          <w:rFonts w:ascii="Times New Roman" w:hAnsi="Times New Roman"/>
          <w:szCs w:val="24"/>
        </w:rPr>
      </w:pPr>
      <w:r w:rsidRPr="001C4F47">
        <w:rPr>
          <w:rFonts w:ascii="Times New Roman" w:hAnsi="Times New Roman"/>
          <w:szCs w:val="24"/>
        </w:rPr>
        <w:t>William R. Griffith</w:t>
      </w:r>
    </w:p>
    <w:p w:rsidR="000A75C3" w:rsidRPr="001C4F47" w:rsidRDefault="000A75C3" w:rsidP="000A75C3">
      <w:pPr>
        <w:ind w:left="-180"/>
        <w:rPr>
          <w:rFonts w:ascii="Times New Roman" w:hAnsi="Times New Roman"/>
          <w:szCs w:val="24"/>
        </w:rPr>
      </w:pPr>
      <w:r w:rsidRPr="001C4F47">
        <w:rPr>
          <w:rFonts w:ascii="Times New Roman" w:hAnsi="Times New Roman"/>
          <w:szCs w:val="24"/>
        </w:rPr>
        <w:t>Vice President, Regulation</w:t>
      </w:r>
    </w:p>
    <w:p w:rsidR="000A75C3" w:rsidRPr="001C4F47" w:rsidRDefault="000A75C3" w:rsidP="000A75C3">
      <w:pPr>
        <w:ind w:left="-180"/>
        <w:rPr>
          <w:rFonts w:ascii="Times New Roman" w:hAnsi="Times New Roman"/>
          <w:szCs w:val="24"/>
        </w:rPr>
      </w:pPr>
    </w:p>
    <w:p w:rsidR="000A75C3" w:rsidRPr="001C4F47" w:rsidRDefault="000A75C3" w:rsidP="000A75C3">
      <w:pPr>
        <w:ind w:left="-180"/>
        <w:rPr>
          <w:rFonts w:ascii="Times New Roman" w:hAnsi="Times New Roman"/>
          <w:szCs w:val="24"/>
        </w:rPr>
      </w:pPr>
      <w:r w:rsidRPr="001C4F47">
        <w:rPr>
          <w:rFonts w:ascii="Times New Roman" w:hAnsi="Times New Roman"/>
          <w:szCs w:val="24"/>
        </w:rPr>
        <w:t>Enclosure</w:t>
      </w:r>
    </w:p>
    <w:p w:rsidR="000D75AD" w:rsidRDefault="000A75C3">
      <w:r w:rsidRPr="000A75C3">
        <w:rPr>
          <w:noProof/>
        </w:rPr>
        <w:drawing>
          <wp:anchor distT="0" distB="0" distL="114300" distR="114300" simplePos="0" relativeHeight="251659264" behindDoc="1" locked="0" layoutInCell="1" allowOverlap="1">
            <wp:simplePos x="0" y="0"/>
            <wp:positionH relativeFrom="column">
              <wp:posOffset>-409575</wp:posOffset>
            </wp:positionH>
            <wp:positionV relativeFrom="page">
              <wp:posOffset>685800</wp:posOffset>
            </wp:positionV>
            <wp:extent cx="6527800" cy="381000"/>
            <wp:effectExtent l="19050" t="0" r="6350" b="0"/>
            <wp:wrapNone/>
            <wp:docPr id="9" name="Picture 9" descr="PP_825suite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PP_825suite800"/>
                    <pic:cNvPicPr>
                      <a:picLocks noChangeArrowheads="1"/>
                    </pic:cNvPicPr>
                  </pic:nvPicPr>
                  <pic:blipFill>
                    <a:blip r:embed="rId6" cstate="print"/>
                    <a:srcRect/>
                    <a:stretch>
                      <a:fillRect/>
                    </a:stretch>
                  </pic:blipFill>
                  <pic:spPr bwMode="auto">
                    <a:xfrm>
                      <a:off x="0" y="0"/>
                      <a:ext cx="6527800" cy="381000"/>
                    </a:xfrm>
                    <a:prstGeom prst="rect">
                      <a:avLst/>
                    </a:prstGeom>
                    <a:noFill/>
                    <a:ln w="9525">
                      <a:noFill/>
                      <a:miter lim="800000"/>
                      <a:headEnd/>
                      <a:tailEnd/>
                    </a:ln>
                  </pic:spPr>
                </pic:pic>
              </a:graphicData>
            </a:graphic>
          </wp:anchor>
        </w:drawing>
      </w:r>
    </w:p>
    <w:sectPr w:rsidR="000D75AD" w:rsidSect="00503C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A3A" w:rsidRDefault="008B1A3A" w:rsidP="008B1A3A">
      <w:r>
        <w:separator/>
      </w:r>
    </w:p>
  </w:endnote>
  <w:endnote w:type="continuationSeparator" w:id="0">
    <w:p w:rsidR="008B1A3A" w:rsidRDefault="008B1A3A" w:rsidP="008B1A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3A" w:rsidRDefault="008B1A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3A" w:rsidRDefault="008B1A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3A" w:rsidRDefault="008B1A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A3A" w:rsidRDefault="008B1A3A" w:rsidP="008B1A3A">
      <w:r>
        <w:separator/>
      </w:r>
    </w:p>
  </w:footnote>
  <w:footnote w:type="continuationSeparator" w:id="0">
    <w:p w:rsidR="008B1A3A" w:rsidRDefault="008B1A3A" w:rsidP="008B1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3A" w:rsidRDefault="008B1A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3A" w:rsidRDefault="008B1A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3A" w:rsidRDefault="008B1A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removePersonalInformation/>
  <w:removeDateAndTime/>
  <w:defaultTabStop w:val="720"/>
  <w:characterSpacingControl w:val="doNotCompress"/>
  <w:hdrShapeDefaults>
    <o:shapedefaults v:ext="edit" spidmax="3073"/>
  </w:hdrShapeDefaults>
  <w:footnotePr>
    <w:footnote w:id="-1"/>
    <w:footnote w:id="0"/>
  </w:footnotePr>
  <w:endnotePr>
    <w:endnote w:id="-1"/>
    <w:endnote w:id="0"/>
  </w:endnotePr>
  <w:compat/>
  <w:rsids>
    <w:rsidRoot w:val="000A75C3"/>
    <w:rsid w:val="000A75C3"/>
    <w:rsid w:val="001E7FCE"/>
    <w:rsid w:val="00481520"/>
    <w:rsid w:val="004D1218"/>
    <w:rsid w:val="00503CB3"/>
    <w:rsid w:val="008B1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5C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1A3A"/>
    <w:pPr>
      <w:tabs>
        <w:tab w:val="center" w:pos="4680"/>
        <w:tab w:val="right" w:pos="9360"/>
      </w:tabs>
    </w:pPr>
  </w:style>
  <w:style w:type="character" w:customStyle="1" w:styleId="HeaderChar">
    <w:name w:val="Header Char"/>
    <w:basedOn w:val="DefaultParagraphFont"/>
    <w:link w:val="Header"/>
    <w:uiPriority w:val="99"/>
    <w:semiHidden/>
    <w:rsid w:val="008B1A3A"/>
    <w:rPr>
      <w:rFonts w:ascii="Times" w:eastAsia="Times" w:hAnsi="Times" w:cs="Times New Roman"/>
      <w:sz w:val="24"/>
      <w:szCs w:val="20"/>
    </w:rPr>
  </w:style>
  <w:style w:type="paragraph" w:styleId="Footer">
    <w:name w:val="footer"/>
    <w:basedOn w:val="Normal"/>
    <w:link w:val="FooterChar"/>
    <w:uiPriority w:val="99"/>
    <w:semiHidden/>
    <w:unhideWhenUsed/>
    <w:rsid w:val="008B1A3A"/>
    <w:pPr>
      <w:tabs>
        <w:tab w:val="center" w:pos="4680"/>
        <w:tab w:val="right" w:pos="9360"/>
      </w:tabs>
    </w:pPr>
  </w:style>
  <w:style w:type="character" w:customStyle="1" w:styleId="FooterChar">
    <w:name w:val="Footer Char"/>
    <w:basedOn w:val="DefaultParagraphFont"/>
    <w:link w:val="Footer"/>
    <w:uiPriority w:val="99"/>
    <w:semiHidden/>
    <w:rsid w:val="008B1A3A"/>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2697804A172444A15D8FBD609164D6" ma:contentTypeVersion="139" ma:contentTypeDescription="" ma:contentTypeScope="" ma:versionID="050198a383f6b06b2c9946163ab85c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2012-03-01T08:00:00+00:00</OpenedDate>
    <Date1 xmlns="dc463f71-b30c-4ab2-9473-d307f9d35888">2012-03-01T08:00:00+00:00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120284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70B676B-4633-4D19-BC89-91A6890A6B80}"/>
</file>

<file path=customXml/itemProps2.xml><?xml version="1.0" encoding="utf-8"?>
<ds:datastoreItem xmlns:ds="http://schemas.openxmlformats.org/officeDocument/2006/customXml" ds:itemID="{DFEFFA7C-3D41-414B-9025-89E3F4C529DB}"/>
</file>

<file path=customXml/itemProps3.xml><?xml version="1.0" encoding="utf-8"?>
<ds:datastoreItem xmlns:ds="http://schemas.openxmlformats.org/officeDocument/2006/customXml" ds:itemID="{564BF709-D9B7-44DD-BD17-3A2CA86AEA25}"/>
</file>

<file path=customXml/itemProps4.xml><?xml version="1.0" encoding="utf-8"?>
<ds:datastoreItem xmlns:ds="http://schemas.openxmlformats.org/officeDocument/2006/customXml" ds:itemID="{5E1A7CF6-0CA6-4B08-89C1-80FA612A6803}"/>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2012-03-01T23:48:00Z</dcterms:created>
  <dcterms:modified xsi:type="dcterms:W3CDTF">2012-03-01T23:48:00Z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0x0101006E56B4D1795A2E4DB2F0B01679ED314A00752697804A172444A15D8FBD609164D6</vt:lpwstr>
  </property>
  <property fmtid="{D5CDD505-2E9C-101B-9397-08002B2CF9AE}" pid="4" name="_docset_NoMedatataSyncRequired">
    <vt:lpwstr>False</vt:lpwstr>
  </property>
</Properties>
</file>