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69" w:rsidRDefault="00702169" w:rsidP="00702169">
      <w:pPr>
        <w:rPr>
          <w:rFonts w:ascii="MS Reference Sans Serif" w:hAnsi="MS Reference Sans Serif" w:cs="Microsoft Sans Serif"/>
          <w:sz w:val="72"/>
          <w:szCs w:val="72"/>
        </w:rPr>
      </w:pPr>
      <w:r>
        <w:rPr>
          <w:rFonts w:ascii="MS Reference Sans Serif" w:hAnsi="MS Reference Sans Serif" w:cs="Microsoft Sans Serif"/>
          <w:noProof/>
          <w:sz w:val="72"/>
          <w:szCs w:val="72"/>
        </w:rPr>
        <w:drawing>
          <wp:anchor distT="0" distB="0" distL="114300" distR="114300" simplePos="0" relativeHeight="251659264" behindDoc="1" locked="0" layoutInCell="1" allowOverlap="1">
            <wp:simplePos x="0" y="0"/>
            <wp:positionH relativeFrom="column">
              <wp:posOffset>15240</wp:posOffset>
            </wp:positionH>
            <wp:positionV relativeFrom="paragraph">
              <wp:posOffset>471805</wp:posOffset>
            </wp:positionV>
            <wp:extent cx="2207260" cy="1047750"/>
            <wp:effectExtent l="19050" t="0" r="2540" b="0"/>
            <wp:wrapTight wrapText="bothSides">
              <wp:wrapPolygon edited="0">
                <wp:start x="-186" y="0"/>
                <wp:lineTo x="-186" y="21207"/>
                <wp:lineTo x="21625" y="21207"/>
                <wp:lineTo x="21625" y="0"/>
                <wp:lineTo x="-186" y="0"/>
              </wp:wrapPolygon>
            </wp:wrapTight>
            <wp:docPr id="5" name="Picture 0" descr="UTC Logo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C Logo 2008.jpg"/>
                    <pic:cNvPicPr/>
                  </pic:nvPicPr>
                  <pic:blipFill>
                    <a:blip r:embed="rId9" cstate="print"/>
                    <a:stretch>
                      <a:fillRect/>
                    </a:stretch>
                  </pic:blipFill>
                  <pic:spPr>
                    <a:xfrm>
                      <a:off x="0" y="0"/>
                      <a:ext cx="2207260" cy="1047750"/>
                    </a:xfrm>
                    <a:prstGeom prst="rect">
                      <a:avLst/>
                    </a:prstGeom>
                  </pic:spPr>
                </pic:pic>
              </a:graphicData>
            </a:graphic>
          </wp:anchor>
        </w:drawing>
      </w:r>
    </w:p>
    <w:p w:rsidR="00702169" w:rsidRPr="00DB2BDA" w:rsidRDefault="00702169" w:rsidP="00702169">
      <w:pPr>
        <w:rPr>
          <w:rFonts w:ascii="MS Reference Sans Serif" w:hAnsi="MS Reference Sans Serif" w:cs="Microsoft Sans Serif"/>
        </w:rPr>
      </w:pPr>
    </w:p>
    <w:p w:rsidR="00702169" w:rsidRPr="00DB2BDA" w:rsidRDefault="00702169" w:rsidP="00702169">
      <w:pPr>
        <w:rPr>
          <w:rFonts w:ascii="MS Reference Sans Serif" w:hAnsi="MS Reference Sans Serif" w:cs="Microsoft Sans Serif"/>
        </w:rPr>
      </w:pPr>
    </w:p>
    <w:p w:rsidR="00702169" w:rsidRDefault="00702169" w:rsidP="00702169">
      <w:pPr>
        <w:rPr>
          <w:rFonts w:ascii="MS Reference Sans Serif" w:hAnsi="MS Reference Sans Serif" w:cs="Microsoft Sans Serif"/>
          <w:sz w:val="72"/>
          <w:szCs w:val="72"/>
        </w:rPr>
      </w:pPr>
    </w:p>
    <w:p w:rsidR="00702169" w:rsidRDefault="00702169" w:rsidP="00702169">
      <w:pPr>
        <w:rPr>
          <w:rFonts w:ascii="MS Reference Sans Serif" w:hAnsi="MS Reference Sans Serif" w:cs="Microsoft Sans Serif"/>
          <w:sz w:val="72"/>
          <w:szCs w:val="72"/>
        </w:rPr>
      </w:pPr>
    </w:p>
    <w:p w:rsidR="00702169" w:rsidRDefault="00702169" w:rsidP="00702169">
      <w:pPr>
        <w:rPr>
          <w:rFonts w:ascii="MS Reference Sans Serif" w:hAnsi="MS Reference Sans Serif" w:cs="Microsoft Sans Serif"/>
          <w:sz w:val="72"/>
          <w:szCs w:val="72"/>
        </w:rPr>
      </w:pPr>
    </w:p>
    <w:p w:rsidR="00702169" w:rsidRDefault="00702169" w:rsidP="00702169">
      <w:pPr>
        <w:rPr>
          <w:rFonts w:ascii="MS Reference Sans Serif" w:hAnsi="MS Reference Sans Serif" w:cs="Microsoft Sans Serif"/>
          <w:sz w:val="72"/>
          <w:szCs w:val="72"/>
        </w:rPr>
      </w:pPr>
      <w:r w:rsidRPr="00DB2BDA">
        <w:rPr>
          <w:rFonts w:ascii="MS Reference Sans Serif" w:hAnsi="MS Reference Sans Serif" w:cs="Microsoft Sans Serif"/>
          <w:sz w:val="72"/>
          <w:szCs w:val="72"/>
        </w:rPr>
        <w:t>Investigation Report</w:t>
      </w:r>
    </w:p>
    <w:p w:rsidR="00702169" w:rsidRPr="00C208DF" w:rsidRDefault="00A32562" w:rsidP="00702169">
      <w:pPr>
        <w:rPr>
          <w:rFonts w:ascii="MS Reference Sans Serif" w:hAnsi="MS Reference Sans Serif" w:cs="Microsoft Sans Serif"/>
          <w:sz w:val="52"/>
          <w:szCs w:val="52"/>
        </w:rPr>
      </w:pPr>
      <w:proofErr w:type="gramStart"/>
      <w:r>
        <w:rPr>
          <w:rFonts w:ascii="MS Reference Sans Serif" w:hAnsi="MS Reference Sans Serif" w:cs="Microsoft Sans Serif"/>
          <w:sz w:val="52"/>
          <w:szCs w:val="52"/>
        </w:rPr>
        <w:t>Lincoln Moving &amp; Storage Company, Inc.</w:t>
      </w:r>
      <w:proofErr w:type="gramEnd"/>
    </w:p>
    <w:p w:rsidR="00702169" w:rsidRPr="001C0A44" w:rsidRDefault="00702169" w:rsidP="00702169">
      <w:pPr>
        <w:rPr>
          <w:rFonts w:ascii="MS Reference Sans Serif" w:hAnsi="MS Reference Sans Serif" w:cs="Microsoft Sans Serif"/>
        </w:rPr>
      </w:pPr>
    </w:p>
    <w:p w:rsidR="00900F39" w:rsidRPr="00DD43A4" w:rsidRDefault="00900F39" w:rsidP="00900F39">
      <w:pPr>
        <w:rPr>
          <w:rFonts w:ascii="MS Reference Sans Serif" w:hAnsi="MS Reference Sans Serif" w:cs="Microsoft Sans Serif"/>
          <w:sz w:val="40"/>
          <w:szCs w:val="40"/>
        </w:rPr>
      </w:pPr>
      <w:r w:rsidRPr="00DD43A4">
        <w:rPr>
          <w:rFonts w:ascii="MS Reference Sans Serif" w:hAnsi="MS Reference Sans Serif" w:cs="Microsoft Sans Serif"/>
          <w:sz w:val="40"/>
          <w:szCs w:val="40"/>
        </w:rPr>
        <w:t>TV-</w:t>
      </w:r>
      <w:r>
        <w:rPr>
          <w:rFonts w:ascii="MS Reference Sans Serif" w:hAnsi="MS Reference Sans Serif" w:cs="Microsoft Sans Serif"/>
          <w:sz w:val="40"/>
          <w:szCs w:val="40"/>
        </w:rPr>
        <w:t>120257</w:t>
      </w: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p>
    <w:p w:rsidR="00702169" w:rsidRPr="001C0A44" w:rsidRDefault="00702169" w:rsidP="00702169">
      <w:pPr>
        <w:rPr>
          <w:rFonts w:ascii="MS Reference Sans Serif" w:hAnsi="MS Reference Sans Serif" w:cs="Microsoft Sans Serif"/>
        </w:rPr>
      </w:pP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r w:rsidRPr="00DB2BDA">
        <w:rPr>
          <w:rFonts w:ascii="MS Reference Sans Serif" w:hAnsi="MS Reference Sans Serif" w:cs="Microsoft Sans Serif"/>
          <w:sz w:val="32"/>
          <w:szCs w:val="32"/>
        </w:rPr>
        <w:cr/>
      </w: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p>
    <w:p w:rsidR="00702169" w:rsidRPr="001C0A44" w:rsidRDefault="00702169" w:rsidP="00702169">
      <w:pPr>
        <w:rPr>
          <w:rFonts w:ascii="MS Reference Sans Serif" w:hAnsi="MS Reference Sans Serif" w:cs="Microsoft Sans Serif"/>
          <w:sz w:val="30"/>
          <w:szCs w:val="30"/>
        </w:rPr>
      </w:pPr>
      <w:r>
        <w:rPr>
          <w:rFonts w:ascii="MS Reference Sans Serif" w:hAnsi="MS Reference Sans Serif" w:cs="Microsoft Sans Serif"/>
          <w:sz w:val="30"/>
          <w:szCs w:val="30"/>
        </w:rPr>
        <w:t>Rayne Pearson</w:t>
      </w:r>
      <w:r>
        <w:rPr>
          <w:rFonts w:ascii="MS Reference Sans Serif" w:hAnsi="MS Reference Sans Serif" w:cs="Microsoft Sans Serif"/>
          <w:sz w:val="30"/>
          <w:szCs w:val="30"/>
        </w:rPr>
        <w:br/>
      </w:r>
      <w:r w:rsidRPr="001C0A44">
        <w:rPr>
          <w:rFonts w:ascii="MS Reference Sans Serif" w:hAnsi="MS Reference Sans Serif" w:cs="Microsoft Sans Serif"/>
          <w:sz w:val="30"/>
          <w:szCs w:val="30"/>
        </w:rPr>
        <w:t>Compliance Investigations</w:t>
      </w:r>
      <w:r w:rsidRPr="001C0A44">
        <w:rPr>
          <w:rFonts w:ascii="MS Reference Sans Serif" w:hAnsi="MS Reference Sans Serif" w:cs="Microsoft Sans Serif"/>
          <w:sz w:val="30"/>
          <w:szCs w:val="30"/>
        </w:rPr>
        <w:cr/>
      </w:r>
    </w:p>
    <w:p w:rsidR="00702169" w:rsidRPr="001C0A44" w:rsidRDefault="00A620CB" w:rsidP="00702169">
      <w:pPr>
        <w:rPr>
          <w:rFonts w:ascii="MS Reference Sans Serif" w:hAnsi="MS Reference Sans Serif" w:cs="Microsoft Sans Serif"/>
          <w:sz w:val="30"/>
          <w:szCs w:val="30"/>
        </w:rPr>
      </w:pPr>
      <w:r>
        <w:rPr>
          <w:rFonts w:ascii="MS Reference Sans Serif" w:hAnsi="MS Reference Sans Serif" w:cs="Microsoft Sans Serif"/>
          <w:sz w:val="30"/>
          <w:szCs w:val="30"/>
        </w:rPr>
        <w:t>April</w:t>
      </w:r>
      <w:bookmarkStart w:id="0" w:name="_GoBack"/>
      <w:bookmarkEnd w:id="0"/>
      <w:r w:rsidR="00A32562">
        <w:rPr>
          <w:rFonts w:ascii="MS Reference Sans Serif" w:hAnsi="MS Reference Sans Serif" w:cs="Microsoft Sans Serif"/>
          <w:sz w:val="30"/>
          <w:szCs w:val="30"/>
        </w:rPr>
        <w:t xml:space="preserve"> 2012</w:t>
      </w:r>
      <w:r w:rsidR="00702169" w:rsidRPr="001C0A44">
        <w:rPr>
          <w:rFonts w:ascii="MS Reference Sans Serif" w:hAnsi="MS Reference Sans Serif" w:cs="Microsoft Sans Serif"/>
          <w:sz w:val="30"/>
          <w:szCs w:val="30"/>
        </w:rPr>
        <w:cr/>
      </w:r>
    </w:p>
    <w:p w:rsidR="00D33056" w:rsidRPr="00AD208D" w:rsidRDefault="00D33056">
      <w:pPr>
        <w:pStyle w:val="Header"/>
        <w:tabs>
          <w:tab w:val="clear" w:pos="4320"/>
          <w:tab w:val="clear" w:pos="8640"/>
        </w:tabs>
        <w:rPr>
          <w:rFonts w:ascii="Times New Roman" w:hAnsi="Times New Roman"/>
        </w:rPr>
      </w:pPr>
      <w:r w:rsidRPr="00AD208D">
        <w:rPr>
          <w:rFonts w:ascii="Times New Roman" w:hAnsi="Times New Roman"/>
        </w:rPr>
        <w:br w:type="page"/>
      </w:r>
    </w:p>
    <w:p w:rsidR="00D33056" w:rsidRPr="00594B55" w:rsidRDefault="00D33056" w:rsidP="008D175D">
      <w:pPr>
        <w:pStyle w:val="Heading4"/>
        <w:widowControl/>
      </w:pPr>
      <w:r w:rsidRPr="00594B55">
        <w:lastRenderedPageBreak/>
        <w:t>TABLE OF CONTENTS</w:t>
      </w:r>
    </w:p>
    <w:p w:rsidR="00D33056" w:rsidRPr="00594B55" w:rsidRDefault="00D33056">
      <w:pPr>
        <w:pStyle w:val="Heading4"/>
        <w:widowControl/>
        <w:tabs>
          <w:tab w:val="left" w:pos="720"/>
        </w:tabs>
        <w:jc w:val="left"/>
        <w:rPr>
          <w:sz w:val="24"/>
        </w:rPr>
      </w:pPr>
    </w:p>
    <w:p w:rsidR="00D33056" w:rsidRPr="00594B55" w:rsidRDefault="00D33056">
      <w:pPr>
        <w:pStyle w:val="Heading1"/>
      </w:pPr>
      <w:r w:rsidRPr="00594B55">
        <w:t xml:space="preserve">                                                                                                               </w:t>
      </w:r>
    </w:p>
    <w:p w:rsidR="00D33056" w:rsidRPr="00594B55" w:rsidRDefault="00D33056">
      <w:pPr>
        <w:pStyle w:val="Heading4"/>
        <w:widowControl/>
        <w:tabs>
          <w:tab w:val="right" w:leader="dot" w:pos="7920"/>
          <w:tab w:val="right" w:leader="dot" w:pos="8352"/>
          <w:tab w:val="left" w:leader="dot" w:pos="8550"/>
          <w:tab w:val="left" w:leader="dot" w:pos="8640"/>
        </w:tabs>
        <w:jc w:val="left"/>
        <w:rPr>
          <w:b w:val="0"/>
          <w:bCs w:val="0"/>
          <w:sz w:val="24"/>
        </w:rPr>
      </w:pPr>
      <w:r w:rsidRPr="00594B55">
        <w:rPr>
          <w:b w:val="0"/>
          <w:bCs w:val="0"/>
          <w:sz w:val="24"/>
        </w:rPr>
        <w:t>Purpose, Sco</w:t>
      </w:r>
      <w:r w:rsidR="00742877" w:rsidRPr="00594B55">
        <w:rPr>
          <w:b w:val="0"/>
          <w:bCs w:val="0"/>
          <w:sz w:val="24"/>
        </w:rPr>
        <w:t>pe, and Authority</w:t>
      </w:r>
      <w:r w:rsidR="00742877" w:rsidRPr="00594B55">
        <w:rPr>
          <w:b w:val="0"/>
          <w:bCs w:val="0"/>
          <w:sz w:val="24"/>
        </w:rPr>
        <w:tab/>
      </w:r>
      <w:r w:rsidR="00821EED">
        <w:rPr>
          <w:b w:val="0"/>
          <w:bCs w:val="0"/>
          <w:sz w:val="24"/>
        </w:rPr>
        <w:t>3</w:t>
      </w:r>
    </w:p>
    <w:p w:rsidR="00D33056" w:rsidRPr="00594B55" w:rsidRDefault="00742877">
      <w:pPr>
        <w:pStyle w:val="Heading4"/>
        <w:widowControl/>
        <w:tabs>
          <w:tab w:val="right" w:leader="dot" w:pos="7920"/>
          <w:tab w:val="right" w:leader="dot" w:pos="8352"/>
        </w:tabs>
        <w:jc w:val="left"/>
        <w:rPr>
          <w:b w:val="0"/>
          <w:bCs w:val="0"/>
          <w:sz w:val="24"/>
        </w:rPr>
      </w:pPr>
      <w:r w:rsidRPr="00594B55">
        <w:rPr>
          <w:b w:val="0"/>
          <w:bCs w:val="0"/>
          <w:sz w:val="24"/>
        </w:rPr>
        <w:t>Executive Summary</w:t>
      </w:r>
      <w:r w:rsidRPr="00594B55">
        <w:rPr>
          <w:b w:val="0"/>
          <w:bCs w:val="0"/>
          <w:sz w:val="24"/>
        </w:rPr>
        <w:tab/>
      </w:r>
      <w:r w:rsidR="004B620C">
        <w:rPr>
          <w:b w:val="0"/>
          <w:bCs w:val="0"/>
          <w:sz w:val="24"/>
        </w:rPr>
        <w:t>4</w:t>
      </w:r>
    </w:p>
    <w:p w:rsidR="00D33056" w:rsidRPr="00594B55" w:rsidRDefault="00742877">
      <w:pPr>
        <w:tabs>
          <w:tab w:val="right" w:leader="dot" w:pos="7920"/>
        </w:tabs>
        <w:rPr>
          <w:rFonts w:ascii="Times New Roman" w:hAnsi="Times New Roman"/>
        </w:rPr>
      </w:pPr>
      <w:r w:rsidRPr="00594B55">
        <w:rPr>
          <w:rFonts w:ascii="Times New Roman" w:hAnsi="Times New Roman"/>
        </w:rPr>
        <w:t>Background</w:t>
      </w:r>
      <w:r w:rsidRPr="00594B55">
        <w:rPr>
          <w:rFonts w:ascii="Times New Roman" w:hAnsi="Times New Roman"/>
        </w:rPr>
        <w:tab/>
      </w:r>
      <w:r w:rsidR="00D73587">
        <w:rPr>
          <w:rFonts w:ascii="Times New Roman" w:hAnsi="Times New Roman"/>
        </w:rPr>
        <w:t>5</w:t>
      </w:r>
    </w:p>
    <w:p w:rsidR="00D33056" w:rsidRDefault="00D920EB">
      <w:pPr>
        <w:pStyle w:val="Header"/>
        <w:tabs>
          <w:tab w:val="clear" w:pos="4320"/>
          <w:tab w:val="clear" w:pos="8640"/>
          <w:tab w:val="right" w:leader="dot" w:pos="7920"/>
        </w:tabs>
        <w:rPr>
          <w:rFonts w:ascii="Times New Roman" w:hAnsi="Times New Roman"/>
        </w:rPr>
      </w:pPr>
      <w:r>
        <w:rPr>
          <w:rFonts w:ascii="Times New Roman" w:hAnsi="Times New Roman"/>
        </w:rPr>
        <w:t>Investigation</w:t>
      </w:r>
      <w:r w:rsidR="00742877" w:rsidRPr="00594B55">
        <w:rPr>
          <w:rFonts w:ascii="Times New Roman" w:hAnsi="Times New Roman"/>
        </w:rPr>
        <w:tab/>
      </w:r>
      <w:r w:rsidR="004B620C">
        <w:rPr>
          <w:rFonts w:ascii="Times New Roman" w:hAnsi="Times New Roman"/>
        </w:rPr>
        <w:t>9</w:t>
      </w:r>
    </w:p>
    <w:p w:rsidR="00D33056" w:rsidRPr="00594B55" w:rsidRDefault="00D33056">
      <w:pPr>
        <w:pStyle w:val="Heading1"/>
        <w:tabs>
          <w:tab w:val="right" w:leader="dot" w:pos="7920"/>
        </w:tabs>
        <w:rPr>
          <w:b w:val="0"/>
          <w:bCs w:val="0"/>
        </w:rPr>
      </w:pPr>
      <w:r w:rsidRPr="00594B55">
        <w:rPr>
          <w:b w:val="0"/>
          <w:bCs w:val="0"/>
        </w:rPr>
        <w:t>Estimates</w:t>
      </w:r>
    </w:p>
    <w:p w:rsidR="00F7383B" w:rsidRPr="00F7383B" w:rsidRDefault="0075323F" w:rsidP="00D11C40">
      <w:pPr>
        <w:pStyle w:val="TariffNormalText"/>
        <w:widowControl/>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Pr>
          <w:rFonts w:ascii="Times New Roman" w:hAnsi="Times New Roman"/>
        </w:rPr>
        <w:t>Est</w:t>
      </w:r>
      <w:r w:rsidR="00920FF8">
        <w:rPr>
          <w:rFonts w:ascii="Times New Roman" w:hAnsi="Times New Roman"/>
        </w:rPr>
        <w:t>imates</w:t>
      </w:r>
      <w:r w:rsidR="00D920EB" w:rsidRPr="00594B55">
        <w:rPr>
          <w:rFonts w:ascii="Times New Roman" w:hAnsi="Times New Roman"/>
        </w:rPr>
        <w:t xml:space="preserve"> – </w:t>
      </w:r>
      <w:r w:rsidR="00F7383B">
        <w:rPr>
          <w:rFonts w:ascii="Times New Roman" w:hAnsi="Times New Roman"/>
        </w:rPr>
        <w:t>Required</w:t>
      </w:r>
      <w:r w:rsidR="00F7383B" w:rsidRPr="00594B55">
        <w:rPr>
          <w:rFonts w:ascii="Times New Roman" w:hAnsi="Times New Roman"/>
        </w:rPr>
        <w:tab/>
      </w:r>
      <w:r w:rsidR="004B620C">
        <w:rPr>
          <w:rFonts w:ascii="Times New Roman" w:hAnsi="Times New Roman"/>
        </w:rPr>
        <w:t>10</w:t>
      </w:r>
    </w:p>
    <w:p w:rsidR="00D920EB" w:rsidRPr="00A32562" w:rsidRDefault="00F7383B" w:rsidP="00D11C40">
      <w:pPr>
        <w:pStyle w:val="TariffNormalText"/>
        <w:widowControl/>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Pr>
          <w:rFonts w:ascii="Times New Roman" w:hAnsi="Times New Roman"/>
        </w:rPr>
        <w:t xml:space="preserve">Estimates </w:t>
      </w:r>
      <w:r w:rsidRPr="00594B55">
        <w:rPr>
          <w:rFonts w:ascii="Times New Roman" w:hAnsi="Times New Roman"/>
        </w:rPr>
        <w:t xml:space="preserve">– </w:t>
      </w:r>
      <w:r w:rsidR="00A32562">
        <w:rPr>
          <w:rFonts w:ascii="Times New Roman" w:hAnsi="Times New Roman"/>
        </w:rPr>
        <w:t>Format</w:t>
      </w:r>
      <w:r w:rsidR="004B620C">
        <w:rPr>
          <w:rFonts w:ascii="Times New Roman" w:hAnsi="Times New Roman"/>
        </w:rPr>
        <w:t xml:space="preserve"> and Completion</w:t>
      </w:r>
      <w:r w:rsidR="00D920EB" w:rsidRPr="00594B55">
        <w:rPr>
          <w:rFonts w:ascii="Times New Roman" w:hAnsi="Times New Roman"/>
        </w:rPr>
        <w:tab/>
      </w:r>
      <w:r>
        <w:rPr>
          <w:rFonts w:ascii="Times New Roman" w:hAnsi="Times New Roman"/>
        </w:rPr>
        <w:t>1</w:t>
      </w:r>
      <w:r w:rsidR="004B620C">
        <w:rPr>
          <w:rFonts w:ascii="Times New Roman" w:hAnsi="Times New Roman"/>
        </w:rPr>
        <w:t>1</w:t>
      </w:r>
    </w:p>
    <w:p w:rsidR="00D33056" w:rsidRPr="00DA1C4D" w:rsidRDefault="00663CA6" w:rsidP="004B620C">
      <w:pPr>
        <w:pStyle w:val="Header"/>
        <w:tabs>
          <w:tab w:val="clear" w:pos="4320"/>
          <w:tab w:val="clear" w:pos="8640"/>
          <w:tab w:val="right" w:leader="dot" w:pos="7920"/>
        </w:tabs>
        <w:rPr>
          <w:rFonts w:ascii="Times New Roman" w:hAnsi="Times New Roman"/>
        </w:rPr>
      </w:pPr>
      <w:r w:rsidRPr="00DA1C4D">
        <w:rPr>
          <w:rFonts w:ascii="Times New Roman" w:hAnsi="Times New Roman"/>
        </w:rPr>
        <w:t>Bill</w:t>
      </w:r>
      <w:r w:rsidR="0075323F" w:rsidRPr="00DA1C4D">
        <w:rPr>
          <w:rFonts w:ascii="Times New Roman" w:hAnsi="Times New Roman"/>
        </w:rPr>
        <w:t>s</w:t>
      </w:r>
      <w:r w:rsidRPr="00DA1C4D">
        <w:rPr>
          <w:rFonts w:ascii="Times New Roman" w:hAnsi="Times New Roman"/>
        </w:rPr>
        <w:t xml:space="preserve"> of Lading </w:t>
      </w:r>
      <w:r w:rsidR="00547F30" w:rsidRPr="00DA1C4D">
        <w:rPr>
          <w:rFonts w:ascii="Times New Roman" w:hAnsi="Times New Roman"/>
        </w:rPr>
        <w:t xml:space="preserve">– </w:t>
      </w:r>
      <w:r w:rsidR="00E12537" w:rsidRPr="00DA1C4D">
        <w:rPr>
          <w:rFonts w:ascii="Times New Roman" w:hAnsi="Times New Roman"/>
        </w:rPr>
        <w:t>Format</w:t>
      </w:r>
      <w:r w:rsidR="004B620C">
        <w:rPr>
          <w:rFonts w:ascii="Times New Roman" w:hAnsi="Times New Roman"/>
        </w:rPr>
        <w:t xml:space="preserve"> and Completion</w:t>
      </w:r>
      <w:r w:rsidR="00742877" w:rsidRPr="00DA1C4D">
        <w:rPr>
          <w:rFonts w:ascii="Times New Roman" w:hAnsi="Times New Roman"/>
        </w:rPr>
        <w:tab/>
      </w:r>
      <w:r w:rsidR="00D73587" w:rsidRPr="00DA1C4D">
        <w:rPr>
          <w:rFonts w:ascii="Times New Roman" w:hAnsi="Times New Roman"/>
        </w:rPr>
        <w:t>1</w:t>
      </w:r>
      <w:r w:rsidR="004B620C">
        <w:rPr>
          <w:rFonts w:ascii="Times New Roman" w:hAnsi="Times New Roman"/>
        </w:rPr>
        <w:t>3</w:t>
      </w:r>
    </w:p>
    <w:p w:rsidR="00D33056" w:rsidRDefault="00920FF8" w:rsidP="00605877">
      <w:pPr>
        <w:pStyle w:val="Heading1"/>
        <w:tabs>
          <w:tab w:val="right" w:leader="dot" w:pos="7920"/>
        </w:tabs>
        <w:rPr>
          <w:b w:val="0"/>
        </w:rPr>
      </w:pPr>
      <w:proofErr w:type="spellStart"/>
      <w:r w:rsidRPr="00DA1C4D">
        <w:rPr>
          <w:b w:val="0"/>
          <w:bCs w:val="0"/>
          <w:lang w:val="fr-FR"/>
        </w:rPr>
        <w:t>Tariff</w:t>
      </w:r>
      <w:proofErr w:type="spellEnd"/>
      <w:r w:rsidRPr="00DA1C4D">
        <w:rPr>
          <w:b w:val="0"/>
          <w:bCs w:val="0"/>
          <w:lang w:val="fr-FR"/>
        </w:rPr>
        <w:t xml:space="preserve"> </w:t>
      </w:r>
      <w:r w:rsidR="00D33056" w:rsidRPr="00DA1C4D">
        <w:rPr>
          <w:b w:val="0"/>
          <w:bCs w:val="0"/>
          <w:lang w:val="fr-FR"/>
        </w:rPr>
        <w:t>Rates and Charges</w:t>
      </w:r>
      <w:r w:rsidR="00742877" w:rsidRPr="00DA1C4D">
        <w:rPr>
          <w:b w:val="0"/>
        </w:rPr>
        <w:tab/>
      </w:r>
      <w:r w:rsidR="00D73587" w:rsidRPr="00DA1C4D">
        <w:rPr>
          <w:b w:val="0"/>
        </w:rPr>
        <w:t>1</w:t>
      </w:r>
      <w:r w:rsidR="004B620C">
        <w:rPr>
          <w:b w:val="0"/>
        </w:rPr>
        <w:t>5</w:t>
      </w:r>
    </w:p>
    <w:p w:rsidR="001302A0" w:rsidRPr="00F7383B" w:rsidRDefault="001302A0" w:rsidP="00D11C40">
      <w:pPr>
        <w:pStyle w:val="TariffNormalText"/>
        <w:widowControl/>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Pr>
          <w:rFonts w:ascii="Times New Roman" w:hAnsi="Times New Roman"/>
        </w:rPr>
        <w:t>Hourly Rates</w:t>
      </w:r>
      <w:r w:rsidRPr="00594B55">
        <w:rPr>
          <w:rFonts w:ascii="Times New Roman" w:hAnsi="Times New Roman"/>
        </w:rPr>
        <w:tab/>
      </w:r>
      <w:r w:rsidR="004B620C">
        <w:rPr>
          <w:rFonts w:ascii="Times New Roman" w:hAnsi="Times New Roman"/>
        </w:rPr>
        <w:t>15</w:t>
      </w:r>
    </w:p>
    <w:p w:rsidR="001302A0" w:rsidRPr="00A32562" w:rsidRDefault="001302A0" w:rsidP="00D11C40">
      <w:pPr>
        <w:pStyle w:val="TariffNormalText"/>
        <w:widowControl/>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Pr>
          <w:rFonts w:ascii="Times New Roman" w:hAnsi="Times New Roman"/>
        </w:rPr>
        <w:t>Containers</w:t>
      </w:r>
      <w:r w:rsidRPr="00594B55">
        <w:rPr>
          <w:rFonts w:ascii="Times New Roman" w:hAnsi="Times New Roman"/>
        </w:rPr>
        <w:tab/>
      </w:r>
      <w:r>
        <w:rPr>
          <w:rFonts w:ascii="Times New Roman" w:hAnsi="Times New Roman"/>
        </w:rPr>
        <w:t>1</w:t>
      </w:r>
      <w:r w:rsidR="004B620C">
        <w:rPr>
          <w:rFonts w:ascii="Times New Roman" w:hAnsi="Times New Roman"/>
        </w:rPr>
        <w:t>5</w:t>
      </w:r>
    </w:p>
    <w:p w:rsidR="001302A0" w:rsidRPr="001302A0" w:rsidRDefault="001302A0" w:rsidP="00D11C40">
      <w:pPr>
        <w:pStyle w:val="TariffNormalText"/>
        <w:widowControl/>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Pr>
          <w:rFonts w:ascii="Times New Roman" w:hAnsi="Times New Roman"/>
        </w:rPr>
        <w:t>Miscellaneous Services</w:t>
      </w:r>
      <w:r w:rsidRPr="00594B55">
        <w:rPr>
          <w:rFonts w:ascii="Times New Roman" w:hAnsi="Times New Roman"/>
        </w:rPr>
        <w:tab/>
      </w:r>
      <w:r w:rsidR="004B620C">
        <w:rPr>
          <w:rFonts w:ascii="Times New Roman" w:hAnsi="Times New Roman"/>
        </w:rPr>
        <w:t>17</w:t>
      </w:r>
    </w:p>
    <w:p w:rsidR="00D33056" w:rsidRPr="00DA1C4D" w:rsidRDefault="00742877" w:rsidP="00663CA6">
      <w:pPr>
        <w:tabs>
          <w:tab w:val="right" w:leader="dot" w:pos="7920"/>
        </w:tabs>
        <w:rPr>
          <w:rFonts w:ascii="Times New Roman" w:hAnsi="Times New Roman"/>
          <w:lang w:val="fr-FR"/>
        </w:rPr>
      </w:pPr>
      <w:r w:rsidRPr="00DA1C4D">
        <w:rPr>
          <w:rFonts w:ascii="Times New Roman" w:hAnsi="Times New Roman"/>
        </w:rPr>
        <w:t>Summary</w:t>
      </w:r>
      <w:r w:rsidRPr="00DA1C4D">
        <w:rPr>
          <w:rFonts w:ascii="Times New Roman" w:hAnsi="Times New Roman"/>
          <w:lang w:val="fr-FR"/>
        </w:rPr>
        <w:t xml:space="preserve"> of </w:t>
      </w:r>
      <w:r w:rsidRPr="00DA1C4D">
        <w:rPr>
          <w:rFonts w:ascii="Times New Roman" w:hAnsi="Times New Roman"/>
        </w:rPr>
        <w:t>Recommendations</w:t>
      </w:r>
      <w:r w:rsidRPr="00DA1C4D">
        <w:rPr>
          <w:rFonts w:ascii="Times New Roman" w:hAnsi="Times New Roman"/>
          <w:lang w:val="fr-FR"/>
        </w:rPr>
        <w:tab/>
      </w:r>
      <w:r w:rsidR="004B620C">
        <w:rPr>
          <w:rFonts w:ascii="Times New Roman" w:hAnsi="Times New Roman"/>
          <w:lang w:val="fr-FR"/>
        </w:rPr>
        <w:t>18</w:t>
      </w:r>
    </w:p>
    <w:p w:rsidR="00982F06" w:rsidRPr="00DA1C4D" w:rsidRDefault="00D33056" w:rsidP="00982F06">
      <w:pPr>
        <w:tabs>
          <w:tab w:val="right" w:leader="dot" w:pos="7920"/>
        </w:tabs>
        <w:rPr>
          <w:rFonts w:ascii="Times New Roman" w:hAnsi="Times New Roman"/>
          <w:lang w:val="fr-FR"/>
        </w:rPr>
      </w:pPr>
      <w:r w:rsidRPr="00982F06">
        <w:rPr>
          <w:rFonts w:ascii="Times New Roman" w:hAnsi="Times New Roman"/>
          <w:bCs/>
        </w:rPr>
        <w:t>Appendices</w:t>
      </w:r>
    </w:p>
    <w:p w:rsidR="00D33056" w:rsidRPr="00663CA6" w:rsidRDefault="00982F06" w:rsidP="00663CA6">
      <w:pPr>
        <w:pStyle w:val="Heading1"/>
        <w:rPr>
          <w:rFonts w:ascii="Palatino Linotype" w:hAnsi="Palatino Linotype"/>
          <w:b w:val="0"/>
          <w:bCs w:val="0"/>
        </w:rPr>
      </w:pPr>
      <w:r w:rsidRPr="00DA1C4D">
        <w:rPr>
          <w:lang w:val="fr-FR"/>
        </w:rPr>
        <w:tab/>
      </w:r>
      <w:r w:rsidR="00D33056">
        <w:rPr>
          <w:b w:val="0"/>
          <w:bCs w:val="0"/>
        </w:rPr>
        <w:br w:type="page"/>
      </w:r>
    </w:p>
    <w:p w:rsidR="00D33056" w:rsidRPr="00890E1B" w:rsidRDefault="00D33056">
      <w:pPr>
        <w:pStyle w:val="Heading4"/>
        <w:widowControl/>
        <w:autoSpaceDE/>
        <w:autoSpaceDN/>
        <w:adjustRightInd/>
        <w:rPr>
          <w:szCs w:val="28"/>
        </w:rPr>
      </w:pPr>
      <w:r w:rsidRPr="00890E1B">
        <w:rPr>
          <w:szCs w:val="28"/>
        </w:rPr>
        <w:lastRenderedPageBreak/>
        <w:t xml:space="preserve">PURPOSE, SCOPE </w:t>
      </w:r>
      <w:r w:rsidR="00753E86">
        <w:rPr>
          <w:szCs w:val="28"/>
        </w:rPr>
        <w:t>AND</w:t>
      </w:r>
      <w:r w:rsidR="00753E86" w:rsidRPr="00890E1B">
        <w:rPr>
          <w:szCs w:val="28"/>
        </w:rPr>
        <w:t xml:space="preserve"> </w:t>
      </w:r>
      <w:r w:rsidRPr="00890E1B">
        <w:rPr>
          <w:szCs w:val="28"/>
        </w:rPr>
        <w:t>AUTHORITY</w:t>
      </w:r>
    </w:p>
    <w:p w:rsidR="00D33056" w:rsidRPr="00890E1B" w:rsidRDefault="00D33056">
      <w:pPr>
        <w:rPr>
          <w:rFonts w:ascii="Times New Roman" w:hAnsi="Times New Roman"/>
          <w:b/>
          <w:bCs/>
        </w:rPr>
      </w:pPr>
    </w:p>
    <w:p w:rsidR="00D33056" w:rsidRPr="00890E1B" w:rsidRDefault="00D33056">
      <w:pPr>
        <w:rPr>
          <w:rFonts w:ascii="Times New Roman" w:hAnsi="Times New Roman"/>
        </w:rPr>
      </w:pPr>
      <w:r w:rsidRPr="00890E1B">
        <w:rPr>
          <w:rFonts w:ascii="Times New Roman" w:hAnsi="Times New Roman"/>
          <w:b/>
          <w:bCs/>
        </w:rPr>
        <w:t>Purpose</w:t>
      </w:r>
    </w:p>
    <w:p w:rsidR="00D33056" w:rsidRPr="00890E1B" w:rsidRDefault="004428C4">
      <w:pPr>
        <w:rPr>
          <w:rFonts w:ascii="Times New Roman" w:hAnsi="Times New Roman"/>
        </w:rPr>
      </w:pPr>
      <w:r>
        <w:rPr>
          <w:rFonts w:ascii="Times New Roman" w:hAnsi="Times New Roman"/>
        </w:rPr>
        <w:t>Lincoln Moving &amp; Storage Company, Inc. (Lincoln Moving)</w:t>
      </w:r>
      <w:r w:rsidR="00D33056" w:rsidRPr="00890E1B">
        <w:rPr>
          <w:rFonts w:ascii="Times New Roman" w:hAnsi="Times New Roman"/>
        </w:rPr>
        <w:t xml:space="preserve"> holds common carrier authority</w:t>
      </w:r>
      <w:r w:rsidR="000C45F1">
        <w:rPr>
          <w:rFonts w:ascii="Times New Roman" w:hAnsi="Times New Roman"/>
        </w:rPr>
        <w:t xml:space="preserve"> within the state of Washington</w:t>
      </w:r>
      <w:r w:rsidR="00D33056" w:rsidRPr="00890E1B">
        <w:rPr>
          <w:rFonts w:ascii="Times New Roman" w:hAnsi="Times New Roman"/>
        </w:rPr>
        <w:t xml:space="preserve">, including </w:t>
      </w:r>
      <w:r w:rsidR="00E7270B" w:rsidRPr="00890E1B">
        <w:rPr>
          <w:rFonts w:ascii="Times New Roman" w:hAnsi="Times New Roman"/>
        </w:rPr>
        <w:t xml:space="preserve">the </w:t>
      </w:r>
      <w:r w:rsidR="00D33056" w:rsidRPr="00890E1B">
        <w:rPr>
          <w:rFonts w:ascii="Times New Roman" w:hAnsi="Times New Roman"/>
        </w:rPr>
        <w:t>transportation of house</w:t>
      </w:r>
      <w:r w:rsidR="000C45F1">
        <w:rPr>
          <w:rFonts w:ascii="Times New Roman" w:hAnsi="Times New Roman"/>
        </w:rPr>
        <w:t>hold goods</w:t>
      </w:r>
      <w:r w:rsidR="00E7270B" w:rsidRPr="00890E1B">
        <w:rPr>
          <w:rFonts w:ascii="Times New Roman" w:hAnsi="Times New Roman"/>
        </w:rPr>
        <w:t xml:space="preserve">. </w:t>
      </w:r>
      <w:r w:rsidR="0097496B" w:rsidRPr="00890E1B">
        <w:rPr>
          <w:rFonts w:ascii="Times New Roman" w:hAnsi="Times New Roman"/>
        </w:rPr>
        <w:t xml:space="preserve">The purpose of this </w:t>
      </w:r>
      <w:r w:rsidR="0075323F">
        <w:rPr>
          <w:rFonts w:ascii="Times New Roman" w:hAnsi="Times New Roman"/>
        </w:rPr>
        <w:t>investigation</w:t>
      </w:r>
      <w:r w:rsidR="007A4C3F" w:rsidRPr="00890E1B">
        <w:rPr>
          <w:rFonts w:ascii="Times New Roman" w:hAnsi="Times New Roman"/>
        </w:rPr>
        <w:t xml:space="preserve"> </w:t>
      </w:r>
      <w:r w:rsidR="00D33056" w:rsidRPr="00890E1B">
        <w:rPr>
          <w:rFonts w:ascii="Times New Roman" w:hAnsi="Times New Roman"/>
        </w:rPr>
        <w:t>is to determine the compan</w:t>
      </w:r>
      <w:r w:rsidR="00821EED">
        <w:rPr>
          <w:rFonts w:ascii="Times New Roman" w:hAnsi="Times New Roman"/>
        </w:rPr>
        <w:t>y’s compliance with Washington s</w:t>
      </w:r>
      <w:r w:rsidR="00D33056" w:rsidRPr="00890E1B">
        <w:rPr>
          <w:rFonts w:ascii="Times New Roman" w:hAnsi="Times New Roman"/>
        </w:rPr>
        <w:t xml:space="preserve">tate </w:t>
      </w:r>
      <w:r w:rsidR="00821EED">
        <w:rPr>
          <w:rFonts w:ascii="Times New Roman" w:hAnsi="Times New Roman"/>
        </w:rPr>
        <w:t>law</w:t>
      </w:r>
      <w:r w:rsidR="006E46D0">
        <w:rPr>
          <w:rFonts w:ascii="Times New Roman" w:hAnsi="Times New Roman"/>
        </w:rPr>
        <w:t>s</w:t>
      </w:r>
      <w:r w:rsidR="00D33056" w:rsidRPr="00890E1B">
        <w:rPr>
          <w:rFonts w:ascii="Times New Roman" w:hAnsi="Times New Roman"/>
        </w:rPr>
        <w:t xml:space="preserve"> and Washington Utilities </w:t>
      </w:r>
      <w:r w:rsidR="000B75AB" w:rsidRPr="00890E1B">
        <w:rPr>
          <w:rFonts w:ascii="Times New Roman" w:hAnsi="Times New Roman"/>
        </w:rPr>
        <w:t>and Transportation Commission (</w:t>
      </w:r>
      <w:r w:rsidR="00663CA6" w:rsidRPr="00890E1B">
        <w:rPr>
          <w:rFonts w:ascii="Times New Roman" w:hAnsi="Times New Roman"/>
        </w:rPr>
        <w:t>c</w:t>
      </w:r>
      <w:r w:rsidR="00D33056" w:rsidRPr="00890E1B">
        <w:rPr>
          <w:rFonts w:ascii="Times New Roman" w:hAnsi="Times New Roman"/>
        </w:rPr>
        <w:t xml:space="preserve">ommission) rules.  </w:t>
      </w:r>
    </w:p>
    <w:p w:rsidR="00D33056" w:rsidRPr="00890E1B" w:rsidRDefault="00D33056">
      <w:pPr>
        <w:rPr>
          <w:rFonts w:ascii="Times New Roman" w:hAnsi="Times New Roman"/>
        </w:rPr>
      </w:pPr>
    </w:p>
    <w:p w:rsidR="00D33056" w:rsidRPr="00890E1B" w:rsidRDefault="00D33056">
      <w:pPr>
        <w:rPr>
          <w:rFonts w:ascii="Times New Roman" w:hAnsi="Times New Roman"/>
          <w:b/>
          <w:bCs/>
        </w:rPr>
      </w:pPr>
      <w:r w:rsidRPr="00890E1B">
        <w:rPr>
          <w:rFonts w:ascii="Times New Roman" w:hAnsi="Times New Roman"/>
          <w:b/>
          <w:bCs/>
        </w:rPr>
        <w:t>Scope</w:t>
      </w:r>
    </w:p>
    <w:p w:rsidR="00D33056" w:rsidRPr="00890E1B" w:rsidRDefault="00D33056">
      <w:pPr>
        <w:rPr>
          <w:rFonts w:ascii="Times New Roman" w:hAnsi="Times New Roman"/>
        </w:rPr>
      </w:pPr>
      <w:r w:rsidRPr="00890E1B">
        <w:rPr>
          <w:rFonts w:ascii="Times New Roman" w:hAnsi="Times New Roman"/>
        </w:rPr>
        <w:t xml:space="preserve">The scope of the </w:t>
      </w:r>
      <w:r w:rsidR="0075323F">
        <w:rPr>
          <w:rFonts w:ascii="Times New Roman" w:hAnsi="Times New Roman"/>
        </w:rPr>
        <w:t>investigation</w:t>
      </w:r>
      <w:r w:rsidRPr="00890E1B">
        <w:rPr>
          <w:rFonts w:ascii="Times New Roman" w:hAnsi="Times New Roman"/>
        </w:rPr>
        <w:t xml:space="preserve"> focuses on </w:t>
      </w:r>
      <w:r w:rsidR="00821EED">
        <w:rPr>
          <w:rFonts w:ascii="Times New Roman" w:hAnsi="Times New Roman"/>
        </w:rPr>
        <w:t xml:space="preserve">the </w:t>
      </w:r>
      <w:r w:rsidR="00056E8C">
        <w:rPr>
          <w:rFonts w:ascii="Times New Roman" w:hAnsi="Times New Roman"/>
        </w:rPr>
        <w:t xml:space="preserve">intrastate </w:t>
      </w:r>
      <w:r w:rsidRPr="00890E1B">
        <w:rPr>
          <w:rFonts w:ascii="Times New Roman" w:hAnsi="Times New Roman"/>
        </w:rPr>
        <w:t>transportation of household goods in Washington b</w:t>
      </w:r>
      <w:r w:rsidR="00822825" w:rsidRPr="00890E1B">
        <w:rPr>
          <w:rFonts w:ascii="Times New Roman" w:hAnsi="Times New Roman"/>
        </w:rPr>
        <w:t xml:space="preserve">y </w:t>
      </w:r>
      <w:r w:rsidR="002979ED">
        <w:rPr>
          <w:rFonts w:ascii="Times New Roman" w:hAnsi="Times New Roman"/>
        </w:rPr>
        <w:t>Lincoln</w:t>
      </w:r>
      <w:r w:rsidR="00D32EB7">
        <w:rPr>
          <w:rFonts w:ascii="Times New Roman" w:hAnsi="Times New Roman"/>
        </w:rPr>
        <w:t xml:space="preserve"> Moving</w:t>
      </w:r>
      <w:r w:rsidR="00A85EA1">
        <w:rPr>
          <w:rFonts w:ascii="Times New Roman" w:hAnsi="Times New Roman"/>
        </w:rPr>
        <w:t xml:space="preserve"> for the months of </w:t>
      </w:r>
      <w:r w:rsidR="004428C4">
        <w:rPr>
          <w:rFonts w:ascii="Times New Roman" w:hAnsi="Times New Roman"/>
        </w:rPr>
        <w:t>January through May 2011</w:t>
      </w:r>
      <w:r w:rsidR="00821EED">
        <w:rPr>
          <w:rFonts w:ascii="Times New Roman" w:hAnsi="Times New Roman"/>
        </w:rPr>
        <w:t>,</w:t>
      </w:r>
      <w:r w:rsidRPr="00890E1B">
        <w:rPr>
          <w:rFonts w:ascii="Times New Roman" w:hAnsi="Times New Roman"/>
        </w:rPr>
        <w:t xml:space="preserve"> and the company’s compliance with</w:t>
      </w:r>
      <w:r w:rsidR="00E7270B" w:rsidRPr="00890E1B">
        <w:rPr>
          <w:rFonts w:ascii="Times New Roman" w:hAnsi="Times New Roman"/>
        </w:rPr>
        <w:t xml:space="preserve"> </w:t>
      </w:r>
      <w:r w:rsidR="00821EED">
        <w:rPr>
          <w:rFonts w:ascii="Times New Roman" w:hAnsi="Times New Roman"/>
        </w:rPr>
        <w:t>state law</w:t>
      </w:r>
      <w:r w:rsidR="00985F4D">
        <w:rPr>
          <w:rFonts w:ascii="Times New Roman" w:hAnsi="Times New Roman"/>
        </w:rPr>
        <w:t>s</w:t>
      </w:r>
      <w:r w:rsidR="00E7270B" w:rsidRPr="00890E1B">
        <w:rPr>
          <w:rFonts w:ascii="Times New Roman" w:hAnsi="Times New Roman"/>
        </w:rPr>
        <w:t xml:space="preserve"> and c</w:t>
      </w:r>
      <w:r w:rsidR="0075323F">
        <w:rPr>
          <w:rFonts w:ascii="Times New Roman" w:hAnsi="Times New Roman"/>
        </w:rPr>
        <w:t xml:space="preserve">ommission </w:t>
      </w:r>
      <w:r w:rsidRPr="00890E1B">
        <w:rPr>
          <w:rFonts w:ascii="Times New Roman" w:hAnsi="Times New Roman"/>
        </w:rPr>
        <w:t>rules</w:t>
      </w:r>
      <w:r w:rsidR="006E46D0">
        <w:rPr>
          <w:rFonts w:ascii="Times New Roman" w:hAnsi="Times New Roman"/>
        </w:rPr>
        <w:t xml:space="preserve"> during that </w:t>
      </w:r>
      <w:r w:rsidR="00ED237E">
        <w:rPr>
          <w:rFonts w:ascii="Times New Roman" w:hAnsi="Times New Roman"/>
        </w:rPr>
        <w:t>period</w:t>
      </w:r>
      <w:r w:rsidRPr="00890E1B">
        <w:rPr>
          <w:rFonts w:ascii="Times New Roman" w:hAnsi="Times New Roman"/>
        </w:rPr>
        <w:t>.</w:t>
      </w:r>
    </w:p>
    <w:p w:rsidR="00D33056" w:rsidRPr="00890E1B" w:rsidRDefault="00D33056">
      <w:pPr>
        <w:rPr>
          <w:rFonts w:ascii="Times New Roman" w:hAnsi="Times New Roman"/>
        </w:rPr>
      </w:pPr>
    </w:p>
    <w:p w:rsidR="00D33056" w:rsidRPr="00890E1B" w:rsidRDefault="00D33056">
      <w:pPr>
        <w:rPr>
          <w:rFonts w:ascii="Times New Roman" w:hAnsi="Times New Roman"/>
        </w:rPr>
      </w:pPr>
      <w:r w:rsidRPr="00890E1B">
        <w:rPr>
          <w:rFonts w:ascii="Times New Roman" w:hAnsi="Times New Roman"/>
          <w:b/>
          <w:bCs/>
        </w:rPr>
        <w:t>Authority</w:t>
      </w:r>
    </w:p>
    <w:p w:rsidR="00D33056" w:rsidRPr="00890E1B" w:rsidRDefault="00D33056">
      <w:pPr>
        <w:rPr>
          <w:rFonts w:ascii="Times New Roman" w:hAnsi="Times New Roman"/>
        </w:rPr>
      </w:pPr>
      <w:r w:rsidRPr="00890E1B">
        <w:rPr>
          <w:rFonts w:ascii="Times New Roman" w:hAnsi="Times New Roman"/>
        </w:rPr>
        <w:t xml:space="preserve">Staff conducts this investigation </w:t>
      </w:r>
      <w:r w:rsidR="006E46D0">
        <w:rPr>
          <w:rFonts w:ascii="Times New Roman" w:hAnsi="Times New Roman"/>
        </w:rPr>
        <w:t>pursuant to</w:t>
      </w:r>
      <w:r w:rsidRPr="00890E1B">
        <w:rPr>
          <w:rFonts w:ascii="Times New Roman" w:hAnsi="Times New Roman"/>
        </w:rPr>
        <w:t xml:space="preserve"> Revised Code of Washington (RCW) 81.04.070, R</w:t>
      </w:r>
      <w:r w:rsidR="006E46D0">
        <w:rPr>
          <w:rFonts w:ascii="Times New Roman" w:hAnsi="Times New Roman"/>
        </w:rPr>
        <w:t>CW 81.80.130, and RCW 81.80.330.</w:t>
      </w:r>
      <w:r w:rsidRPr="00890E1B">
        <w:rPr>
          <w:rFonts w:ascii="Times New Roman" w:hAnsi="Times New Roman"/>
        </w:rPr>
        <w:t xml:space="preserve"> Washington Administrative Code (WAC) 480-15-010</w:t>
      </w:r>
      <w:r w:rsidR="00985F4D">
        <w:rPr>
          <w:rFonts w:ascii="Times New Roman" w:hAnsi="Times New Roman"/>
        </w:rPr>
        <w:t xml:space="preserve"> gives</w:t>
      </w:r>
      <w:r w:rsidR="006E46D0">
        <w:rPr>
          <w:rFonts w:ascii="Times New Roman" w:hAnsi="Times New Roman"/>
        </w:rPr>
        <w:t xml:space="preserve"> the c</w:t>
      </w:r>
      <w:r w:rsidR="002529C9">
        <w:rPr>
          <w:rFonts w:ascii="Times New Roman" w:hAnsi="Times New Roman"/>
        </w:rPr>
        <w:t xml:space="preserve">ommission </w:t>
      </w:r>
      <w:r w:rsidR="00985F4D">
        <w:rPr>
          <w:rFonts w:ascii="Times New Roman" w:hAnsi="Times New Roman"/>
        </w:rPr>
        <w:t>authority to regulate</w:t>
      </w:r>
      <w:r w:rsidRPr="00890E1B">
        <w:rPr>
          <w:rFonts w:ascii="Times New Roman" w:hAnsi="Times New Roman"/>
        </w:rPr>
        <w:t xml:space="preserve"> companies that transport household goods within the state of Washington.  </w:t>
      </w:r>
    </w:p>
    <w:p w:rsidR="00D33056" w:rsidRPr="00890E1B" w:rsidRDefault="00D33056">
      <w:pPr>
        <w:rPr>
          <w:rFonts w:ascii="Times New Roman" w:hAnsi="Times New Roman"/>
        </w:rPr>
      </w:pPr>
    </w:p>
    <w:p w:rsidR="00D33056" w:rsidRPr="00890E1B" w:rsidRDefault="00D33056">
      <w:pPr>
        <w:rPr>
          <w:rFonts w:ascii="Times New Roman" w:hAnsi="Times New Roman"/>
          <w:b/>
          <w:bCs/>
        </w:rPr>
      </w:pPr>
      <w:r w:rsidRPr="00890E1B">
        <w:rPr>
          <w:rFonts w:ascii="Times New Roman" w:hAnsi="Times New Roman"/>
          <w:b/>
          <w:bCs/>
        </w:rPr>
        <w:t>Staff</w:t>
      </w:r>
    </w:p>
    <w:p w:rsidR="00D33056" w:rsidRDefault="0075323F">
      <w:pPr>
        <w:rPr>
          <w:rFonts w:ascii="Times New Roman" w:hAnsi="Times New Roman"/>
        </w:rPr>
      </w:pPr>
      <w:r>
        <w:rPr>
          <w:rFonts w:ascii="Times New Roman" w:hAnsi="Times New Roman"/>
        </w:rPr>
        <w:t>Rayne Pearson</w:t>
      </w:r>
      <w:r w:rsidR="00D33056" w:rsidRPr="00890E1B">
        <w:rPr>
          <w:rFonts w:ascii="Times New Roman" w:hAnsi="Times New Roman"/>
        </w:rPr>
        <w:t xml:space="preserve">, Compliance </w:t>
      </w:r>
      <w:r>
        <w:rPr>
          <w:rFonts w:ascii="Times New Roman" w:hAnsi="Times New Roman"/>
        </w:rPr>
        <w:t>Investigator</w:t>
      </w:r>
    </w:p>
    <w:p w:rsidR="00AB301F" w:rsidRDefault="00AB301F">
      <w:pPr>
        <w:rPr>
          <w:rFonts w:ascii="Times New Roman" w:hAnsi="Times New Roman"/>
        </w:rPr>
      </w:pPr>
      <w:r>
        <w:rPr>
          <w:rFonts w:ascii="Times New Roman" w:hAnsi="Times New Roman"/>
        </w:rPr>
        <w:t>(360) 664-1111</w:t>
      </w:r>
    </w:p>
    <w:p w:rsidR="00AB301F" w:rsidRDefault="00AB301F">
      <w:pPr>
        <w:rPr>
          <w:rFonts w:ascii="Times New Roman" w:hAnsi="Times New Roman"/>
        </w:rPr>
      </w:pPr>
      <w:r>
        <w:rPr>
          <w:rFonts w:ascii="Times New Roman" w:hAnsi="Times New Roman"/>
        </w:rPr>
        <w:t>rpearson@utc.wa.gov</w:t>
      </w:r>
    </w:p>
    <w:p w:rsidR="00AB301F" w:rsidRPr="00890E1B" w:rsidRDefault="00AB301F">
      <w:pPr>
        <w:rPr>
          <w:rFonts w:ascii="Times New Roman" w:hAnsi="Times New Roman"/>
        </w:rPr>
      </w:pPr>
    </w:p>
    <w:p w:rsidR="00D33056" w:rsidRDefault="00D33056">
      <w:pPr>
        <w:pStyle w:val="Header"/>
        <w:tabs>
          <w:tab w:val="clear" w:pos="4320"/>
          <w:tab w:val="clear" w:pos="8640"/>
        </w:tabs>
      </w:pPr>
      <w:r>
        <w:br w:type="page"/>
      </w:r>
    </w:p>
    <w:p w:rsidR="00D33056" w:rsidRPr="00890E1B" w:rsidRDefault="00D33056">
      <w:pPr>
        <w:pStyle w:val="Heading6"/>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pPr>
      <w:r w:rsidRPr="00890E1B">
        <w:lastRenderedPageBreak/>
        <w:t>EXECUTIVE SUMMARY</w:t>
      </w:r>
    </w:p>
    <w:p w:rsidR="00D33056" w:rsidRDefault="00D33056">
      <w:pPr>
        <w:ind w:left="720" w:firstLine="480"/>
        <w:jc w:val="both"/>
        <w:rPr>
          <w:b/>
          <w:bCs/>
        </w:rPr>
      </w:pPr>
    </w:p>
    <w:p w:rsidR="00A31277" w:rsidRPr="00890E1B" w:rsidRDefault="00A31277" w:rsidP="00A31277">
      <w:pPr>
        <w:rPr>
          <w:rFonts w:ascii="Times New Roman" w:hAnsi="Times New Roman"/>
        </w:rPr>
      </w:pPr>
      <w:r>
        <w:rPr>
          <w:rFonts w:ascii="Times New Roman" w:hAnsi="Times New Roman"/>
        </w:rPr>
        <w:t xml:space="preserve">In Consumer Complaint 111001, filed with the commission in March 2011, </w:t>
      </w:r>
      <w:r w:rsidRPr="00890E1B">
        <w:rPr>
          <w:rFonts w:ascii="Times New Roman" w:hAnsi="Times New Roman"/>
        </w:rPr>
        <w:t xml:space="preserve">staff found that </w:t>
      </w:r>
      <w:r>
        <w:rPr>
          <w:rFonts w:ascii="Times New Roman" w:hAnsi="Times New Roman"/>
        </w:rPr>
        <w:t>Lincoln Movers</w:t>
      </w:r>
      <w:r w:rsidRPr="00890E1B">
        <w:rPr>
          <w:rFonts w:ascii="Times New Roman" w:hAnsi="Times New Roman"/>
        </w:rPr>
        <w:t xml:space="preserve"> </w:t>
      </w:r>
      <w:r>
        <w:rPr>
          <w:rFonts w:ascii="Times New Roman" w:hAnsi="Times New Roman"/>
        </w:rPr>
        <w:t xml:space="preserve">was in violation of numerous </w:t>
      </w:r>
      <w:r w:rsidRPr="00890E1B">
        <w:rPr>
          <w:rFonts w:ascii="Times New Roman" w:hAnsi="Times New Roman"/>
        </w:rPr>
        <w:t xml:space="preserve">household goods rules and tariff items. </w:t>
      </w:r>
      <w:proofErr w:type="gramStart"/>
      <w:r>
        <w:rPr>
          <w:rFonts w:ascii="Times New Roman" w:hAnsi="Times New Roman"/>
        </w:rPr>
        <w:t>As a result</w:t>
      </w:r>
      <w:proofErr w:type="gramEnd"/>
      <w:r>
        <w:rPr>
          <w:rFonts w:ascii="Times New Roman" w:hAnsi="Times New Roman"/>
        </w:rPr>
        <w:t xml:space="preserve"> of that complaint, Compliance Investigations staff determined that a broader investigation was necessary to determine if Lincoln Movers consistently complies with</w:t>
      </w:r>
      <w:r w:rsidRPr="00890E1B">
        <w:rPr>
          <w:rFonts w:ascii="Times New Roman" w:hAnsi="Times New Roman"/>
        </w:rPr>
        <w:t xml:space="preserve"> state </w:t>
      </w:r>
      <w:r w:rsidR="002979ED">
        <w:rPr>
          <w:rFonts w:ascii="Times New Roman" w:hAnsi="Times New Roman"/>
        </w:rPr>
        <w:t>laws</w:t>
      </w:r>
      <w:r w:rsidRPr="00890E1B">
        <w:rPr>
          <w:rFonts w:ascii="Times New Roman" w:hAnsi="Times New Roman"/>
        </w:rPr>
        <w:t xml:space="preserve"> and commission rules.   </w:t>
      </w:r>
    </w:p>
    <w:p w:rsidR="00A31277" w:rsidRDefault="00A31277" w:rsidP="00890E1B">
      <w:pPr>
        <w:rPr>
          <w:rFonts w:ascii="Times New Roman" w:hAnsi="Times New Roman"/>
        </w:rPr>
      </w:pPr>
    </w:p>
    <w:p w:rsidR="00735B66" w:rsidRPr="00890E1B" w:rsidRDefault="00436CF9" w:rsidP="00890E1B">
      <w:pPr>
        <w:rPr>
          <w:rFonts w:ascii="Times New Roman" w:hAnsi="Times New Roman"/>
        </w:rPr>
      </w:pPr>
      <w:r>
        <w:rPr>
          <w:rFonts w:ascii="Times New Roman" w:hAnsi="Times New Roman"/>
        </w:rPr>
        <w:t>An investigation into the</w:t>
      </w:r>
      <w:r w:rsidR="00D33056" w:rsidRPr="00890E1B">
        <w:rPr>
          <w:rFonts w:ascii="Times New Roman" w:hAnsi="Times New Roman"/>
        </w:rPr>
        <w:t xml:space="preserve"> business practices </w:t>
      </w:r>
      <w:r>
        <w:rPr>
          <w:rFonts w:ascii="Times New Roman" w:hAnsi="Times New Roman"/>
        </w:rPr>
        <w:t xml:space="preserve">of </w:t>
      </w:r>
      <w:r w:rsidR="004428C4">
        <w:rPr>
          <w:rFonts w:ascii="Times New Roman" w:hAnsi="Times New Roman"/>
        </w:rPr>
        <w:t>Lincoln</w:t>
      </w:r>
      <w:r w:rsidR="00182C04">
        <w:rPr>
          <w:rFonts w:ascii="Times New Roman" w:hAnsi="Times New Roman"/>
        </w:rPr>
        <w:t xml:space="preserve"> Moving</w:t>
      </w:r>
      <w:r>
        <w:rPr>
          <w:rFonts w:ascii="Times New Roman" w:hAnsi="Times New Roman"/>
        </w:rPr>
        <w:t xml:space="preserve"> </w:t>
      </w:r>
      <w:r w:rsidR="00B0428B">
        <w:rPr>
          <w:rFonts w:ascii="Times New Roman" w:hAnsi="Times New Roman"/>
        </w:rPr>
        <w:t>found that the</w:t>
      </w:r>
      <w:r w:rsidR="00D33056" w:rsidRPr="00890E1B">
        <w:rPr>
          <w:rFonts w:ascii="Times New Roman" w:hAnsi="Times New Roman"/>
        </w:rPr>
        <w:t xml:space="preserve"> company </w:t>
      </w:r>
      <w:r w:rsidR="00B0428B">
        <w:rPr>
          <w:rFonts w:ascii="Times New Roman" w:hAnsi="Times New Roman"/>
        </w:rPr>
        <w:t xml:space="preserve">is </w:t>
      </w:r>
      <w:r w:rsidR="00D33056" w:rsidRPr="00890E1B">
        <w:rPr>
          <w:rFonts w:ascii="Times New Roman" w:hAnsi="Times New Roman"/>
        </w:rPr>
        <w:t>in violation of</w:t>
      </w:r>
      <w:r w:rsidR="00757444" w:rsidRPr="00890E1B">
        <w:rPr>
          <w:rFonts w:ascii="Times New Roman" w:hAnsi="Times New Roman"/>
        </w:rPr>
        <w:t xml:space="preserve"> c</w:t>
      </w:r>
      <w:r w:rsidR="00E53560">
        <w:rPr>
          <w:rFonts w:ascii="Times New Roman" w:hAnsi="Times New Roman"/>
        </w:rPr>
        <w:t>ommission rules</w:t>
      </w:r>
      <w:r w:rsidR="005F489F" w:rsidRPr="00890E1B">
        <w:rPr>
          <w:rFonts w:ascii="Times New Roman" w:hAnsi="Times New Roman"/>
        </w:rPr>
        <w:t xml:space="preserve"> and Household Goods Tariff 15-C</w:t>
      </w:r>
      <w:r w:rsidR="00935D91">
        <w:rPr>
          <w:rFonts w:ascii="Times New Roman" w:hAnsi="Times New Roman"/>
        </w:rPr>
        <w:t>, as follows</w:t>
      </w:r>
      <w:r w:rsidR="00D33056" w:rsidRPr="00890E1B">
        <w:rPr>
          <w:rFonts w:ascii="Times New Roman" w:hAnsi="Times New Roman"/>
        </w:rPr>
        <w:t>:</w:t>
      </w:r>
      <w:r w:rsidR="009B64DA">
        <w:rPr>
          <w:rFonts w:ascii="Times New Roman" w:hAnsi="Times New Roman"/>
        </w:rPr>
        <w:br/>
      </w:r>
    </w:p>
    <w:p w:rsidR="00E21876" w:rsidRPr="00E21876" w:rsidRDefault="00E21876" w:rsidP="00D11C40">
      <w:pPr>
        <w:pStyle w:val="ListParagraph"/>
        <w:numPr>
          <w:ilvl w:val="0"/>
          <w:numId w:val="4"/>
        </w:numPr>
        <w:rPr>
          <w:rFonts w:ascii="Times New Roman" w:hAnsi="Times New Roman"/>
        </w:rPr>
      </w:pPr>
      <w:r>
        <w:rPr>
          <w:rFonts w:ascii="Times New Roman" w:hAnsi="Times New Roman"/>
        </w:rPr>
        <w:t>Failure</w:t>
      </w:r>
      <w:r w:rsidRPr="00890E1B">
        <w:rPr>
          <w:rFonts w:ascii="Times New Roman" w:hAnsi="Times New Roman"/>
        </w:rPr>
        <w:t xml:space="preserve"> to supply an estimate to each customer prior to moving household goods in violation of WAC 480-15-630.</w:t>
      </w:r>
    </w:p>
    <w:p w:rsidR="00D046A6" w:rsidRPr="00D046A6" w:rsidRDefault="00BC06E3" w:rsidP="00D11C40">
      <w:pPr>
        <w:pStyle w:val="ListParagraph"/>
        <w:numPr>
          <w:ilvl w:val="0"/>
          <w:numId w:val="4"/>
        </w:numPr>
        <w:rPr>
          <w:rFonts w:ascii="Times New Roman" w:hAnsi="Times New Roman"/>
        </w:rPr>
      </w:pPr>
      <w:r w:rsidRPr="00E21876">
        <w:rPr>
          <w:rFonts w:ascii="Times New Roman" w:hAnsi="Times New Roman"/>
        </w:rPr>
        <w:t>Failure</w:t>
      </w:r>
      <w:r w:rsidR="007206E6" w:rsidRPr="00E21876">
        <w:rPr>
          <w:rFonts w:ascii="Times New Roman" w:hAnsi="Times New Roman"/>
        </w:rPr>
        <w:t xml:space="preserve"> to use a proper </w:t>
      </w:r>
      <w:r w:rsidR="00436CF9" w:rsidRPr="00E21876">
        <w:rPr>
          <w:rFonts w:ascii="Times New Roman" w:hAnsi="Times New Roman"/>
        </w:rPr>
        <w:t xml:space="preserve">estimate format </w:t>
      </w:r>
      <w:r w:rsidR="00D046A6" w:rsidRPr="00E21876">
        <w:rPr>
          <w:rFonts w:ascii="Times New Roman" w:hAnsi="Times New Roman"/>
        </w:rPr>
        <w:t xml:space="preserve">in violation of WAC 480-15-630 and Tariff 15-C, Item 85.  </w:t>
      </w:r>
    </w:p>
    <w:p w:rsidR="007206E6" w:rsidRPr="00E21876" w:rsidRDefault="00D046A6" w:rsidP="00D11C40">
      <w:pPr>
        <w:pStyle w:val="ListParagraph"/>
        <w:numPr>
          <w:ilvl w:val="0"/>
          <w:numId w:val="4"/>
        </w:numPr>
        <w:rPr>
          <w:rFonts w:ascii="Times New Roman" w:hAnsi="Times New Roman"/>
        </w:rPr>
      </w:pPr>
      <w:r>
        <w:rPr>
          <w:rFonts w:ascii="Times New Roman" w:hAnsi="Times New Roman"/>
        </w:rPr>
        <w:t>F</w:t>
      </w:r>
      <w:r w:rsidR="00436CF9" w:rsidRPr="00E21876">
        <w:rPr>
          <w:rFonts w:ascii="Times New Roman" w:hAnsi="Times New Roman"/>
        </w:rPr>
        <w:t>ailure</w:t>
      </w:r>
      <w:r w:rsidR="007206E6" w:rsidRPr="00E21876">
        <w:rPr>
          <w:rFonts w:ascii="Times New Roman" w:hAnsi="Times New Roman"/>
        </w:rPr>
        <w:t xml:space="preserve"> to accurately complete its estimate forms in violation of WAC 480-15-630 and Tariff 15-C, Item 85.  </w:t>
      </w:r>
    </w:p>
    <w:p w:rsidR="00757444" w:rsidRPr="00E21876" w:rsidRDefault="00BC06E3" w:rsidP="00D11C40">
      <w:pPr>
        <w:pStyle w:val="ListParagraph"/>
        <w:numPr>
          <w:ilvl w:val="0"/>
          <w:numId w:val="4"/>
        </w:numPr>
        <w:rPr>
          <w:rFonts w:ascii="Times New Roman" w:hAnsi="Times New Roman"/>
          <w:color w:val="000000"/>
          <w:szCs w:val="26"/>
        </w:rPr>
      </w:pPr>
      <w:r w:rsidRPr="00E21876">
        <w:rPr>
          <w:rFonts w:ascii="Times New Roman" w:hAnsi="Times New Roman"/>
        </w:rPr>
        <w:t xml:space="preserve">Failure </w:t>
      </w:r>
      <w:r w:rsidR="007206E6" w:rsidRPr="00E21876">
        <w:rPr>
          <w:rFonts w:ascii="Times New Roman" w:hAnsi="Times New Roman"/>
        </w:rPr>
        <w:t>to use a proper</w:t>
      </w:r>
      <w:r w:rsidR="00757444" w:rsidRPr="00E21876">
        <w:rPr>
          <w:rFonts w:ascii="Times New Roman" w:hAnsi="Times New Roman"/>
        </w:rPr>
        <w:t xml:space="preserve"> bill of lading form</w:t>
      </w:r>
      <w:r w:rsidR="007206E6" w:rsidRPr="00E21876">
        <w:rPr>
          <w:rFonts w:ascii="Times New Roman" w:hAnsi="Times New Roman"/>
        </w:rPr>
        <w:t>at</w:t>
      </w:r>
      <w:r w:rsidR="004428C4">
        <w:rPr>
          <w:rFonts w:ascii="Times New Roman" w:hAnsi="Times New Roman"/>
        </w:rPr>
        <w:t xml:space="preserve"> </w:t>
      </w:r>
      <w:r w:rsidR="007206E6" w:rsidRPr="00E21876">
        <w:rPr>
          <w:rFonts w:ascii="Times New Roman" w:hAnsi="Times New Roman"/>
        </w:rPr>
        <w:t xml:space="preserve">in violation of </w:t>
      </w:r>
      <w:r w:rsidR="00890E1B" w:rsidRPr="00E21876">
        <w:rPr>
          <w:rFonts w:ascii="Times New Roman" w:hAnsi="Times New Roman"/>
          <w:color w:val="000000"/>
          <w:szCs w:val="26"/>
        </w:rPr>
        <w:t>WAC 480-15-710</w:t>
      </w:r>
      <w:r w:rsidR="00436CF9" w:rsidRPr="00E21876">
        <w:rPr>
          <w:rFonts w:ascii="Times New Roman" w:hAnsi="Times New Roman"/>
          <w:color w:val="000000"/>
          <w:szCs w:val="26"/>
        </w:rPr>
        <w:t xml:space="preserve"> and Tariff 15-C</w:t>
      </w:r>
      <w:r w:rsidR="004428C4">
        <w:rPr>
          <w:rFonts w:ascii="Times New Roman" w:hAnsi="Times New Roman"/>
          <w:color w:val="000000"/>
          <w:szCs w:val="26"/>
        </w:rPr>
        <w:t>, Item 95</w:t>
      </w:r>
      <w:r w:rsidR="007206E6" w:rsidRPr="00E21876">
        <w:rPr>
          <w:rFonts w:ascii="Times New Roman" w:hAnsi="Times New Roman"/>
          <w:color w:val="000000"/>
          <w:szCs w:val="26"/>
        </w:rPr>
        <w:t>.</w:t>
      </w:r>
      <w:r w:rsidR="00757444" w:rsidRPr="00E21876">
        <w:rPr>
          <w:rFonts w:ascii="Times New Roman" w:hAnsi="Times New Roman"/>
          <w:color w:val="000000"/>
          <w:szCs w:val="26"/>
        </w:rPr>
        <w:t xml:space="preserve">  </w:t>
      </w:r>
    </w:p>
    <w:p w:rsidR="00757444" w:rsidRDefault="00BC06E3" w:rsidP="00D11C40">
      <w:pPr>
        <w:pStyle w:val="ListParagraph"/>
        <w:numPr>
          <w:ilvl w:val="0"/>
          <w:numId w:val="4"/>
        </w:numPr>
        <w:rPr>
          <w:rFonts w:ascii="Times New Roman" w:hAnsi="Times New Roman"/>
        </w:rPr>
      </w:pPr>
      <w:r w:rsidRPr="00E21876">
        <w:rPr>
          <w:rFonts w:ascii="Times New Roman" w:hAnsi="Times New Roman"/>
        </w:rPr>
        <w:t>Failure</w:t>
      </w:r>
      <w:r w:rsidR="007206E6" w:rsidRPr="00E21876">
        <w:rPr>
          <w:rFonts w:ascii="Times New Roman" w:hAnsi="Times New Roman"/>
        </w:rPr>
        <w:t xml:space="preserve"> to properly</w:t>
      </w:r>
      <w:r w:rsidR="00757444" w:rsidRPr="00E21876">
        <w:rPr>
          <w:rFonts w:ascii="Times New Roman" w:hAnsi="Times New Roman"/>
        </w:rPr>
        <w:t xml:space="preserve"> complete </w:t>
      </w:r>
      <w:r w:rsidR="002979ED">
        <w:rPr>
          <w:rFonts w:ascii="Times New Roman" w:hAnsi="Times New Roman"/>
        </w:rPr>
        <w:t xml:space="preserve">its </w:t>
      </w:r>
      <w:r w:rsidR="00757444" w:rsidRPr="00E21876">
        <w:rPr>
          <w:rFonts w:ascii="Times New Roman" w:hAnsi="Times New Roman"/>
        </w:rPr>
        <w:t>bills of lading i</w:t>
      </w:r>
      <w:r w:rsidR="007206E6" w:rsidRPr="00E21876">
        <w:rPr>
          <w:rFonts w:ascii="Times New Roman" w:hAnsi="Times New Roman"/>
        </w:rPr>
        <w:t xml:space="preserve">n violation of </w:t>
      </w:r>
      <w:r w:rsidR="00757444" w:rsidRPr="00E21876">
        <w:rPr>
          <w:rFonts w:ascii="Times New Roman" w:hAnsi="Times New Roman"/>
        </w:rPr>
        <w:t>WAC 480-15-710</w:t>
      </w:r>
      <w:r w:rsidR="00436CF9" w:rsidRPr="00E21876">
        <w:rPr>
          <w:rFonts w:ascii="Times New Roman" w:hAnsi="Times New Roman"/>
        </w:rPr>
        <w:t xml:space="preserve"> and Tariff 15-C</w:t>
      </w:r>
      <w:r w:rsidR="004428C4">
        <w:rPr>
          <w:rFonts w:ascii="Times New Roman" w:hAnsi="Times New Roman"/>
        </w:rPr>
        <w:t>, Item 95</w:t>
      </w:r>
      <w:r w:rsidR="00757444" w:rsidRPr="00E21876">
        <w:rPr>
          <w:rFonts w:ascii="Times New Roman" w:hAnsi="Times New Roman"/>
        </w:rPr>
        <w:t xml:space="preserve">.  </w:t>
      </w:r>
    </w:p>
    <w:p w:rsidR="00982F06" w:rsidRPr="00E21876" w:rsidRDefault="009F3EC5" w:rsidP="00D11C40">
      <w:pPr>
        <w:pStyle w:val="ListParagraph"/>
        <w:numPr>
          <w:ilvl w:val="0"/>
          <w:numId w:val="4"/>
        </w:numPr>
        <w:rPr>
          <w:rFonts w:ascii="Times New Roman" w:hAnsi="Times New Roman"/>
        </w:rPr>
      </w:pPr>
      <w:r w:rsidRPr="00E21876">
        <w:rPr>
          <w:rFonts w:ascii="Times New Roman" w:hAnsi="Times New Roman"/>
        </w:rPr>
        <w:t xml:space="preserve">Failure </w:t>
      </w:r>
      <w:r w:rsidR="00982F06" w:rsidRPr="00E21876">
        <w:rPr>
          <w:rFonts w:ascii="Times New Roman" w:hAnsi="Times New Roman"/>
        </w:rPr>
        <w:t>to follow the terms, conditions, rates, and all other requ</w:t>
      </w:r>
      <w:r w:rsidRPr="00E21876">
        <w:rPr>
          <w:rFonts w:ascii="Times New Roman" w:hAnsi="Times New Roman"/>
        </w:rPr>
        <w:t>irements imposed by Tariff 15-C in violation of WAC 480-15-490(3).</w:t>
      </w:r>
      <w:r w:rsidR="00982F06" w:rsidRPr="00E21876">
        <w:rPr>
          <w:rFonts w:ascii="Times New Roman" w:hAnsi="Times New Roman"/>
        </w:rPr>
        <w:t xml:space="preserve"> </w:t>
      </w:r>
    </w:p>
    <w:p w:rsidR="00982F06" w:rsidRPr="007834EF" w:rsidRDefault="00982F06" w:rsidP="009F3EC5">
      <w:pPr>
        <w:pStyle w:val="ListParagraph"/>
        <w:rPr>
          <w:rFonts w:ascii="Times New Roman" w:hAnsi="Times New Roman"/>
          <w:color w:val="000000"/>
          <w:szCs w:val="26"/>
        </w:rPr>
      </w:pPr>
    </w:p>
    <w:p w:rsidR="00757444" w:rsidRPr="00890E1B" w:rsidRDefault="00757444">
      <w:pPr>
        <w:rPr>
          <w:rFonts w:ascii="Times New Roman" w:hAnsi="Times New Roman"/>
          <w:b/>
        </w:rPr>
      </w:pPr>
      <w:r w:rsidRPr="00890E1B">
        <w:rPr>
          <w:rFonts w:ascii="Times New Roman" w:hAnsi="Times New Roman"/>
          <w:b/>
        </w:rPr>
        <w:t>Recommendation</w:t>
      </w:r>
    </w:p>
    <w:p w:rsidR="00A31277" w:rsidRDefault="00A31277" w:rsidP="00ED23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 xml:space="preserve">Staff reviewed business records for </w:t>
      </w:r>
      <w:r>
        <w:rPr>
          <w:rFonts w:ascii="Times New Roman" w:hAnsi="Times New Roman"/>
        </w:rPr>
        <w:t>46</w:t>
      </w:r>
      <w:r w:rsidRPr="009B64DA">
        <w:rPr>
          <w:rFonts w:ascii="Times New Roman" w:hAnsi="Times New Roman"/>
        </w:rPr>
        <w:t xml:space="preserve"> moves performed by </w:t>
      </w:r>
      <w:r>
        <w:rPr>
          <w:rFonts w:ascii="Times New Roman" w:hAnsi="Times New Roman"/>
        </w:rPr>
        <w:t>Lincoln</w:t>
      </w:r>
      <w:r w:rsidRPr="009B64DA">
        <w:rPr>
          <w:rFonts w:ascii="Times New Roman" w:hAnsi="Times New Roman"/>
        </w:rPr>
        <w:t xml:space="preserve"> Movers</w:t>
      </w:r>
      <w:r>
        <w:rPr>
          <w:rFonts w:ascii="Times New Roman" w:hAnsi="Times New Roman"/>
        </w:rPr>
        <w:t xml:space="preserve"> between January and May 2011</w:t>
      </w:r>
      <w:r w:rsidRPr="009B64DA">
        <w:rPr>
          <w:rFonts w:ascii="Times New Roman" w:hAnsi="Times New Roman"/>
        </w:rPr>
        <w:t>. Although</w:t>
      </w:r>
      <w:r>
        <w:rPr>
          <w:rFonts w:ascii="Times New Roman" w:hAnsi="Times New Roman"/>
        </w:rPr>
        <w:t xml:space="preserve"> </w:t>
      </w:r>
      <w:r w:rsidRPr="009B64DA">
        <w:rPr>
          <w:rFonts w:ascii="Times New Roman" w:hAnsi="Times New Roman"/>
        </w:rPr>
        <w:t xml:space="preserve">violations </w:t>
      </w:r>
      <w:proofErr w:type="gramStart"/>
      <w:r w:rsidRPr="009B64DA">
        <w:rPr>
          <w:rFonts w:ascii="Times New Roman" w:hAnsi="Times New Roman"/>
        </w:rPr>
        <w:t>were found</w:t>
      </w:r>
      <w:proofErr w:type="gramEnd"/>
      <w:r w:rsidRPr="009B64DA">
        <w:rPr>
          <w:rFonts w:ascii="Times New Roman" w:hAnsi="Times New Roman"/>
        </w:rPr>
        <w:t xml:space="preserve"> in the records </w:t>
      </w:r>
      <w:r w:rsidR="002979ED">
        <w:rPr>
          <w:rFonts w:ascii="Times New Roman" w:hAnsi="Times New Roman"/>
        </w:rPr>
        <w:t>of</w:t>
      </w:r>
      <w:r w:rsidRPr="009B64DA">
        <w:rPr>
          <w:rFonts w:ascii="Times New Roman" w:hAnsi="Times New Roman"/>
        </w:rPr>
        <w:t xml:space="preserve"> each move, staff recommends the commission only assess penalties for violations in areas where</w:t>
      </w:r>
      <w:r>
        <w:rPr>
          <w:rFonts w:ascii="Times New Roman" w:hAnsi="Times New Roman"/>
        </w:rPr>
        <w:t xml:space="preserve"> staff previously provided</w:t>
      </w:r>
      <w:r w:rsidRPr="009B64DA">
        <w:rPr>
          <w:rFonts w:ascii="Times New Roman" w:hAnsi="Times New Roman"/>
        </w:rPr>
        <w:t xml:space="preserve"> technical assistance</w:t>
      </w:r>
      <w:r>
        <w:rPr>
          <w:rFonts w:ascii="Times New Roman" w:hAnsi="Times New Roman"/>
        </w:rPr>
        <w:t>, as documented in this report</w:t>
      </w:r>
      <w:r w:rsidR="00237C1B">
        <w:rPr>
          <w:rFonts w:ascii="Times New Roman" w:hAnsi="Times New Roman"/>
        </w:rPr>
        <w:t xml:space="preserve">. </w:t>
      </w:r>
      <w:r>
        <w:rPr>
          <w:rFonts w:ascii="Times New Roman" w:hAnsi="Times New Roman"/>
        </w:rPr>
        <w:t>Staff recommends a $700 penalty for seven violations of WAC 480-15-490(3)</w:t>
      </w:r>
      <w:r w:rsidR="002979ED">
        <w:rPr>
          <w:rFonts w:ascii="Times New Roman" w:hAnsi="Times New Roman"/>
        </w:rPr>
        <w:t>,</w:t>
      </w:r>
      <w:r>
        <w:rPr>
          <w:rFonts w:ascii="Times New Roman" w:hAnsi="Times New Roman"/>
        </w:rPr>
        <w:t xml:space="preserve"> which requires carriers to follow </w:t>
      </w:r>
      <w:proofErr w:type="gramStart"/>
      <w:r>
        <w:rPr>
          <w:rFonts w:ascii="Times New Roman" w:hAnsi="Times New Roman"/>
        </w:rPr>
        <w:t>the  rates</w:t>
      </w:r>
      <w:proofErr w:type="gramEnd"/>
      <w:r>
        <w:rPr>
          <w:rFonts w:ascii="Times New Roman" w:hAnsi="Times New Roman"/>
        </w:rPr>
        <w:t xml:space="preserve"> set forth in Tariff 15-C, Item 225, Containers.</w:t>
      </w:r>
    </w:p>
    <w:p w:rsidR="00A31277" w:rsidRDefault="00A31277" w:rsidP="00ED23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ED237E" w:rsidRDefault="00A31277" w:rsidP="00ED23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In addition</w:t>
      </w:r>
      <w:r w:rsidR="00806E30">
        <w:rPr>
          <w:rFonts w:ascii="Times New Roman" w:hAnsi="Times New Roman"/>
        </w:rPr>
        <w:t xml:space="preserve">, </w:t>
      </w:r>
      <w:r w:rsidR="00353837">
        <w:rPr>
          <w:rFonts w:ascii="Times New Roman" w:hAnsi="Times New Roman"/>
        </w:rPr>
        <w:t>staff</w:t>
      </w:r>
      <w:r w:rsidR="00806E30" w:rsidRPr="005F1057">
        <w:rPr>
          <w:rFonts w:ascii="Times New Roman" w:hAnsi="Times New Roman"/>
        </w:rPr>
        <w:t xml:space="preserve"> recommends </w:t>
      </w:r>
      <w:r w:rsidR="00806E30">
        <w:rPr>
          <w:rFonts w:ascii="Times New Roman" w:hAnsi="Times New Roman"/>
        </w:rPr>
        <w:t xml:space="preserve">that </w:t>
      </w:r>
      <w:r w:rsidR="00075A7E">
        <w:rPr>
          <w:rFonts w:ascii="Times New Roman" w:hAnsi="Times New Roman"/>
        </w:rPr>
        <w:t xml:space="preserve">Lincoln </w:t>
      </w:r>
      <w:r w:rsidR="00182C04">
        <w:rPr>
          <w:rFonts w:ascii="Times New Roman" w:hAnsi="Times New Roman"/>
        </w:rPr>
        <w:t>Moving</w:t>
      </w:r>
      <w:r w:rsidR="00ED237E" w:rsidRPr="009B64DA">
        <w:rPr>
          <w:rFonts w:ascii="Times New Roman" w:hAnsi="Times New Roman"/>
        </w:rPr>
        <w:t xml:space="preserve"> attend commission-conducted rule and tariff training </w:t>
      </w:r>
      <w:r w:rsidR="00ED237E" w:rsidRPr="00D915CD">
        <w:rPr>
          <w:rFonts w:ascii="Times New Roman" w:hAnsi="Times New Roman"/>
        </w:rPr>
        <w:t xml:space="preserve">on </w:t>
      </w:r>
      <w:r w:rsidR="004428C4">
        <w:rPr>
          <w:rFonts w:ascii="Times New Roman" w:hAnsi="Times New Roman"/>
        </w:rPr>
        <w:t>July 11, 2012</w:t>
      </w:r>
      <w:r w:rsidR="00ED237E" w:rsidRPr="009B64DA">
        <w:rPr>
          <w:rFonts w:ascii="Times New Roman" w:hAnsi="Times New Roman"/>
        </w:rPr>
        <w:t xml:space="preserve">, in </w:t>
      </w:r>
      <w:r w:rsidR="00ED237E">
        <w:rPr>
          <w:rFonts w:ascii="Times New Roman" w:hAnsi="Times New Roman"/>
        </w:rPr>
        <w:t>Olympia</w:t>
      </w:r>
      <w:r w:rsidR="00ED237E" w:rsidRPr="009B64DA">
        <w:rPr>
          <w:rFonts w:ascii="Times New Roman" w:hAnsi="Times New Roman"/>
        </w:rPr>
        <w:t xml:space="preserve">. </w:t>
      </w:r>
      <w:r w:rsidR="00ED237E">
        <w:rPr>
          <w:rFonts w:ascii="Times New Roman" w:hAnsi="Times New Roman"/>
        </w:rPr>
        <w:t xml:space="preserve">Staff also recommends </w:t>
      </w:r>
      <w:r w:rsidR="00806E30">
        <w:rPr>
          <w:rFonts w:ascii="Times New Roman" w:hAnsi="Times New Roman"/>
        </w:rPr>
        <w:t xml:space="preserve">that </w:t>
      </w:r>
      <w:r w:rsidR="00D046A6">
        <w:rPr>
          <w:rFonts w:ascii="Times New Roman" w:hAnsi="Times New Roman"/>
        </w:rPr>
        <w:t>Lincoln</w:t>
      </w:r>
      <w:r w:rsidR="00182C04">
        <w:rPr>
          <w:rFonts w:ascii="Times New Roman" w:hAnsi="Times New Roman"/>
        </w:rPr>
        <w:t xml:space="preserve"> Moving</w:t>
      </w:r>
      <w:r w:rsidR="00ED237E">
        <w:rPr>
          <w:rFonts w:ascii="Times New Roman" w:hAnsi="Times New Roman"/>
        </w:rPr>
        <w:t xml:space="preserve"> closely review this report because it provides valuable technical assistance in each of the areas that need improvement, including</w:t>
      </w:r>
      <w:r w:rsidR="00353837">
        <w:rPr>
          <w:rFonts w:ascii="Times New Roman" w:hAnsi="Times New Roman"/>
        </w:rPr>
        <w:t>:</w:t>
      </w:r>
      <w:r w:rsidR="00ED237E">
        <w:rPr>
          <w:rFonts w:ascii="Times New Roman" w:hAnsi="Times New Roman"/>
        </w:rPr>
        <w:t xml:space="preserve"> </w:t>
      </w:r>
      <w:r w:rsidR="00E21876">
        <w:rPr>
          <w:rFonts w:ascii="Times New Roman" w:hAnsi="Times New Roman"/>
        </w:rPr>
        <w:t>the requirement that the company supply est</w:t>
      </w:r>
      <w:r w:rsidR="00353837">
        <w:rPr>
          <w:rFonts w:ascii="Times New Roman" w:hAnsi="Times New Roman"/>
        </w:rPr>
        <w:t>imates to each of its customers;</w:t>
      </w:r>
      <w:r w:rsidR="00E21876">
        <w:rPr>
          <w:rFonts w:ascii="Times New Roman" w:hAnsi="Times New Roman"/>
        </w:rPr>
        <w:t xml:space="preserve"> </w:t>
      </w:r>
      <w:r w:rsidR="00ED237E" w:rsidRPr="00580380">
        <w:rPr>
          <w:rFonts w:ascii="Times New Roman" w:hAnsi="Times New Roman"/>
        </w:rPr>
        <w:t xml:space="preserve">format </w:t>
      </w:r>
      <w:r w:rsidR="007834EF" w:rsidRPr="00580380">
        <w:rPr>
          <w:rFonts w:ascii="Times New Roman" w:hAnsi="Times New Roman"/>
        </w:rPr>
        <w:t xml:space="preserve">and completion </w:t>
      </w:r>
      <w:r w:rsidR="00353837">
        <w:rPr>
          <w:rFonts w:ascii="Times New Roman" w:hAnsi="Times New Roman"/>
        </w:rPr>
        <w:t>of estimates;</w:t>
      </w:r>
      <w:r w:rsidR="00ED237E" w:rsidRPr="00580380">
        <w:rPr>
          <w:rFonts w:ascii="Times New Roman" w:hAnsi="Times New Roman"/>
        </w:rPr>
        <w:t xml:space="preserve"> format</w:t>
      </w:r>
      <w:r w:rsidR="007834EF" w:rsidRPr="00580380">
        <w:rPr>
          <w:rFonts w:ascii="Times New Roman" w:hAnsi="Times New Roman"/>
        </w:rPr>
        <w:t xml:space="preserve"> and completion of</w:t>
      </w:r>
      <w:r w:rsidR="00ED237E" w:rsidRPr="00580380">
        <w:rPr>
          <w:rFonts w:ascii="Times New Roman" w:hAnsi="Times New Roman"/>
        </w:rPr>
        <w:t xml:space="preserve"> bills of lading</w:t>
      </w:r>
      <w:r w:rsidR="00353837">
        <w:rPr>
          <w:rFonts w:ascii="Times New Roman" w:hAnsi="Times New Roman"/>
        </w:rPr>
        <w:t>;</w:t>
      </w:r>
      <w:r w:rsidR="00C14DE3" w:rsidRPr="00580380">
        <w:rPr>
          <w:rFonts w:ascii="Times New Roman" w:hAnsi="Times New Roman"/>
        </w:rPr>
        <w:t xml:space="preserve"> and </w:t>
      </w:r>
      <w:r w:rsidR="00580380" w:rsidRPr="00580380">
        <w:rPr>
          <w:rFonts w:ascii="Times New Roman" w:hAnsi="Times New Roman"/>
        </w:rPr>
        <w:t>tariff</w:t>
      </w:r>
      <w:r w:rsidR="00580380">
        <w:rPr>
          <w:rFonts w:ascii="Times New Roman" w:hAnsi="Times New Roman"/>
        </w:rPr>
        <w:t xml:space="preserve"> rates and charges.</w:t>
      </w:r>
    </w:p>
    <w:p w:rsidR="00ED237E" w:rsidRDefault="00ED237E" w:rsidP="00ED23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ED237E" w:rsidRPr="009B64DA" w:rsidRDefault="00ED237E" w:rsidP="00ED23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Staff will conduct a follow up investigation of the company’s operations</w:t>
      </w:r>
      <w:r>
        <w:rPr>
          <w:rFonts w:ascii="Times New Roman" w:hAnsi="Times New Roman"/>
        </w:rPr>
        <w:t xml:space="preserve"> in one year</w:t>
      </w:r>
      <w:r w:rsidRPr="009B64DA">
        <w:rPr>
          <w:rFonts w:ascii="Times New Roman" w:hAnsi="Times New Roman"/>
        </w:rPr>
        <w:t xml:space="preserve">.  </w:t>
      </w:r>
    </w:p>
    <w:p w:rsidR="00ED237E" w:rsidRPr="009B64DA" w:rsidRDefault="00ED237E" w:rsidP="00ED23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ED237E" w:rsidRPr="00890E1B" w:rsidRDefault="00ED237E" w:rsidP="00ED23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47F30" w:rsidRPr="009B64DA" w:rsidRDefault="00547F30"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47F30" w:rsidRPr="00890E1B" w:rsidRDefault="00547F30"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47F30" w:rsidRPr="00890E1B" w:rsidRDefault="00547F30" w:rsidP="00547F30">
      <w:pPr>
        <w:pStyle w:val="NoSpacing"/>
        <w:rPr>
          <w:rFonts w:ascii="Times New Roman" w:hAnsi="Times New Roman"/>
        </w:rPr>
      </w:pPr>
    </w:p>
    <w:p w:rsidR="00D33056" w:rsidRPr="00890E1B" w:rsidRDefault="00D33056">
      <w:pPr>
        <w:pStyle w:val="Heading4"/>
        <w:widowControl/>
        <w:autoSpaceDE/>
        <w:autoSpaceDN/>
        <w:adjustRightInd/>
      </w:pPr>
      <w:r w:rsidRPr="00890E1B">
        <w:lastRenderedPageBreak/>
        <w:t>BACKGROUND</w:t>
      </w:r>
    </w:p>
    <w:p w:rsidR="00D33056" w:rsidRDefault="00D33056">
      <w:pPr>
        <w:pStyle w:val="Heading1"/>
        <w:rPr>
          <w:rFonts w:ascii="Palatino Linotype" w:hAnsi="Palatino Linotype"/>
        </w:rPr>
      </w:pPr>
    </w:p>
    <w:p w:rsidR="00D33056" w:rsidRPr="00890E1B" w:rsidRDefault="00144F0C">
      <w:pPr>
        <w:pStyle w:val="Heading1"/>
      </w:pPr>
      <w:r>
        <w:t>Company History</w:t>
      </w:r>
    </w:p>
    <w:p w:rsidR="00075A7E" w:rsidRDefault="00D046A6" w:rsidP="002F46FB">
      <w:pPr>
        <w:rPr>
          <w:rFonts w:ascii="Times New Roman" w:hAnsi="Times New Roman"/>
        </w:rPr>
      </w:pPr>
      <w:r>
        <w:rPr>
          <w:rFonts w:ascii="Times New Roman" w:hAnsi="Times New Roman"/>
        </w:rPr>
        <w:t>Lincoln</w:t>
      </w:r>
      <w:r w:rsidR="00182C04">
        <w:rPr>
          <w:rFonts w:ascii="Times New Roman" w:hAnsi="Times New Roman"/>
        </w:rPr>
        <w:t xml:space="preserve"> Moving </w:t>
      </w:r>
      <w:r w:rsidR="002343A4">
        <w:rPr>
          <w:rFonts w:ascii="Times New Roman" w:hAnsi="Times New Roman"/>
        </w:rPr>
        <w:t>has held common carrier authority with the commission since 1987</w:t>
      </w:r>
      <w:r w:rsidR="002F46FB">
        <w:rPr>
          <w:rFonts w:ascii="Times New Roman" w:hAnsi="Times New Roman"/>
        </w:rPr>
        <w:t>.</w:t>
      </w:r>
      <w:r w:rsidR="00AC3803">
        <w:rPr>
          <w:rFonts w:ascii="Times New Roman" w:hAnsi="Times New Roman"/>
        </w:rPr>
        <w:t xml:space="preserve"> On January 15, 1999, the company’s common carrier authority was automatically transferred to permanent household goods </w:t>
      </w:r>
      <w:proofErr w:type="gramStart"/>
      <w:r w:rsidR="00AC3803">
        <w:rPr>
          <w:rFonts w:ascii="Times New Roman" w:hAnsi="Times New Roman"/>
        </w:rPr>
        <w:t>authority,</w:t>
      </w:r>
      <w:proofErr w:type="gramEnd"/>
      <w:r w:rsidR="00AC3803">
        <w:rPr>
          <w:rFonts w:ascii="Times New Roman" w:hAnsi="Times New Roman"/>
        </w:rPr>
        <w:t xml:space="preserve"> permit number HG-002278, in Docket No. </w:t>
      </w:r>
    </w:p>
    <w:p w:rsidR="00144F0C" w:rsidRDefault="00075A7E" w:rsidP="002F46FB">
      <w:pPr>
        <w:rPr>
          <w:rFonts w:ascii="Times New Roman" w:hAnsi="Times New Roman"/>
        </w:rPr>
      </w:pPr>
      <w:proofErr w:type="gramStart"/>
      <w:r>
        <w:rPr>
          <w:rFonts w:ascii="Times New Roman" w:hAnsi="Times New Roman"/>
        </w:rPr>
        <w:t>TV-</w:t>
      </w:r>
      <w:r w:rsidR="00AC3803">
        <w:rPr>
          <w:rFonts w:ascii="Times New Roman" w:hAnsi="Times New Roman"/>
        </w:rPr>
        <w:t>971477.</w:t>
      </w:r>
      <w:proofErr w:type="gramEnd"/>
      <w:r w:rsidR="002343A4">
        <w:rPr>
          <w:rFonts w:ascii="Times New Roman" w:hAnsi="Times New Roman"/>
        </w:rPr>
        <w:t xml:space="preserve"> </w:t>
      </w:r>
    </w:p>
    <w:p w:rsidR="00144F0C" w:rsidRDefault="00144F0C" w:rsidP="009928FC">
      <w:pPr>
        <w:rPr>
          <w:rFonts w:ascii="Times New Roman" w:hAnsi="Times New Roman"/>
        </w:rPr>
      </w:pPr>
    </w:p>
    <w:p w:rsidR="00941968" w:rsidRDefault="00AC3803" w:rsidP="00B107B7">
      <w:pPr>
        <w:rPr>
          <w:rFonts w:ascii="Times New Roman" w:hAnsi="Times New Roman"/>
        </w:rPr>
      </w:pPr>
      <w:r>
        <w:rPr>
          <w:rFonts w:ascii="Times New Roman" w:hAnsi="Times New Roman"/>
        </w:rPr>
        <w:t>Lincoln Moving</w:t>
      </w:r>
      <w:r w:rsidR="002F46FB">
        <w:rPr>
          <w:rFonts w:ascii="Times New Roman" w:hAnsi="Times New Roman"/>
        </w:rPr>
        <w:t xml:space="preserve"> is a </w:t>
      </w:r>
      <w:r w:rsidR="006F44AD">
        <w:rPr>
          <w:rFonts w:ascii="Times New Roman" w:hAnsi="Times New Roman"/>
        </w:rPr>
        <w:t>for-</w:t>
      </w:r>
      <w:r>
        <w:rPr>
          <w:rFonts w:ascii="Times New Roman" w:hAnsi="Times New Roman"/>
        </w:rPr>
        <w:t>profit corporation</w:t>
      </w:r>
      <w:r w:rsidR="002F46FB">
        <w:rPr>
          <w:rFonts w:ascii="Times New Roman" w:hAnsi="Times New Roman"/>
        </w:rPr>
        <w:t xml:space="preserve">. </w:t>
      </w:r>
      <w:r w:rsidR="006F44AD">
        <w:rPr>
          <w:rFonts w:ascii="Times New Roman" w:hAnsi="Times New Roman"/>
        </w:rPr>
        <w:t xml:space="preserve">Chris </w:t>
      </w:r>
      <w:proofErr w:type="spellStart"/>
      <w:r w:rsidR="006F44AD">
        <w:rPr>
          <w:rFonts w:ascii="Times New Roman" w:hAnsi="Times New Roman"/>
        </w:rPr>
        <w:t>DiJulio</w:t>
      </w:r>
      <w:proofErr w:type="spellEnd"/>
      <w:r w:rsidR="006F44AD">
        <w:rPr>
          <w:rFonts w:ascii="Times New Roman" w:hAnsi="Times New Roman"/>
        </w:rPr>
        <w:t xml:space="preserve"> is </w:t>
      </w:r>
      <w:r w:rsidR="008A29DB">
        <w:rPr>
          <w:rFonts w:ascii="Times New Roman" w:hAnsi="Times New Roman"/>
        </w:rPr>
        <w:t xml:space="preserve">the </w:t>
      </w:r>
      <w:r w:rsidR="006F44AD">
        <w:rPr>
          <w:rFonts w:ascii="Times New Roman" w:hAnsi="Times New Roman"/>
        </w:rPr>
        <w:t>President</w:t>
      </w:r>
      <w:r w:rsidR="00237F60">
        <w:rPr>
          <w:rFonts w:ascii="Times New Roman" w:hAnsi="Times New Roman"/>
        </w:rPr>
        <w:t xml:space="preserve"> and owner;</w:t>
      </w:r>
      <w:r w:rsidR="006F44AD">
        <w:rPr>
          <w:rFonts w:ascii="Times New Roman" w:hAnsi="Times New Roman"/>
        </w:rPr>
        <w:t xml:space="preserve"> Danny </w:t>
      </w:r>
      <w:proofErr w:type="spellStart"/>
      <w:r w:rsidR="006F44AD">
        <w:rPr>
          <w:rFonts w:ascii="Times New Roman" w:hAnsi="Times New Roman"/>
        </w:rPr>
        <w:t>DiJulio</w:t>
      </w:r>
      <w:proofErr w:type="spellEnd"/>
      <w:r w:rsidR="006F44AD">
        <w:rPr>
          <w:rFonts w:ascii="Times New Roman" w:hAnsi="Times New Roman"/>
        </w:rPr>
        <w:t xml:space="preserve"> and Ronald </w:t>
      </w:r>
      <w:proofErr w:type="spellStart"/>
      <w:r w:rsidR="006F44AD">
        <w:rPr>
          <w:rFonts w:ascii="Times New Roman" w:hAnsi="Times New Roman"/>
        </w:rPr>
        <w:t>Prideaux</w:t>
      </w:r>
      <w:proofErr w:type="spellEnd"/>
      <w:r w:rsidR="006F44AD">
        <w:rPr>
          <w:rFonts w:ascii="Times New Roman" w:hAnsi="Times New Roman"/>
        </w:rPr>
        <w:t xml:space="preserve"> are Vice Presidents. </w:t>
      </w:r>
      <w:r w:rsidR="002F46FB">
        <w:rPr>
          <w:rFonts w:ascii="Times New Roman" w:hAnsi="Times New Roman"/>
        </w:rPr>
        <w:t xml:space="preserve">The company’s business address is </w:t>
      </w:r>
      <w:r w:rsidR="006F44AD">
        <w:rPr>
          <w:rFonts w:ascii="Times New Roman" w:hAnsi="Times New Roman"/>
        </w:rPr>
        <w:t>8420 S. 190</w:t>
      </w:r>
      <w:r w:rsidR="006F44AD" w:rsidRPr="006F44AD">
        <w:rPr>
          <w:rFonts w:ascii="Times New Roman" w:hAnsi="Times New Roman"/>
          <w:vertAlign w:val="superscript"/>
        </w:rPr>
        <w:t>th</w:t>
      </w:r>
      <w:r w:rsidR="006F44AD">
        <w:rPr>
          <w:rFonts w:ascii="Times New Roman" w:hAnsi="Times New Roman"/>
        </w:rPr>
        <w:t>, Kent, Washington 98031</w:t>
      </w:r>
      <w:r w:rsidR="002F46FB">
        <w:rPr>
          <w:rFonts w:ascii="Times New Roman" w:hAnsi="Times New Roman"/>
        </w:rPr>
        <w:t>.</w:t>
      </w:r>
    </w:p>
    <w:p w:rsidR="002F46FB" w:rsidRDefault="002F46FB" w:rsidP="00B107B7">
      <w:pPr>
        <w:rPr>
          <w:rFonts w:ascii="Times New Roman" w:hAnsi="Times New Roman"/>
        </w:rPr>
      </w:pPr>
    </w:p>
    <w:p w:rsidR="00941968" w:rsidRPr="00EA5BA8" w:rsidRDefault="00941968" w:rsidP="00B107B7">
      <w:pPr>
        <w:rPr>
          <w:rFonts w:ascii="Times New Roman" w:hAnsi="Times New Roman"/>
          <w:b/>
        </w:rPr>
      </w:pPr>
      <w:r w:rsidRPr="00EA5BA8">
        <w:rPr>
          <w:rFonts w:ascii="Times New Roman" w:hAnsi="Times New Roman"/>
          <w:b/>
        </w:rPr>
        <w:t>Company Information</w:t>
      </w:r>
    </w:p>
    <w:p w:rsidR="00225B36" w:rsidRDefault="008A29DB" w:rsidP="00941968">
      <w:pPr>
        <w:tabs>
          <w:tab w:val="left" w:pos="1440"/>
          <w:tab w:val="left" w:pos="4320"/>
        </w:tabs>
        <w:rPr>
          <w:rFonts w:ascii="Times New Roman" w:hAnsi="Times New Roman"/>
        </w:rPr>
      </w:pPr>
      <w:r>
        <w:rPr>
          <w:rFonts w:ascii="Times New Roman" w:hAnsi="Times New Roman"/>
        </w:rPr>
        <w:t>T</w:t>
      </w:r>
      <w:r w:rsidR="00965882">
        <w:rPr>
          <w:rFonts w:ascii="Times New Roman" w:hAnsi="Times New Roman"/>
        </w:rPr>
        <w:t xml:space="preserve">here have been </w:t>
      </w:r>
      <w:r>
        <w:rPr>
          <w:rFonts w:ascii="Times New Roman" w:hAnsi="Times New Roman"/>
        </w:rPr>
        <w:t>ten</w:t>
      </w:r>
      <w:r w:rsidR="00965882">
        <w:rPr>
          <w:rFonts w:ascii="Times New Roman" w:hAnsi="Times New Roman"/>
        </w:rPr>
        <w:t xml:space="preserve"> consumer complaints filed against the company</w:t>
      </w:r>
      <w:r>
        <w:rPr>
          <w:rFonts w:ascii="Times New Roman" w:hAnsi="Times New Roman"/>
        </w:rPr>
        <w:t xml:space="preserve"> since 2001</w:t>
      </w:r>
      <w:r w:rsidR="00965882">
        <w:rPr>
          <w:rFonts w:ascii="Times New Roman" w:hAnsi="Times New Roman"/>
        </w:rPr>
        <w:t>.</w:t>
      </w:r>
      <w:r>
        <w:rPr>
          <w:rFonts w:ascii="Times New Roman" w:hAnsi="Times New Roman"/>
        </w:rPr>
        <w:t xml:space="preserve"> One was non-jurisdictional, two were company upheld with no violations, and one was consumer upheld with no violations. Six of the complaints cited violations, as</w:t>
      </w:r>
      <w:r w:rsidR="00117B68">
        <w:rPr>
          <w:rFonts w:ascii="Times New Roman" w:hAnsi="Times New Roman"/>
        </w:rPr>
        <w:t xml:space="preserve"> follows:</w:t>
      </w:r>
    </w:p>
    <w:p w:rsidR="008A29DB" w:rsidRDefault="008A29DB" w:rsidP="00941968">
      <w:pPr>
        <w:tabs>
          <w:tab w:val="left" w:pos="1440"/>
          <w:tab w:val="left" w:pos="4320"/>
        </w:tabs>
        <w:rPr>
          <w:rFonts w:ascii="Times New Roman" w:hAnsi="Times New Roman"/>
        </w:rPr>
      </w:pPr>
    </w:p>
    <w:tbl>
      <w:tblPr>
        <w:tblStyle w:val="TableGrid"/>
        <w:tblW w:w="0" w:type="auto"/>
        <w:tblLook w:val="04A0" w:firstRow="1" w:lastRow="0" w:firstColumn="1" w:lastColumn="0" w:noHBand="0" w:noVBand="1"/>
      </w:tblPr>
      <w:tblGrid>
        <w:gridCol w:w="2304"/>
        <w:gridCol w:w="1314"/>
        <w:gridCol w:w="1620"/>
        <w:gridCol w:w="3978"/>
      </w:tblGrid>
      <w:tr w:rsidR="008A29DB" w:rsidRPr="008A29DB" w:rsidTr="008A29DB">
        <w:tc>
          <w:tcPr>
            <w:tcW w:w="2304" w:type="dxa"/>
          </w:tcPr>
          <w:p w:rsidR="008A29DB" w:rsidRPr="008A29DB" w:rsidRDefault="008A29DB" w:rsidP="00941968">
            <w:pPr>
              <w:tabs>
                <w:tab w:val="left" w:pos="1440"/>
                <w:tab w:val="left" w:pos="4320"/>
              </w:tabs>
              <w:rPr>
                <w:rFonts w:ascii="Times New Roman" w:hAnsi="Times New Roman"/>
                <w:b/>
              </w:rPr>
            </w:pPr>
            <w:r w:rsidRPr="008A29DB">
              <w:rPr>
                <w:rFonts w:ascii="Times New Roman" w:hAnsi="Times New Roman"/>
                <w:b/>
              </w:rPr>
              <w:t>Complaint Number</w:t>
            </w:r>
          </w:p>
        </w:tc>
        <w:tc>
          <w:tcPr>
            <w:tcW w:w="1314" w:type="dxa"/>
          </w:tcPr>
          <w:p w:rsidR="008A29DB" w:rsidRPr="008A29DB" w:rsidRDefault="008A29DB" w:rsidP="00941968">
            <w:pPr>
              <w:tabs>
                <w:tab w:val="left" w:pos="1440"/>
                <w:tab w:val="left" w:pos="4320"/>
              </w:tabs>
              <w:rPr>
                <w:rFonts w:ascii="Times New Roman" w:hAnsi="Times New Roman"/>
                <w:b/>
              </w:rPr>
            </w:pPr>
            <w:r w:rsidRPr="008A29DB">
              <w:rPr>
                <w:rFonts w:ascii="Times New Roman" w:hAnsi="Times New Roman"/>
                <w:b/>
              </w:rPr>
              <w:t>Date Filed</w:t>
            </w:r>
          </w:p>
        </w:tc>
        <w:tc>
          <w:tcPr>
            <w:tcW w:w="1620" w:type="dxa"/>
          </w:tcPr>
          <w:p w:rsidR="008A29DB" w:rsidRPr="008A29DB" w:rsidRDefault="008A29DB" w:rsidP="00941968">
            <w:pPr>
              <w:tabs>
                <w:tab w:val="left" w:pos="1440"/>
                <w:tab w:val="left" w:pos="4320"/>
              </w:tabs>
              <w:rPr>
                <w:rFonts w:ascii="Times New Roman" w:hAnsi="Times New Roman"/>
                <w:b/>
              </w:rPr>
            </w:pPr>
            <w:r w:rsidRPr="008A29DB">
              <w:rPr>
                <w:rFonts w:ascii="Times New Roman" w:hAnsi="Times New Roman"/>
                <w:b/>
              </w:rPr>
              <w:t>Party Upheld</w:t>
            </w:r>
          </w:p>
        </w:tc>
        <w:tc>
          <w:tcPr>
            <w:tcW w:w="3978" w:type="dxa"/>
          </w:tcPr>
          <w:p w:rsidR="008A29DB" w:rsidRPr="008A29DB" w:rsidRDefault="008A29DB" w:rsidP="00941968">
            <w:pPr>
              <w:tabs>
                <w:tab w:val="left" w:pos="1440"/>
                <w:tab w:val="left" w:pos="4320"/>
              </w:tabs>
              <w:rPr>
                <w:rFonts w:ascii="Times New Roman" w:hAnsi="Times New Roman"/>
                <w:b/>
              </w:rPr>
            </w:pPr>
            <w:r w:rsidRPr="008A29DB">
              <w:rPr>
                <w:rFonts w:ascii="Times New Roman" w:hAnsi="Times New Roman"/>
                <w:b/>
              </w:rPr>
              <w:t>Violations Cited</w:t>
            </w:r>
          </w:p>
        </w:tc>
      </w:tr>
      <w:tr w:rsidR="008A29DB" w:rsidTr="008A29DB">
        <w:tc>
          <w:tcPr>
            <w:tcW w:w="2304" w:type="dxa"/>
          </w:tcPr>
          <w:p w:rsidR="008A29DB" w:rsidRDefault="008A29DB" w:rsidP="00941968">
            <w:pPr>
              <w:tabs>
                <w:tab w:val="left" w:pos="1440"/>
                <w:tab w:val="left" w:pos="4320"/>
              </w:tabs>
              <w:rPr>
                <w:rFonts w:ascii="Times New Roman" w:hAnsi="Times New Roman"/>
              </w:rPr>
            </w:pPr>
            <w:r>
              <w:rPr>
                <w:rFonts w:ascii="Times New Roman" w:hAnsi="Times New Roman"/>
              </w:rPr>
              <w:t>72768</w:t>
            </w:r>
          </w:p>
        </w:tc>
        <w:tc>
          <w:tcPr>
            <w:tcW w:w="1314" w:type="dxa"/>
          </w:tcPr>
          <w:p w:rsidR="008A29DB" w:rsidRDefault="008A29DB" w:rsidP="00941968">
            <w:pPr>
              <w:tabs>
                <w:tab w:val="left" w:pos="1440"/>
                <w:tab w:val="left" w:pos="4320"/>
              </w:tabs>
              <w:rPr>
                <w:rFonts w:ascii="Times New Roman" w:hAnsi="Times New Roman"/>
              </w:rPr>
            </w:pPr>
            <w:r>
              <w:rPr>
                <w:rFonts w:ascii="Times New Roman" w:hAnsi="Times New Roman"/>
              </w:rPr>
              <w:t>11/05/2001</w:t>
            </w:r>
          </w:p>
        </w:tc>
        <w:tc>
          <w:tcPr>
            <w:tcW w:w="1620" w:type="dxa"/>
          </w:tcPr>
          <w:p w:rsidR="008A29DB" w:rsidRDefault="008A29DB" w:rsidP="00941968">
            <w:pPr>
              <w:tabs>
                <w:tab w:val="left" w:pos="1440"/>
                <w:tab w:val="left" w:pos="4320"/>
              </w:tabs>
              <w:rPr>
                <w:rFonts w:ascii="Times New Roman" w:hAnsi="Times New Roman"/>
              </w:rPr>
            </w:pPr>
            <w:r>
              <w:rPr>
                <w:rFonts w:ascii="Times New Roman" w:hAnsi="Times New Roman"/>
              </w:rPr>
              <w:t>Consumer</w:t>
            </w:r>
          </w:p>
        </w:tc>
        <w:tc>
          <w:tcPr>
            <w:tcW w:w="3978" w:type="dxa"/>
          </w:tcPr>
          <w:p w:rsidR="008A29DB" w:rsidRPr="00C57528" w:rsidRDefault="00C47482"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Failure to provide a cube sheet inventory with the estimate</w:t>
            </w:r>
          </w:p>
          <w:p w:rsidR="00C47482" w:rsidRPr="00C57528" w:rsidRDefault="00C57528"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Failure to itemize charges on bill of lading</w:t>
            </w:r>
          </w:p>
          <w:p w:rsidR="00C57528" w:rsidRPr="00C57528" w:rsidRDefault="00C57528"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 xml:space="preserve">Failure to limit charges </w:t>
            </w:r>
            <w:r w:rsidR="008B4B46">
              <w:rPr>
                <w:rFonts w:ascii="Times New Roman" w:hAnsi="Times New Roman"/>
                <w:sz w:val="20"/>
                <w:szCs w:val="20"/>
              </w:rPr>
              <w:t>for</w:t>
            </w:r>
            <w:r w:rsidRPr="00C57528">
              <w:rPr>
                <w:rFonts w:ascii="Times New Roman" w:hAnsi="Times New Roman"/>
                <w:sz w:val="20"/>
                <w:szCs w:val="20"/>
              </w:rPr>
              <w:t xml:space="preserve"> non-binding estimate</w:t>
            </w:r>
          </w:p>
          <w:p w:rsidR="00C57528" w:rsidRPr="00C57528" w:rsidRDefault="00C57528"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Failure to include storage section on bill of lading</w:t>
            </w:r>
          </w:p>
          <w:p w:rsidR="00C57528" w:rsidRPr="00C57528" w:rsidRDefault="00C57528"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Failure to include valuation section on bill of lading</w:t>
            </w:r>
          </w:p>
          <w:p w:rsidR="00C57528" w:rsidRPr="00C57528" w:rsidRDefault="00C57528"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Failure to include weight of shipment on bill of lading</w:t>
            </w:r>
          </w:p>
          <w:p w:rsidR="00C57528" w:rsidRPr="00C57528" w:rsidRDefault="00C57528"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 xml:space="preserve">Failure to include a section on the bill of lading for customer to acknowledge receipt of customer </w:t>
            </w:r>
            <w:r w:rsidR="005C7541">
              <w:rPr>
                <w:rFonts w:ascii="Times New Roman" w:hAnsi="Times New Roman"/>
                <w:sz w:val="20"/>
                <w:szCs w:val="20"/>
              </w:rPr>
              <w:t xml:space="preserve">rights and responsibilities </w:t>
            </w:r>
            <w:r w:rsidRPr="00C57528">
              <w:rPr>
                <w:rFonts w:ascii="Times New Roman" w:hAnsi="Times New Roman"/>
                <w:sz w:val="20"/>
                <w:szCs w:val="20"/>
              </w:rPr>
              <w:t>brochure</w:t>
            </w:r>
          </w:p>
          <w:p w:rsidR="00C57528" w:rsidRPr="00C57528" w:rsidRDefault="00C57528"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Failure to indicate method of payment on the bill of lading</w:t>
            </w:r>
          </w:p>
          <w:p w:rsidR="00C57528" w:rsidRPr="00C57528" w:rsidRDefault="00C57528" w:rsidP="00D11C40">
            <w:pPr>
              <w:pStyle w:val="ListParagraph"/>
              <w:numPr>
                <w:ilvl w:val="0"/>
                <w:numId w:val="12"/>
              </w:numPr>
              <w:tabs>
                <w:tab w:val="left" w:pos="1440"/>
                <w:tab w:val="left" w:pos="4320"/>
              </w:tabs>
              <w:rPr>
                <w:rFonts w:ascii="Times New Roman" w:hAnsi="Times New Roman"/>
                <w:sz w:val="20"/>
                <w:szCs w:val="20"/>
              </w:rPr>
            </w:pPr>
            <w:r w:rsidRPr="00C57528">
              <w:rPr>
                <w:rFonts w:ascii="Times New Roman" w:hAnsi="Times New Roman"/>
                <w:sz w:val="20"/>
                <w:szCs w:val="20"/>
              </w:rPr>
              <w:t>Failure to include storage inventory</w:t>
            </w:r>
          </w:p>
        </w:tc>
      </w:tr>
      <w:tr w:rsidR="008A29DB" w:rsidTr="008A29DB">
        <w:tc>
          <w:tcPr>
            <w:tcW w:w="2304" w:type="dxa"/>
          </w:tcPr>
          <w:p w:rsidR="008A29DB" w:rsidRDefault="008A29DB" w:rsidP="00941968">
            <w:pPr>
              <w:tabs>
                <w:tab w:val="left" w:pos="1440"/>
                <w:tab w:val="left" w:pos="4320"/>
              </w:tabs>
              <w:rPr>
                <w:rFonts w:ascii="Times New Roman" w:hAnsi="Times New Roman"/>
              </w:rPr>
            </w:pPr>
            <w:r>
              <w:rPr>
                <w:rFonts w:ascii="Times New Roman" w:hAnsi="Times New Roman"/>
              </w:rPr>
              <w:t>85561</w:t>
            </w:r>
          </w:p>
        </w:tc>
        <w:tc>
          <w:tcPr>
            <w:tcW w:w="1314" w:type="dxa"/>
          </w:tcPr>
          <w:p w:rsidR="008A29DB" w:rsidRDefault="008A29DB" w:rsidP="00941968">
            <w:pPr>
              <w:tabs>
                <w:tab w:val="left" w:pos="1440"/>
                <w:tab w:val="left" w:pos="4320"/>
              </w:tabs>
              <w:rPr>
                <w:rFonts w:ascii="Times New Roman" w:hAnsi="Times New Roman"/>
              </w:rPr>
            </w:pPr>
            <w:r>
              <w:rPr>
                <w:rFonts w:ascii="Times New Roman" w:hAnsi="Times New Roman"/>
              </w:rPr>
              <w:t>09/17/2003</w:t>
            </w:r>
          </w:p>
        </w:tc>
        <w:tc>
          <w:tcPr>
            <w:tcW w:w="1620" w:type="dxa"/>
          </w:tcPr>
          <w:p w:rsidR="008A29DB" w:rsidRDefault="008A29DB" w:rsidP="00941968">
            <w:pPr>
              <w:tabs>
                <w:tab w:val="left" w:pos="1440"/>
                <w:tab w:val="left" w:pos="4320"/>
              </w:tabs>
              <w:rPr>
                <w:rFonts w:ascii="Times New Roman" w:hAnsi="Times New Roman"/>
              </w:rPr>
            </w:pPr>
            <w:r>
              <w:rPr>
                <w:rFonts w:ascii="Times New Roman" w:hAnsi="Times New Roman"/>
              </w:rPr>
              <w:t>Consumer</w:t>
            </w:r>
          </w:p>
        </w:tc>
        <w:tc>
          <w:tcPr>
            <w:tcW w:w="3978" w:type="dxa"/>
          </w:tcPr>
          <w:p w:rsidR="008A29DB" w:rsidRPr="00A31277" w:rsidRDefault="00C57528" w:rsidP="00D11C40">
            <w:pPr>
              <w:pStyle w:val="ListParagraph"/>
              <w:numPr>
                <w:ilvl w:val="0"/>
                <w:numId w:val="13"/>
              </w:numPr>
              <w:tabs>
                <w:tab w:val="left" w:pos="1440"/>
                <w:tab w:val="left" w:pos="4320"/>
              </w:tabs>
              <w:rPr>
                <w:rFonts w:ascii="Times New Roman" w:hAnsi="Times New Roman"/>
                <w:b/>
                <w:i/>
                <w:sz w:val="20"/>
                <w:szCs w:val="20"/>
              </w:rPr>
            </w:pPr>
            <w:r w:rsidRPr="00A31277">
              <w:rPr>
                <w:rFonts w:ascii="Times New Roman" w:hAnsi="Times New Roman"/>
                <w:b/>
                <w:i/>
                <w:sz w:val="20"/>
                <w:szCs w:val="20"/>
              </w:rPr>
              <w:t>Failure to charge tariff rates for containers</w:t>
            </w:r>
          </w:p>
        </w:tc>
      </w:tr>
      <w:tr w:rsidR="008A29DB" w:rsidTr="008A29DB">
        <w:tc>
          <w:tcPr>
            <w:tcW w:w="2304" w:type="dxa"/>
          </w:tcPr>
          <w:p w:rsidR="008A29DB" w:rsidRDefault="00237F60" w:rsidP="00941968">
            <w:pPr>
              <w:tabs>
                <w:tab w:val="left" w:pos="1440"/>
                <w:tab w:val="left" w:pos="4320"/>
              </w:tabs>
              <w:rPr>
                <w:rFonts w:ascii="Times New Roman" w:hAnsi="Times New Roman"/>
              </w:rPr>
            </w:pPr>
            <w:r>
              <w:rPr>
                <w:rFonts w:ascii="Times New Roman" w:hAnsi="Times New Roman"/>
              </w:rPr>
              <w:t>92537</w:t>
            </w:r>
          </w:p>
        </w:tc>
        <w:tc>
          <w:tcPr>
            <w:tcW w:w="1314" w:type="dxa"/>
          </w:tcPr>
          <w:p w:rsidR="008A29DB" w:rsidRDefault="00237F60" w:rsidP="00941968">
            <w:pPr>
              <w:tabs>
                <w:tab w:val="left" w:pos="1440"/>
                <w:tab w:val="left" w:pos="4320"/>
              </w:tabs>
              <w:rPr>
                <w:rFonts w:ascii="Times New Roman" w:hAnsi="Times New Roman"/>
              </w:rPr>
            </w:pPr>
            <w:r>
              <w:rPr>
                <w:rFonts w:ascii="Times New Roman" w:hAnsi="Times New Roman"/>
              </w:rPr>
              <w:t>02/08/2005</w:t>
            </w:r>
          </w:p>
        </w:tc>
        <w:tc>
          <w:tcPr>
            <w:tcW w:w="1620" w:type="dxa"/>
          </w:tcPr>
          <w:p w:rsidR="008A29DB" w:rsidRDefault="00237F60" w:rsidP="00941968">
            <w:pPr>
              <w:tabs>
                <w:tab w:val="left" w:pos="1440"/>
                <w:tab w:val="left" w:pos="4320"/>
              </w:tabs>
              <w:rPr>
                <w:rFonts w:ascii="Times New Roman" w:hAnsi="Times New Roman"/>
              </w:rPr>
            </w:pPr>
            <w:r>
              <w:rPr>
                <w:rFonts w:ascii="Times New Roman" w:hAnsi="Times New Roman"/>
              </w:rPr>
              <w:t>Company</w:t>
            </w:r>
          </w:p>
        </w:tc>
        <w:tc>
          <w:tcPr>
            <w:tcW w:w="3978" w:type="dxa"/>
          </w:tcPr>
          <w:p w:rsidR="008A29DB" w:rsidRPr="008B4B46" w:rsidRDefault="00C5752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include the customer’s telephone number on the bill of lading</w:t>
            </w:r>
          </w:p>
          <w:p w:rsidR="00C57528" w:rsidRPr="008B4B46" w:rsidRDefault="00C5752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 xml:space="preserve">Failure to obtain customer’s acknowledgement that customer </w:t>
            </w:r>
            <w:r w:rsidR="005C7541">
              <w:rPr>
                <w:rFonts w:ascii="Times New Roman" w:hAnsi="Times New Roman"/>
                <w:sz w:val="20"/>
                <w:szCs w:val="20"/>
              </w:rPr>
              <w:t xml:space="preserve">rights and responsibilities </w:t>
            </w:r>
            <w:r w:rsidRPr="008B4B46">
              <w:rPr>
                <w:rFonts w:ascii="Times New Roman" w:hAnsi="Times New Roman"/>
                <w:sz w:val="20"/>
                <w:szCs w:val="20"/>
              </w:rPr>
              <w:t xml:space="preserve">brochure </w:t>
            </w:r>
            <w:r w:rsidR="00D546B8" w:rsidRPr="008B4B46">
              <w:rPr>
                <w:rFonts w:ascii="Times New Roman" w:hAnsi="Times New Roman"/>
                <w:sz w:val="20"/>
                <w:szCs w:val="20"/>
              </w:rPr>
              <w:t>was received</w:t>
            </w:r>
          </w:p>
          <w:p w:rsidR="00D546B8" w:rsidRPr="008B4B46" w:rsidRDefault="00D546B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indicate method of payment on the bill of lading</w:t>
            </w:r>
          </w:p>
          <w:p w:rsidR="008B4B46" w:rsidRPr="009768FE" w:rsidRDefault="00D546B8" w:rsidP="005C7541">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record length of storage on the bill of lading</w:t>
            </w:r>
          </w:p>
        </w:tc>
      </w:tr>
      <w:tr w:rsidR="00117B68" w:rsidTr="008A29DB">
        <w:tc>
          <w:tcPr>
            <w:tcW w:w="2304" w:type="dxa"/>
          </w:tcPr>
          <w:p w:rsidR="00117B68" w:rsidRPr="008A29DB" w:rsidRDefault="00117B68" w:rsidP="00A12558">
            <w:pPr>
              <w:tabs>
                <w:tab w:val="left" w:pos="1440"/>
                <w:tab w:val="left" w:pos="4320"/>
              </w:tabs>
              <w:rPr>
                <w:rFonts w:ascii="Times New Roman" w:hAnsi="Times New Roman"/>
                <w:b/>
              </w:rPr>
            </w:pPr>
            <w:r w:rsidRPr="008A29DB">
              <w:rPr>
                <w:rFonts w:ascii="Times New Roman" w:hAnsi="Times New Roman"/>
                <w:b/>
              </w:rPr>
              <w:lastRenderedPageBreak/>
              <w:t>Complaint Number</w:t>
            </w:r>
          </w:p>
        </w:tc>
        <w:tc>
          <w:tcPr>
            <w:tcW w:w="1314" w:type="dxa"/>
          </w:tcPr>
          <w:p w:rsidR="00117B68" w:rsidRPr="008A29DB" w:rsidRDefault="00117B68" w:rsidP="00A12558">
            <w:pPr>
              <w:tabs>
                <w:tab w:val="left" w:pos="1440"/>
                <w:tab w:val="left" w:pos="4320"/>
              </w:tabs>
              <w:rPr>
                <w:rFonts w:ascii="Times New Roman" w:hAnsi="Times New Roman"/>
                <w:b/>
              </w:rPr>
            </w:pPr>
            <w:r w:rsidRPr="008A29DB">
              <w:rPr>
                <w:rFonts w:ascii="Times New Roman" w:hAnsi="Times New Roman"/>
                <w:b/>
              </w:rPr>
              <w:t>Date Filed</w:t>
            </w:r>
          </w:p>
        </w:tc>
        <w:tc>
          <w:tcPr>
            <w:tcW w:w="1620" w:type="dxa"/>
          </w:tcPr>
          <w:p w:rsidR="00117B68" w:rsidRPr="008A29DB" w:rsidRDefault="00117B68" w:rsidP="00A12558">
            <w:pPr>
              <w:tabs>
                <w:tab w:val="left" w:pos="1440"/>
                <w:tab w:val="left" w:pos="4320"/>
              </w:tabs>
              <w:rPr>
                <w:rFonts w:ascii="Times New Roman" w:hAnsi="Times New Roman"/>
                <w:b/>
              </w:rPr>
            </w:pPr>
            <w:r w:rsidRPr="008A29DB">
              <w:rPr>
                <w:rFonts w:ascii="Times New Roman" w:hAnsi="Times New Roman"/>
                <w:b/>
              </w:rPr>
              <w:t>Party Upheld</w:t>
            </w:r>
          </w:p>
        </w:tc>
        <w:tc>
          <w:tcPr>
            <w:tcW w:w="3978" w:type="dxa"/>
          </w:tcPr>
          <w:p w:rsidR="00117B68" w:rsidRPr="008A29DB" w:rsidRDefault="00117B68" w:rsidP="00A12558">
            <w:pPr>
              <w:tabs>
                <w:tab w:val="left" w:pos="1440"/>
                <w:tab w:val="left" w:pos="4320"/>
              </w:tabs>
              <w:rPr>
                <w:rFonts w:ascii="Times New Roman" w:hAnsi="Times New Roman"/>
                <w:b/>
              </w:rPr>
            </w:pPr>
            <w:r w:rsidRPr="008A29DB">
              <w:rPr>
                <w:rFonts w:ascii="Times New Roman" w:hAnsi="Times New Roman"/>
                <w:b/>
              </w:rPr>
              <w:t>Violations Cited</w:t>
            </w:r>
          </w:p>
        </w:tc>
      </w:tr>
      <w:tr w:rsidR="00117B68" w:rsidTr="008A29DB">
        <w:tc>
          <w:tcPr>
            <w:tcW w:w="2304" w:type="dxa"/>
          </w:tcPr>
          <w:p w:rsidR="00117B68" w:rsidRDefault="00117B68" w:rsidP="00A12558">
            <w:pPr>
              <w:tabs>
                <w:tab w:val="left" w:pos="1440"/>
                <w:tab w:val="left" w:pos="4320"/>
              </w:tabs>
              <w:rPr>
                <w:rFonts w:ascii="Times New Roman" w:hAnsi="Times New Roman"/>
              </w:rPr>
            </w:pPr>
            <w:r>
              <w:rPr>
                <w:rFonts w:ascii="Times New Roman" w:hAnsi="Times New Roman"/>
              </w:rPr>
              <w:t>92537 (Continued)</w:t>
            </w:r>
          </w:p>
        </w:tc>
        <w:tc>
          <w:tcPr>
            <w:tcW w:w="1314" w:type="dxa"/>
          </w:tcPr>
          <w:p w:rsidR="00117B68" w:rsidRDefault="00117B68" w:rsidP="00A12558">
            <w:pPr>
              <w:tabs>
                <w:tab w:val="left" w:pos="1440"/>
                <w:tab w:val="left" w:pos="4320"/>
              </w:tabs>
              <w:rPr>
                <w:rFonts w:ascii="Times New Roman" w:hAnsi="Times New Roman"/>
              </w:rPr>
            </w:pPr>
            <w:r>
              <w:rPr>
                <w:rFonts w:ascii="Times New Roman" w:hAnsi="Times New Roman"/>
              </w:rPr>
              <w:t>02/08/2005</w:t>
            </w:r>
          </w:p>
        </w:tc>
        <w:tc>
          <w:tcPr>
            <w:tcW w:w="1620" w:type="dxa"/>
          </w:tcPr>
          <w:p w:rsidR="00117B68" w:rsidRDefault="00117B68" w:rsidP="00A12558">
            <w:pPr>
              <w:tabs>
                <w:tab w:val="left" w:pos="1440"/>
                <w:tab w:val="left" w:pos="4320"/>
              </w:tabs>
              <w:rPr>
                <w:rFonts w:ascii="Times New Roman" w:hAnsi="Times New Roman"/>
              </w:rPr>
            </w:pPr>
            <w:r>
              <w:rPr>
                <w:rFonts w:ascii="Times New Roman" w:hAnsi="Times New Roman"/>
              </w:rPr>
              <w:t>Company</w:t>
            </w:r>
          </w:p>
        </w:tc>
        <w:tc>
          <w:tcPr>
            <w:tcW w:w="3978" w:type="dxa"/>
          </w:tcPr>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record rate and charges for storage on the bill of lading</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 xml:space="preserve">Failure to record dates for storage </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record charges for valuation on the bill of lading</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itemize charges on the bill of lading</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notify customer within 10 days of receipt of claim</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respond to commission staff within 10 business days</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obtain customer’s signature and date on estimate</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indicate storage selection on estimate</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indicate weight of shipment on the estimate</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8B4B46">
              <w:rPr>
                <w:rFonts w:ascii="Times New Roman" w:hAnsi="Times New Roman"/>
                <w:sz w:val="20"/>
                <w:szCs w:val="20"/>
              </w:rPr>
              <w:t>Failure to limit charges for non-binding estimate</w:t>
            </w:r>
          </w:p>
          <w:p w:rsidR="00117B68" w:rsidRPr="008B4B46" w:rsidRDefault="00117B68" w:rsidP="00D11C40">
            <w:pPr>
              <w:pStyle w:val="ListParagraph"/>
              <w:numPr>
                <w:ilvl w:val="0"/>
                <w:numId w:val="13"/>
              </w:numPr>
              <w:tabs>
                <w:tab w:val="left" w:pos="1440"/>
                <w:tab w:val="left" w:pos="4320"/>
              </w:tabs>
              <w:rPr>
                <w:rFonts w:ascii="Times New Roman" w:hAnsi="Times New Roman"/>
                <w:sz w:val="20"/>
                <w:szCs w:val="20"/>
              </w:rPr>
            </w:pPr>
            <w:r w:rsidRPr="009768FE">
              <w:rPr>
                <w:rFonts w:ascii="Times New Roman" w:hAnsi="Times New Roman"/>
                <w:sz w:val="20"/>
                <w:szCs w:val="20"/>
              </w:rPr>
              <w:t>Failure to provide a supplemental estimate when required</w:t>
            </w:r>
          </w:p>
        </w:tc>
      </w:tr>
      <w:tr w:rsidR="00117B68" w:rsidTr="008A29DB">
        <w:tc>
          <w:tcPr>
            <w:tcW w:w="2304" w:type="dxa"/>
          </w:tcPr>
          <w:p w:rsidR="00117B68" w:rsidRDefault="00117B68" w:rsidP="00941968">
            <w:pPr>
              <w:tabs>
                <w:tab w:val="left" w:pos="1440"/>
                <w:tab w:val="left" w:pos="4320"/>
              </w:tabs>
              <w:rPr>
                <w:rFonts w:ascii="Times New Roman" w:hAnsi="Times New Roman"/>
              </w:rPr>
            </w:pPr>
            <w:r>
              <w:rPr>
                <w:rFonts w:ascii="Times New Roman" w:hAnsi="Times New Roman"/>
              </w:rPr>
              <w:t>95726</w:t>
            </w:r>
          </w:p>
        </w:tc>
        <w:tc>
          <w:tcPr>
            <w:tcW w:w="1314" w:type="dxa"/>
          </w:tcPr>
          <w:p w:rsidR="00117B68" w:rsidRDefault="00117B68" w:rsidP="00941968">
            <w:pPr>
              <w:tabs>
                <w:tab w:val="left" w:pos="1440"/>
                <w:tab w:val="left" w:pos="4320"/>
              </w:tabs>
              <w:rPr>
                <w:rFonts w:ascii="Times New Roman" w:hAnsi="Times New Roman"/>
              </w:rPr>
            </w:pPr>
            <w:r>
              <w:rPr>
                <w:rFonts w:ascii="Times New Roman" w:hAnsi="Times New Roman"/>
              </w:rPr>
              <w:t>12/14/2005</w:t>
            </w:r>
          </w:p>
        </w:tc>
        <w:tc>
          <w:tcPr>
            <w:tcW w:w="1620" w:type="dxa"/>
          </w:tcPr>
          <w:p w:rsidR="00117B68" w:rsidRDefault="00117B68" w:rsidP="00941968">
            <w:pPr>
              <w:tabs>
                <w:tab w:val="left" w:pos="1440"/>
                <w:tab w:val="left" w:pos="4320"/>
              </w:tabs>
              <w:rPr>
                <w:rFonts w:ascii="Times New Roman" w:hAnsi="Times New Roman"/>
              </w:rPr>
            </w:pPr>
            <w:r>
              <w:rPr>
                <w:rFonts w:ascii="Times New Roman" w:hAnsi="Times New Roman"/>
              </w:rPr>
              <w:t>Consumer</w:t>
            </w:r>
          </w:p>
        </w:tc>
        <w:tc>
          <w:tcPr>
            <w:tcW w:w="3978" w:type="dxa"/>
          </w:tcPr>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include fax number and email address on estimate</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include date of customer’s signature on estimate</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indicate method of payment on bill of lading</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restrict customer’s selection to one valuation choice on bill of lading</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properly calculate valuation charges</w:t>
            </w:r>
          </w:p>
          <w:p w:rsidR="00117B68" w:rsidRPr="00A31277" w:rsidRDefault="00117B68" w:rsidP="00D11C40">
            <w:pPr>
              <w:pStyle w:val="ListParagraph"/>
              <w:numPr>
                <w:ilvl w:val="0"/>
                <w:numId w:val="14"/>
              </w:numPr>
              <w:tabs>
                <w:tab w:val="left" w:pos="1440"/>
                <w:tab w:val="left" w:pos="4320"/>
              </w:tabs>
              <w:rPr>
                <w:rFonts w:ascii="Times New Roman" w:hAnsi="Times New Roman"/>
                <w:b/>
                <w:i/>
                <w:sz w:val="20"/>
                <w:szCs w:val="20"/>
              </w:rPr>
            </w:pPr>
            <w:r w:rsidRPr="00A31277">
              <w:rPr>
                <w:rFonts w:ascii="Times New Roman" w:hAnsi="Times New Roman"/>
                <w:b/>
                <w:i/>
                <w:sz w:val="20"/>
                <w:szCs w:val="20"/>
              </w:rPr>
              <w:t>Failure to charge tariff rates</w:t>
            </w:r>
            <w:r w:rsidR="00AC3CAC" w:rsidRPr="00A31277">
              <w:rPr>
                <w:rFonts w:ascii="Times New Roman" w:hAnsi="Times New Roman"/>
                <w:b/>
                <w:i/>
                <w:sz w:val="20"/>
                <w:szCs w:val="20"/>
              </w:rPr>
              <w:t xml:space="preserve"> for containers</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include estimator’s signature</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obtain customer’s signature on estimate</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include constructive weight of shipment on estimate</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itemize charges on bill of lading</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accurately date the bill of lading</w:t>
            </w:r>
          </w:p>
          <w:p w:rsidR="00117B68" w:rsidRPr="009768FE" w:rsidRDefault="00117B68" w:rsidP="00D11C40">
            <w:pPr>
              <w:pStyle w:val="ListParagraph"/>
              <w:numPr>
                <w:ilvl w:val="0"/>
                <w:numId w:val="14"/>
              </w:numPr>
              <w:tabs>
                <w:tab w:val="left" w:pos="1440"/>
                <w:tab w:val="left" w:pos="4320"/>
              </w:tabs>
              <w:rPr>
                <w:rFonts w:ascii="Times New Roman" w:hAnsi="Times New Roman"/>
                <w:sz w:val="20"/>
                <w:szCs w:val="20"/>
              </w:rPr>
            </w:pPr>
            <w:r w:rsidRPr="009768FE">
              <w:rPr>
                <w:rFonts w:ascii="Times New Roman" w:hAnsi="Times New Roman"/>
                <w:sz w:val="20"/>
                <w:szCs w:val="20"/>
              </w:rPr>
              <w:t>Failure to include cartons on bill of lading</w:t>
            </w:r>
          </w:p>
        </w:tc>
      </w:tr>
      <w:tr w:rsidR="00117B68" w:rsidTr="008A29DB">
        <w:tc>
          <w:tcPr>
            <w:tcW w:w="2304" w:type="dxa"/>
          </w:tcPr>
          <w:p w:rsidR="00117B68" w:rsidRDefault="00117B68" w:rsidP="00941968">
            <w:pPr>
              <w:tabs>
                <w:tab w:val="left" w:pos="1440"/>
                <w:tab w:val="left" w:pos="4320"/>
              </w:tabs>
              <w:rPr>
                <w:rFonts w:ascii="Times New Roman" w:hAnsi="Times New Roman"/>
              </w:rPr>
            </w:pPr>
            <w:r>
              <w:rPr>
                <w:rFonts w:ascii="Times New Roman" w:hAnsi="Times New Roman"/>
              </w:rPr>
              <w:t>106817</w:t>
            </w:r>
          </w:p>
        </w:tc>
        <w:tc>
          <w:tcPr>
            <w:tcW w:w="1314" w:type="dxa"/>
          </w:tcPr>
          <w:p w:rsidR="00117B68" w:rsidRDefault="00117B68" w:rsidP="00941968">
            <w:pPr>
              <w:tabs>
                <w:tab w:val="left" w:pos="1440"/>
                <w:tab w:val="left" w:pos="4320"/>
              </w:tabs>
              <w:rPr>
                <w:rFonts w:ascii="Times New Roman" w:hAnsi="Times New Roman"/>
              </w:rPr>
            </w:pPr>
            <w:r>
              <w:rPr>
                <w:rFonts w:ascii="Times New Roman" w:hAnsi="Times New Roman"/>
              </w:rPr>
              <w:t>06/24/2009</w:t>
            </w:r>
          </w:p>
        </w:tc>
        <w:tc>
          <w:tcPr>
            <w:tcW w:w="1620" w:type="dxa"/>
          </w:tcPr>
          <w:p w:rsidR="00117B68" w:rsidRDefault="00117B68" w:rsidP="00941968">
            <w:pPr>
              <w:tabs>
                <w:tab w:val="left" w:pos="1440"/>
                <w:tab w:val="left" w:pos="4320"/>
              </w:tabs>
              <w:rPr>
                <w:rFonts w:ascii="Times New Roman" w:hAnsi="Times New Roman"/>
              </w:rPr>
            </w:pPr>
            <w:r>
              <w:rPr>
                <w:rFonts w:ascii="Times New Roman" w:hAnsi="Times New Roman"/>
              </w:rPr>
              <w:t>Company</w:t>
            </w:r>
          </w:p>
        </w:tc>
        <w:tc>
          <w:tcPr>
            <w:tcW w:w="3978" w:type="dxa"/>
          </w:tcPr>
          <w:p w:rsidR="00117B68" w:rsidRPr="009768FE" w:rsidRDefault="00117B68" w:rsidP="00D11C40">
            <w:pPr>
              <w:pStyle w:val="ListParagraph"/>
              <w:numPr>
                <w:ilvl w:val="0"/>
                <w:numId w:val="15"/>
              </w:numPr>
              <w:tabs>
                <w:tab w:val="left" w:pos="1440"/>
                <w:tab w:val="left" w:pos="4320"/>
              </w:tabs>
              <w:rPr>
                <w:rFonts w:ascii="Times New Roman" w:hAnsi="Times New Roman"/>
                <w:sz w:val="20"/>
                <w:szCs w:val="20"/>
              </w:rPr>
            </w:pPr>
            <w:r w:rsidRPr="009768FE">
              <w:rPr>
                <w:rFonts w:ascii="Times New Roman" w:hAnsi="Times New Roman"/>
                <w:sz w:val="20"/>
                <w:szCs w:val="20"/>
              </w:rPr>
              <w:t>Failure to limit charges for non-binding estimate</w:t>
            </w:r>
          </w:p>
          <w:p w:rsidR="00117B68" w:rsidRPr="009768FE" w:rsidRDefault="00117B68" w:rsidP="00D11C40">
            <w:pPr>
              <w:pStyle w:val="ListParagraph"/>
              <w:numPr>
                <w:ilvl w:val="0"/>
                <w:numId w:val="15"/>
              </w:numPr>
              <w:tabs>
                <w:tab w:val="left" w:pos="1440"/>
                <w:tab w:val="left" w:pos="4320"/>
              </w:tabs>
              <w:rPr>
                <w:rFonts w:ascii="Times New Roman" w:hAnsi="Times New Roman"/>
                <w:sz w:val="20"/>
                <w:szCs w:val="20"/>
              </w:rPr>
            </w:pPr>
            <w:r w:rsidRPr="009768FE">
              <w:rPr>
                <w:rFonts w:ascii="Times New Roman" w:hAnsi="Times New Roman"/>
                <w:sz w:val="20"/>
                <w:szCs w:val="20"/>
              </w:rPr>
              <w:t>Failure to include a space for customer to sign acknowledging receipt of “Your Guide to Moving” on estimate</w:t>
            </w:r>
          </w:p>
        </w:tc>
      </w:tr>
      <w:tr w:rsidR="00117B68" w:rsidTr="00A12558">
        <w:tc>
          <w:tcPr>
            <w:tcW w:w="2304" w:type="dxa"/>
          </w:tcPr>
          <w:p w:rsidR="00117B68" w:rsidRPr="008A29DB" w:rsidRDefault="00117B68" w:rsidP="00A12558">
            <w:pPr>
              <w:tabs>
                <w:tab w:val="left" w:pos="1440"/>
                <w:tab w:val="left" w:pos="4320"/>
              </w:tabs>
              <w:rPr>
                <w:rFonts w:ascii="Times New Roman" w:hAnsi="Times New Roman"/>
                <w:b/>
              </w:rPr>
            </w:pPr>
            <w:r w:rsidRPr="008A29DB">
              <w:rPr>
                <w:rFonts w:ascii="Times New Roman" w:hAnsi="Times New Roman"/>
                <w:b/>
              </w:rPr>
              <w:lastRenderedPageBreak/>
              <w:t>Complaint Number</w:t>
            </w:r>
          </w:p>
        </w:tc>
        <w:tc>
          <w:tcPr>
            <w:tcW w:w="1314" w:type="dxa"/>
          </w:tcPr>
          <w:p w:rsidR="00117B68" w:rsidRPr="008A29DB" w:rsidRDefault="00117B68" w:rsidP="00A12558">
            <w:pPr>
              <w:tabs>
                <w:tab w:val="left" w:pos="1440"/>
                <w:tab w:val="left" w:pos="4320"/>
              </w:tabs>
              <w:rPr>
                <w:rFonts w:ascii="Times New Roman" w:hAnsi="Times New Roman"/>
                <w:b/>
              </w:rPr>
            </w:pPr>
            <w:r w:rsidRPr="008A29DB">
              <w:rPr>
                <w:rFonts w:ascii="Times New Roman" w:hAnsi="Times New Roman"/>
                <w:b/>
              </w:rPr>
              <w:t>Date Filed</w:t>
            </w:r>
          </w:p>
        </w:tc>
        <w:tc>
          <w:tcPr>
            <w:tcW w:w="1620" w:type="dxa"/>
          </w:tcPr>
          <w:p w:rsidR="00117B68" w:rsidRPr="008A29DB" w:rsidRDefault="00117B68" w:rsidP="00A12558">
            <w:pPr>
              <w:tabs>
                <w:tab w:val="left" w:pos="1440"/>
                <w:tab w:val="left" w:pos="4320"/>
              </w:tabs>
              <w:rPr>
                <w:rFonts w:ascii="Times New Roman" w:hAnsi="Times New Roman"/>
                <w:b/>
              </w:rPr>
            </w:pPr>
            <w:r w:rsidRPr="008A29DB">
              <w:rPr>
                <w:rFonts w:ascii="Times New Roman" w:hAnsi="Times New Roman"/>
                <w:b/>
              </w:rPr>
              <w:t>Party Upheld</w:t>
            </w:r>
          </w:p>
        </w:tc>
        <w:tc>
          <w:tcPr>
            <w:tcW w:w="3978" w:type="dxa"/>
          </w:tcPr>
          <w:p w:rsidR="00117B68" w:rsidRPr="008A29DB" w:rsidRDefault="00117B68" w:rsidP="00A12558">
            <w:pPr>
              <w:tabs>
                <w:tab w:val="left" w:pos="1440"/>
                <w:tab w:val="left" w:pos="4320"/>
              </w:tabs>
              <w:rPr>
                <w:rFonts w:ascii="Times New Roman" w:hAnsi="Times New Roman"/>
                <w:b/>
              </w:rPr>
            </w:pPr>
            <w:r w:rsidRPr="008A29DB">
              <w:rPr>
                <w:rFonts w:ascii="Times New Roman" w:hAnsi="Times New Roman"/>
                <w:b/>
              </w:rPr>
              <w:t>Violations Cited</w:t>
            </w:r>
          </w:p>
        </w:tc>
      </w:tr>
      <w:tr w:rsidR="00117B68" w:rsidTr="008A29DB">
        <w:tc>
          <w:tcPr>
            <w:tcW w:w="2304" w:type="dxa"/>
          </w:tcPr>
          <w:p w:rsidR="00117B68" w:rsidRDefault="00117B68" w:rsidP="00A12558">
            <w:pPr>
              <w:tabs>
                <w:tab w:val="left" w:pos="1440"/>
                <w:tab w:val="left" w:pos="4320"/>
              </w:tabs>
              <w:rPr>
                <w:rFonts w:ascii="Times New Roman" w:hAnsi="Times New Roman"/>
              </w:rPr>
            </w:pPr>
            <w:r>
              <w:rPr>
                <w:rFonts w:ascii="Times New Roman" w:hAnsi="Times New Roman"/>
              </w:rPr>
              <w:t>106817 (Continued)</w:t>
            </w:r>
          </w:p>
        </w:tc>
        <w:tc>
          <w:tcPr>
            <w:tcW w:w="1314" w:type="dxa"/>
          </w:tcPr>
          <w:p w:rsidR="00117B68" w:rsidRDefault="00117B68" w:rsidP="00A12558">
            <w:pPr>
              <w:tabs>
                <w:tab w:val="left" w:pos="1440"/>
                <w:tab w:val="left" w:pos="4320"/>
              </w:tabs>
              <w:rPr>
                <w:rFonts w:ascii="Times New Roman" w:hAnsi="Times New Roman"/>
              </w:rPr>
            </w:pPr>
            <w:r>
              <w:rPr>
                <w:rFonts w:ascii="Times New Roman" w:hAnsi="Times New Roman"/>
              </w:rPr>
              <w:t>06/24/2009</w:t>
            </w:r>
          </w:p>
        </w:tc>
        <w:tc>
          <w:tcPr>
            <w:tcW w:w="1620" w:type="dxa"/>
          </w:tcPr>
          <w:p w:rsidR="00117B68" w:rsidRDefault="00117B68" w:rsidP="00A12558">
            <w:pPr>
              <w:tabs>
                <w:tab w:val="left" w:pos="1440"/>
                <w:tab w:val="left" w:pos="4320"/>
              </w:tabs>
              <w:rPr>
                <w:rFonts w:ascii="Times New Roman" w:hAnsi="Times New Roman"/>
              </w:rPr>
            </w:pPr>
            <w:r>
              <w:rPr>
                <w:rFonts w:ascii="Times New Roman" w:hAnsi="Times New Roman"/>
              </w:rPr>
              <w:t>Company</w:t>
            </w:r>
          </w:p>
        </w:tc>
        <w:tc>
          <w:tcPr>
            <w:tcW w:w="3978" w:type="dxa"/>
          </w:tcPr>
          <w:p w:rsidR="00117B68" w:rsidRPr="009768FE" w:rsidRDefault="00117B68" w:rsidP="00D11C40">
            <w:pPr>
              <w:pStyle w:val="ListParagraph"/>
              <w:numPr>
                <w:ilvl w:val="0"/>
                <w:numId w:val="15"/>
              </w:numPr>
              <w:tabs>
                <w:tab w:val="left" w:pos="1440"/>
                <w:tab w:val="left" w:pos="4320"/>
              </w:tabs>
              <w:rPr>
                <w:rFonts w:ascii="Times New Roman" w:hAnsi="Times New Roman"/>
                <w:sz w:val="20"/>
                <w:szCs w:val="20"/>
              </w:rPr>
            </w:pPr>
            <w:r w:rsidRPr="009768FE">
              <w:rPr>
                <w:rFonts w:ascii="Times New Roman" w:hAnsi="Times New Roman"/>
                <w:sz w:val="20"/>
                <w:szCs w:val="20"/>
              </w:rPr>
              <w:t>Failure to include statement regarding payment of charges on estimate</w:t>
            </w:r>
          </w:p>
          <w:p w:rsidR="00117B68" w:rsidRPr="009768FE" w:rsidRDefault="00117B68" w:rsidP="00D11C40">
            <w:pPr>
              <w:pStyle w:val="ListParagraph"/>
              <w:numPr>
                <w:ilvl w:val="0"/>
                <w:numId w:val="15"/>
              </w:numPr>
              <w:tabs>
                <w:tab w:val="left" w:pos="1440"/>
                <w:tab w:val="left" w:pos="4320"/>
              </w:tabs>
              <w:rPr>
                <w:rFonts w:ascii="Times New Roman" w:hAnsi="Times New Roman"/>
                <w:sz w:val="20"/>
                <w:szCs w:val="20"/>
              </w:rPr>
            </w:pPr>
            <w:r w:rsidRPr="009768FE">
              <w:rPr>
                <w:rFonts w:ascii="Times New Roman" w:hAnsi="Times New Roman"/>
                <w:sz w:val="20"/>
                <w:szCs w:val="20"/>
              </w:rPr>
              <w:t>Failure to obtain customer’s signature on estimate</w:t>
            </w:r>
          </w:p>
          <w:p w:rsidR="00117B68" w:rsidRPr="009768FE" w:rsidRDefault="00117B68" w:rsidP="00D11C40">
            <w:pPr>
              <w:pStyle w:val="ListParagraph"/>
              <w:numPr>
                <w:ilvl w:val="0"/>
                <w:numId w:val="15"/>
              </w:numPr>
              <w:tabs>
                <w:tab w:val="left" w:pos="1440"/>
                <w:tab w:val="left" w:pos="4320"/>
              </w:tabs>
              <w:rPr>
                <w:rFonts w:ascii="Times New Roman" w:hAnsi="Times New Roman"/>
                <w:sz w:val="20"/>
                <w:szCs w:val="20"/>
              </w:rPr>
            </w:pPr>
            <w:r w:rsidRPr="009768FE">
              <w:rPr>
                <w:rFonts w:ascii="Times New Roman" w:hAnsi="Times New Roman"/>
                <w:sz w:val="20"/>
                <w:szCs w:val="20"/>
              </w:rPr>
              <w:t>Failure to record start, stop and interruption times on bill of lading</w:t>
            </w:r>
          </w:p>
          <w:p w:rsidR="00117B68" w:rsidRPr="009768FE" w:rsidRDefault="00117B68" w:rsidP="00D11C40">
            <w:pPr>
              <w:pStyle w:val="ListParagraph"/>
              <w:numPr>
                <w:ilvl w:val="0"/>
                <w:numId w:val="15"/>
              </w:numPr>
              <w:tabs>
                <w:tab w:val="left" w:pos="1440"/>
                <w:tab w:val="left" w:pos="4320"/>
              </w:tabs>
              <w:rPr>
                <w:rFonts w:ascii="Times New Roman" w:hAnsi="Times New Roman"/>
                <w:sz w:val="20"/>
                <w:szCs w:val="20"/>
              </w:rPr>
            </w:pPr>
            <w:r w:rsidRPr="009768FE">
              <w:rPr>
                <w:rFonts w:ascii="Times New Roman" w:hAnsi="Times New Roman"/>
                <w:sz w:val="20"/>
                <w:szCs w:val="20"/>
              </w:rPr>
              <w:t>Failure to provide customer with information about the commission when the customer filed a claim with the company</w:t>
            </w:r>
          </w:p>
        </w:tc>
      </w:tr>
      <w:tr w:rsidR="00117B68" w:rsidTr="008A29DB">
        <w:tc>
          <w:tcPr>
            <w:tcW w:w="2304" w:type="dxa"/>
          </w:tcPr>
          <w:p w:rsidR="00117B68" w:rsidRDefault="00117B68" w:rsidP="00941968">
            <w:pPr>
              <w:tabs>
                <w:tab w:val="left" w:pos="1440"/>
                <w:tab w:val="left" w:pos="4320"/>
              </w:tabs>
              <w:rPr>
                <w:rFonts w:ascii="Times New Roman" w:hAnsi="Times New Roman"/>
              </w:rPr>
            </w:pPr>
            <w:r>
              <w:rPr>
                <w:rFonts w:ascii="Times New Roman" w:hAnsi="Times New Roman"/>
              </w:rPr>
              <w:t>111001</w:t>
            </w:r>
          </w:p>
        </w:tc>
        <w:tc>
          <w:tcPr>
            <w:tcW w:w="1314" w:type="dxa"/>
          </w:tcPr>
          <w:p w:rsidR="00117B68" w:rsidRDefault="00117B68" w:rsidP="00941968">
            <w:pPr>
              <w:tabs>
                <w:tab w:val="left" w:pos="1440"/>
                <w:tab w:val="left" w:pos="4320"/>
              </w:tabs>
              <w:rPr>
                <w:rFonts w:ascii="Times New Roman" w:hAnsi="Times New Roman"/>
              </w:rPr>
            </w:pPr>
            <w:r>
              <w:rPr>
                <w:rFonts w:ascii="Times New Roman" w:hAnsi="Times New Roman"/>
              </w:rPr>
              <w:t>03/18/2011</w:t>
            </w:r>
          </w:p>
        </w:tc>
        <w:tc>
          <w:tcPr>
            <w:tcW w:w="1620" w:type="dxa"/>
          </w:tcPr>
          <w:p w:rsidR="00117B68" w:rsidRDefault="00117B68" w:rsidP="00941968">
            <w:pPr>
              <w:tabs>
                <w:tab w:val="left" w:pos="1440"/>
                <w:tab w:val="left" w:pos="4320"/>
              </w:tabs>
              <w:rPr>
                <w:rFonts w:ascii="Times New Roman" w:hAnsi="Times New Roman"/>
              </w:rPr>
            </w:pPr>
            <w:r>
              <w:rPr>
                <w:rFonts w:ascii="Times New Roman" w:hAnsi="Times New Roman"/>
              </w:rPr>
              <w:t>Consumer</w:t>
            </w:r>
          </w:p>
        </w:tc>
        <w:tc>
          <w:tcPr>
            <w:tcW w:w="3978" w:type="dxa"/>
          </w:tcPr>
          <w:p w:rsidR="00117B68" w:rsidRPr="00C9753A" w:rsidRDefault="00117B68" w:rsidP="00D11C40">
            <w:pPr>
              <w:pStyle w:val="ListParagraph"/>
              <w:numPr>
                <w:ilvl w:val="0"/>
                <w:numId w:val="16"/>
              </w:numPr>
              <w:tabs>
                <w:tab w:val="left" w:pos="1440"/>
                <w:tab w:val="left" w:pos="4320"/>
              </w:tabs>
              <w:rPr>
                <w:rFonts w:ascii="Times New Roman" w:hAnsi="Times New Roman"/>
                <w:sz w:val="20"/>
                <w:szCs w:val="20"/>
              </w:rPr>
            </w:pPr>
            <w:r w:rsidRPr="00C9753A">
              <w:rPr>
                <w:rFonts w:ascii="Times New Roman" w:hAnsi="Times New Roman"/>
                <w:sz w:val="20"/>
                <w:szCs w:val="20"/>
              </w:rPr>
              <w:t>Failure to retain records for three years, as required</w:t>
            </w:r>
          </w:p>
          <w:p w:rsidR="00117B68" w:rsidRPr="00A31277" w:rsidRDefault="00117B68" w:rsidP="00D11C40">
            <w:pPr>
              <w:pStyle w:val="ListParagraph"/>
              <w:numPr>
                <w:ilvl w:val="0"/>
                <w:numId w:val="16"/>
              </w:numPr>
              <w:tabs>
                <w:tab w:val="left" w:pos="1440"/>
                <w:tab w:val="left" w:pos="4320"/>
              </w:tabs>
              <w:rPr>
                <w:rFonts w:ascii="Times New Roman" w:hAnsi="Times New Roman"/>
                <w:b/>
                <w:i/>
                <w:sz w:val="20"/>
                <w:szCs w:val="20"/>
              </w:rPr>
            </w:pPr>
            <w:r w:rsidRPr="00A31277">
              <w:rPr>
                <w:rFonts w:ascii="Times New Roman" w:hAnsi="Times New Roman"/>
                <w:b/>
                <w:i/>
                <w:sz w:val="20"/>
                <w:szCs w:val="20"/>
              </w:rPr>
              <w:t>Failure to charge tariff rates for containers</w:t>
            </w:r>
          </w:p>
          <w:p w:rsidR="00117B68" w:rsidRPr="00C9753A" w:rsidRDefault="00117B68" w:rsidP="00D11C40">
            <w:pPr>
              <w:pStyle w:val="ListParagraph"/>
              <w:numPr>
                <w:ilvl w:val="0"/>
                <w:numId w:val="16"/>
              </w:numPr>
              <w:tabs>
                <w:tab w:val="left" w:pos="1440"/>
                <w:tab w:val="left" w:pos="4320"/>
              </w:tabs>
              <w:rPr>
                <w:rFonts w:ascii="Times New Roman" w:hAnsi="Times New Roman"/>
                <w:sz w:val="20"/>
                <w:szCs w:val="20"/>
              </w:rPr>
            </w:pPr>
            <w:r w:rsidRPr="00C9753A">
              <w:rPr>
                <w:rFonts w:ascii="Times New Roman" w:hAnsi="Times New Roman"/>
                <w:sz w:val="20"/>
                <w:szCs w:val="20"/>
              </w:rPr>
              <w:t>Failure to charge tariff rates (providing services at no charge)</w:t>
            </w:r>
          </w:p>
          <w:p w:rsidR="00117B68" w:rsidRPr="00C9753A" w:rsidRDefault="00117B68" w:rsidP="00D11C40">
            <w:pPr>
              <w:pStyle w:val="ListParagraph"/>
              <w:numPr>
                <w:ilvl w:val="0"/>
                <w:numId w:val="16"/>
              </w:numPr>
              <w:tabs>
                <w:tab w:val="left" w:pos="1440"/>
                <w:tab w:val="left" w:pos="4320"/>
              </w:tabs>
              <w:rPr>
                <w:rFonts w:ascii="Times New Roman" w:hAnsi="Times New Roman"/>
                <w:sz w:val="20"/>
                <w:szCs w:val="20"/>
              </w:rPr>
            </w:pPr>
            <w:r w:rsidRPr="00C9753A">
              <w:rPr>
                <w:rFonts w:ascii="Times New Roman" w:hAnsi="Times New Roman"/>
                <w:sz w:val="20"/>
                <w:szCs w:val="20"/>
              </w:rPr>
              <w:t>Failure to include company email address on estimate</w:t>
            </w:r>
          </w:p>
          <w:p w:rsidR="00117B68" w:rsidRPr="00C9753A" w:rsidRDefault="00117B68" w:rsidP="00D11C40">
            <w:pPr>
              <w:pStyle w:val="ListParagraph"/>
              <w:numPr>
                <w:ilvl w:val="0"/>
                <w:numId w:val="16"/>
              </w:numPr>
              <w:tabs>
                <w:tab w:val="left" w:pos="1440"/>
                <w:tab w:val="left" w:pos="4320"/>
              </w:tabs>
              <w:rPr>
                <w:rFonts w:ascii="Times New Roman" w:hAnsi="Times New Roman"/>
                <w:sz w:val="20"/>
                <w:szCs w:val="20"/>
              </w:rPr>
            </w:pPr>
            <w:r w:rsidRPr="00C9753A">
              <w:rPr>
                <w:rFonts w:ascii="Times New Roman" w:hAnsi="Times New Roman"/>
                <w:sz w:val="20"/>
                <w:szCs w:val="20"/>
              </w:rPr>
              <w:t>Failure to include space for estimator’s signature</w:t>
            </w:r>
          </w:p>
          <w:p w:rsidR="00117B68" w:rsidRPr="00C9753A" w:rsidRDefault="00117B68" w:rsidP="00D11C40">
            <w:pPr>
              <w:pStyle w:val="ListParagraph"/>
              <w:numPr>
                <w:ilvl w:val="0"/>
                <w:numId w:val="16"/>
              </w:numPr>
              <w:tabs>
                <w:tab w:val="left" w:pos="1440"/>
                <w:tab w:val="left" w:pos="4320"/>
              </w:tabs>
              <w:rPr>
                <w:rFonts w:ascii="Times New Roman" w:hAnsi="Times New Roman"/>
                <w:sz w:val="20"/>
                <w:szCs w:val="20"/>
              </w:rPr>
            </w:pPr>
            <w:r w:rsidRPr="00C9753A">
              <w:rPr>
                <w:rFonts w:ascii="Times New Roman" w:hAnsi="Times New Roman"/>
                <w:sz w:val="20"/>
                <w:szCs w:val="20"/>
              </w:rPr>
              <w:t>Failure to include space for customer to sign to acknowledge receipt of “Your Guide to Moving” on estimate</w:t>
            </w:r>
          </w:p>
          <w:p w:rsidR="00117B68" w:rsidRPr="00C9753A" w:rsidRDefault="00117B68" w:rsidP="00D11C40">
            <w:pPr>
              <w:pStyle w:val="ListParagraph"/>
              <w:numPr>
                <w:ilvl w:val="0"/>
                <w:numId w:val="16"/>
              </w:numPr>
              <w:tabs>
                <w:tab w:val="left" w:pos="1440"/>
                <w:tab w:val="left" w:pos="4320"/>
              </w:tabs>
              <w:rPr>
                <w:rFonts w:ascii="Times New Roman" w:hAnsi="Times New Roman"/>
                <w:sz w:val="20"/>
                <w:szCs w:val="20"/>
              </w:rPr>
            </w:pPr>
            <w:r w:rsidRPr="00C9753A">
              <w:rPr>
                <w:rFonts w:ascii="Times New Roman" w:hAnsi="Times New Roman"/>
                <w:sz w:val="20"/>
                <w:szCs w:val="20"/>
              </w:rPr>
              <w:t>Failure to issue supplemental estimate when required</w:t>
            </w:r>
          </w:p>
          <w:p w:rsidR="00117B68" w:rsidRPr="00C9753A" w:rsidRDefault="00117B68" w:rsidP="00D11C40">
            <w:pPr>
              <w:pStyle w:val="ListParagraph"/>
              <w:numPr>
                <w:ilvl w:val="0"/>
                <w:numId w:val="16"/>
              </w:numPr>
              <w:tabs>
                <w:tab w:val="left" w:pos="1440"/>
                <w:tab w:val="left" w:pos="4320"/>
              </w:tabs>
              <w:rPr>
                <w:rFonts w:ascii="Times New Roman" w:hAnsi="Times New Roman"/>
                <w:sz w:val="20"/>
                <w:szCs w:val="20"/>
              </w:rPr>
            </w:pPr>
            <w:r w:rsidRPr="00C9753A">
              <w:rPr>
                <w:rFonts w:ascii="Times New Roman" w:hAnsi="Times New Roman"/>
                <w:sz w:val="20"/>
                <w:szCs w:val="20"/>
              </w:rPr>
              <w:t>Failure to include company email address on bill of lading</w:t>
            </w:r>
          </w:p>
          <w:p w:rsidR="00117B68" w:rsidRPr="00C9753A" w:rsidRDefault="00117B68" w:rsidP="00D11C40">
            <w:pPr>
              <w:pStyle w:val="ListParagraph"/>
              <w:numPr>
                <w:ilvl w:val="0"/>
                <w:numId w:val="16"/>
              </w:numPr>
              <w:tabs>
                <w:tab w:val="left" w:pos="1440"/>
                <w:tab w:val="left" w:pos="4320"/>
              </w:tabs>
              <w:rPr>
                <w:rFonts w:ascii="Times New Roman" w:hAnsi="Times New Roman"/>
                <w:sz w:val="20"/>
                <w:szCs w:val="20"/>
              </w:rPr>
            </w:pPr>
            <w:r w:rsidRPr="00C9753A">
              <w:rPr>
                <w:rFonts w:ascii="Times New Roman" w:hAnsi="Times New Roman"/>
                <w:sz w:val="20"/>
                <w:szCs w:val="20"/>
              </w:rPr>
              <w:t>Failure to record total hours and hourly rate on bill of lading</w:t>
            </w:r>
          </w:p>
        </w:tc>
      </w:tr>
    </w:tbl>
    <w:p w:rsidR="008A29DB" w:rsidRDefault="008A29DB" w:rsidP="00941968">
      <w:pPr>
        <w:tabs>
          <w:tab w:val="left" w:pos="1440"/>
          <w:tab w:val="left" w:pos="4320"/>
        </w:tabs>
        <w:rPr>
          <w:rFonts w:ascii="Times New Roman" w:hAnsi="Times New Roman"/>
        </w:rPr>
      </w:pPr>
    </w:p>
    <w:p w:rsidR="000F7D58" w:rsidRDefault="000F7D58" w:rsidP="00941968">
      <w:pPr>
        <w:tabs>
          <w:tab w:val="left" w:pos="1440"/>
          <w:tab w:val="left" w:pos="4320"/>
        </w:tabs>
        <w:rPr>
          <w:rFonts w:ascii="Times New Roman" w:hAnsi="Times New Roman"/>
        </w:rPr>
      </w:pPr>
      <w:r>
        <w:rPr>
          <w:rFonts w:ascii="Times New Roman" w:hAnsi="Times New Roman"/>
        </w:rPr>
        <w:t xml:space="preserve">On </w:t>
      </w:r>
      <w:r w:rsidR="00C9753A">
        <w:rPr>
          <w:rFonts w:ascii="Times New Roman" w:hAnsi="Times New Roman"/>
        </w:rPr>
        <w:t xml:space="preserve">November 10, 1998, Lincoln Moving’s permit </w:t>
      </w:r>
      <w:proofErr w:type="gramStart"/>
      <w:r w:rsidR="00C9753A">
        <w:rPr>
          <w:rFonts w:ascii="Times New Roman" w:hAnsi="Times New Roman"/>
        </w:rPr>
        <w:t>was suspended</w:t>
      </w:r>
      <w:proofErr w:type="gramEnd"/>
      <w:r w:rsidR="00C9753A">
        <w:rPr>
          <w:rFonts w:ascii="Times New Roman" w:hAnsi="Times New Roman"/>
        </w:rPr>
        <w:t xml:space="preserve"> for failure to maintain required insurance.</w:t>
      </w:r>
      <w:r>
        <w:rPr>
          <w:rFonts w:ascii="Times New Roman" w:hAnsi="Times New Roman"/>
        </w:rPr>
        <w:t xml:space="preserve"> Proof of insurance </w:t>
      </w:r>
      <w:proofErr w:type="gramStart"/>
      <w:r>
        <w:rPr>
          <w:rFonts w:ascii="Times New Roman" w:hAnsi="Times New Roman"/>
        </w:rPr>
        <w:t>was received</w:t>
      </w:r>
      <w:proofErr w:type="gramEnd"/>
      <w:r>
        <w:rPr>
          <w:rFonts w:ascii="Times New Roman" w:hAnsi="Times New Roman"/>
        </w:rPr>
        <w:t xml:space="preserve"> on </w:t>
      </w:r>
      <w:r w:rsidR="00C9753A">
        <w:rPr>
          <w:rFonts w:ascii="Times New Roman" w:hAnsi="Times New Roman"/>
        </w:rPr>
        <w:t>November 13</w:t>
      </w:r>
      <w:r>
        <w:rPr>
          <w:rFonts w:ascii="Times New Roman" w:hAnsi="Times New Roman"/>
        </w:rPr>
        <w:t xml:space="preserve">, </w:t>
      </w:r>
      <w:r w:rsidR="00C9753A">
        <w:rPr>
          <w:rFonts w:ascii="Times New Roman" w:hAnsi="Times New Roman"/>
        </w:rPr>
        <w:t xml:space="preserve">1998, </w:t>
      </w:r>
      <w:r>
        <w:rPr>
          <w:rFonts w:ascii="Times New Roman" w:hAnsi="Times New Roman"/>
        </w:rPr>
        <w:t xml:space="preserve">and the company’s permit was reinstated. </w:t>
      </w:r>
      <w:r w:rsidR="00C9753A">
        <w:rPr>
          <w:rFonts w:ascii="Times New Roman" w:hAnsi="Times New Roman"/>
        </w:rPr>
        <w:t xml:space="preserve">On June 4, 2002, the company’s permit </w:t>
      </w:r>
      <w:proofErr w:type="gramStart"/>
      <w:r w:rsidR="00C9753A">
        <w:rPr>
          <w:rFonts w:ascii="Times New Roman" w:hAnsi="Times New Roman"/>
        </w:rPr>
        <w:t>was again suspended</w:t>
      </w:r>
      <w:proofErr w:type="gramEnd"/>
      <w:r w:rsidR="00C9753A">
        <w:rPr>
          <w:rFonts w:ascii="Times New Roman" w:hAnsi="Times New Roman"/>
        </w:rPr>
        <w:t xml:space="preserve"> for lack of insurance, and was </w:t>
      </w:r>
      <w:r w:rsidR="002979ED">
        <w:rPr>
          <w:rFonts w:ascii="Times New Roman" w:hAnsi="Times New Roman"/>
        </w:rPr>
        <w:t xml:space="preserve">again </w:t>
      </w:r>
      <w:r w:rsidR="00C9753A">
        <w:rPr>
          <w:rFonts w:ascii="Times New Roman" w:hAnsi="Times New Roman"/>
        </w:rPr>
        <w:t>reinstated on June 6, 2002.</w:t>
      </w:r>
    </w:p>
    <w:p w:rsidR="000F7D58" w:rsidRDefault="000F7D58" w:rsidP="00941968">
      <w:pPr>
        <w:tabs>
          <w:tab w:val="left" w:pos="1440"/>
          <w:tab w:val="left" w:pos="4320"/>
        </w:tabs>
        <w:rPr>
          <w:rFonts w:ascii="Times New Roman" w:hAnsi="Times New Roman"/>
        </w:rPr>
      </w:pPr>
    </w:p>
    <w:p w:rsidR="001D27B2" w:rsidRDefault="001D27B2" w:rsidP="00941968">
      <w:pPr>
        <w:tabs>
          <w:tab w:val="left" w:pos="1440"/>
          <w:tab w:val="left" w:pos="4320"/>
        </w:tabs>
        <w:rPr>
          <w:rFonts w:ascii="Times New Roman" w:hAnsi="Times New Roman"/>
        </w:rPr>
      </w:pPr>
      <w:r>
        <w:rPr>
          <w:rFonts w:ascii="Times New Roman" w:hAnsi="Times New Roman"/>
        </w:rPr>
        <w:t>On January 31, 2006, Lincoln Moving was assessed a $100 penalty in Docket TV-052017 for failure to timely file an annual report for 2004. The company filed</w:t>
      </w:r>
      <w:r w:rsidR="002979ED">
        <w:rPr>
          <w:rFonts w:ascii="Times New Roman" w:hAnsi="Times New Roman"/>
        </w:rPr>
        <w:t xml:space="preserve"> its report on December 8, 2005,</w:t>
      </w:r>
      <w:r>
        <w:rPr>
          <w:rFonts w:ascii="Times New Roman" w:hAnsi="Times New Roman"/>
        </w:rPr>
        <w:t xml:space="preserve"> and paid the penalty in full on February 9, 2006.</w:t>
      </w:r>
    </w:p>
    <w:p w:rsidR="000F7D58" w:rsidRPr="000F7D58" w:rsidRDefault="000F7D58" w:rsidP="000F7D58">
      <w:pPr>
        <w:pStyle w:val="ListParagraph"/>
        <w:tabs>
          <w:tab w:val="left" w:pos="1440"/>
          <w:tab w:val="left" w:pos="4320"/>
        </w:tabs>
        <w:rPr>
          <w:rFonts w:ascii="Times New Roman" w:hAnsi="Times New Roman"/>
        </w:rPr>
      </w:pPr>
    </w:p>
    <w:p w:rsidR="00941968" w:rsidRPr="00890E1B" w:rsidRDefault="00941968" w:rsidP="00941968">
      <w:pPr>
        <w:tabs>
          <w:tab w:val="left" w:pos="1440"/>
          <w:tab w:val="left" w:pos="4320"/>
        </w:tabs>
        <w:rPr>
          <w:rFonts w:ascii="Times New Roman" w:hAnsi="Times New Roman"/>
        </w:rPr>
      </w:pPr>
      <w:r>
        <w:rPr>
          <w:rFonts w:ascii="Times New Roman" w:hAnsi="Times New Roman"/>
        </w:rPr>
        <w:t xml:space="preserve">Revenue for </w:t>
      </w:r>
      <w:r w:rsidR="001D27B2">
        <w:rPr>
          <w:rFonts w:ascii="Times New Roman" w:hAnsi="Times New Roman"/>
        </w:rPr>
        <w:t>Lincoln</w:t>
      </w:r>
      <w:r w:rsidR="00BE5700">
        <w:rPr>
          <w:rFonts w:ascii="Times New Roman" w:hAnsi="Times New Roman"/>
        </w:rPr>
        <w:t xml:space="preserve"> Moving </w:t>
      </w:r>
      <w:r>
        <w:rPr>
          <w:rFonts w:ascii="Times New Roman" w:hAnsi="Times New Roman"/>
        </w:rPr>
        <w:t xml:space="preserve">as reflected in its </w:t>
      </w:r>
      <w:r w:rsidR="00BE5700">
        <w:rPr>
          <w:rFonts w:ascii="Times New Roman" w:hAnsi="Times New Roman"/>
        </w:rPr>
        <w:t xml:space="preserve">most recent </w:t>
      </w:r>
      <w:r w:rsidRPr="00890E1B">
        <w:rPr>
          <w:rFonts w:ascii="Times New Roman" w:hAnsi="Times New Roman"/>
        </w:rPr>
        <w:t>annual reports</w:t>
      </w:r>
      <w:r w:rsidR="00580380">
        <w:rPr>
          <w:rFonts w:ascii="Times New Roman" w:hAnsi="Times New Roman"/>
        </w:rPr>
        <w:t xml:space="preserve"> filed with the commission</w:t>
      </w:r>
      <w:r w:rsidRPr="00890E1B">
        <w:rPr>
          <w:rFonts w:ascii="Times New Roman" w:hAnsi="Times New Roman"/>
        </w:rPr>
        <w:t xml:space="preserve"> </w:t>
      </w:r>
      <w:r>
        <w:rPr>
          <w:rFonts w:ascii="Times New Roman" w:hAnsi="Times New Roman"/>
        </w:rPr>
        <w:t>is as follows:</w:t>
      </w:r>
    </w:p>
    <w:p w:rsidR="00941968" w:rsidRPr="00890E1B" w:rsidRDefault="00941968" w:rsidP="00941968">
      <w:pPr>
        <w:tabs>
          <w:tab w:val="left" w:pos="1440"/>
          <w:tab w:val="left" w:pos="4320"/>
        </w:tabs>
        <w:rPr>
          <w:rFonts w:ascii="Times New Roman" w:hAnsi="Times New Roman"/>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484"/>
        <w:gridCol w:w="2304"/>
      </w:tblGrid>
      <w:tr w:rsidR="00941968" w:rsidRPr="00CA584F" w:rsidTr="00941968">
        <w:tc>
          <w:tcPr>
            <w:tcW w:w="212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Reporting Year</w:t>
            </w:r>
          </w:p>
        </w:tc>
        <w:tc>
          <w:tcPr>
            <w:tcW w:w="248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Date Filed</w:t>
            </w:r>
          </w:p>
        </w:tc>
        <w:tc>
          <w:tcPr>
            <w:tcW w:w="230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Revenue</w:t>
            </w:r>
          </w:p>
        </w:tc>
      </w:tr>
      <w:tr w:rsidR="00941968" w:rsidRPr="00CA584F" w:rsidTr="00941968">
        <w:tc>
          <w:tcPr>
            <w:tcW w:w="2124" w:type="dxa"/>
          </w:tcPr>
          <w:p w:rsidR="00941968" w:rsidRPr="00C545E4" w:rsidRDefault="00941968" w:rsidP="00BE5700">
            <w:pPr>
              <w:tabs>
                <w:tab w:val="left" w:pos="1440"/>
                <w:tab w:val="left" w:pos="4320"/>
              </w:tabs>
              <w:jc w:val="center"/>
              <w:rPr>
                <w:rFonts w:ascii="Times New Roman" w:hAnsi="Times New Roman"/>
              </w:rPr>
            </w:pPr>
            <w:r w:rsidRPr="00C545E4">
              <w:rPr>
                <w:rFonts w:ascii="Times New Roman" w:hAnsi="Times New Roman"/>
              </w:rPr>
              <w:t>200</w:t>
            </w:r>
            <w:r w:rsidR="001D27B2">
              <w:rPr>
                <w:rFonts w:ascii="Times New Roman" w:hAnsi="Times New Roman"/>
              </w:rPr>
              <w:t>8</w:t>
            </w:r>
          </w:p>
        </w:tc>
        <w:tc>
          <w:tcPr>
            <w:tcW w:w="2484" w:type="dxa"/>
          </w:tcPr>
          <w:p w:rsidR="00941968" w:rsidRPr="00C545E4" w:rsidRDefault="00117B68" w:rsidP="00941968">
            <w:pPr>
              <w:tabs>
                <w:tab w:val="left" w:pos="1440"/>
                <w:tab w:val="left" w:pos="4320"/>
              </w:tabs>
              <w:jc w:val="center"/>
              <w:rPr>
                <w:rFonts w:ascii="Times New Roman" w:hAnsi="Times New Roman"/>
              </w:rPr>
            </w:pPr>
            <w:r>
              <w:rPr>
                <w:rFonts w:ascii="Times New Roman" w:hAnsi="Times New Roman"/>
              </w:rPr>
              <w:t>April 3, 2009</w:t>
            </w:r>
          </w:p>
        </w:tc>
        <w:tc>
          <w:tcPr>
            <w:tcW w:w="2304" w:type="dxa"/>
          </w:tcPr>
          <w:p w:rsidR="00941968" w:rsidRPr="00C545E4" w:rsidRDefault="00117B68" w:rsidP="00443255">
            <w:pPr>
              <w:tabs>
                <w:tab w:val="left" w:pos="1440"/>
                <w:tab w:val="left" w:pos="4320"/>
              </w:tabs>
              <w:jc w:val="center"/>
              <w:rPr>
                <w:rFonts w:ascii="Times New Roman" w:hAnsi="Times New Roman"/>
              </w:rPr>
            </w:pPr>
            <w:r>
              <w:rPr>
                <w:rFonts w:ascii="Times New Roman" w:hAnsi="Times New Roman"/>
              </w:rPr>
              <w:t>$638,065</w:t>
            </w:r>
          </w:p>
        </w:tc>
      </w:tr>
      <w:tr w:rsidR="00941968" w:rsidRPr="00CA584F" w:rsidTr="00941968">
        <w:tc>
          <w:tcPr>
            <w:tcW w:w="2124" w:type="dxa"/>
          </w:tcPr>
          <w:p w:rsidR="00941968" w:rsidRPr="00A42A8D" w:rsidRDefault="00941968" w:rsidP="00BE5700">
            <w:pPr>
              <w:tabs>
                <w:tab w:val="left" w:pos="1440"/>
                <w:tab w:val="left" w:pos="4320"/>
              </w:tabs>
              <w:jc w:val="center"/>
              <w:rPr>
                <w:rFonts w:ascii="Times New Roman" w:hAnsi="Times New Roman"/>
                <w:highlight w:val="yellow"/>
              </w:rPr>
            </w:pPr>
            <w:r w:rsidRPr="0093235F">
              <w:rPr>
                <w:rFonts w:ascii="Times New Roman" w:hAnsi="Times New Roman"/>
              </w:rPr>
              <w:t>20</w:t>
            </w:r>
            <w:r w:rsidR="001D27B2">
              <w:rPr>
                <w:rFonts w:ascii="Times New Roman" w:hAnsi="Times New Roman"/>
              </w:rPr>
              <w:t>09</w:t>
            </w:r>
          </w:p>
        </w:tc>
        <w:tc>
          <w:tcPr>
            <w:tcW w:w="2484" w:type="dxa"/>
          </w:tcPr>
          <w:p w:rsidR="00941968" w:rsidRPr="00C545E4" w:rsidRDefault="00117B68" w:rsidP="00941968">
            <w:pPr>
              <w:tabs>
                <w:tab w:val="left" w:pos="1440"/>
                <w:tab w:val="left" w:pos="4320"/>
              </w:tabs>
              <w:jc w:val="center"/>
              <w:rPr>
                <w:rFonts w:ascii="Times New Roman" w:hAnsi="Times New Roman"/>
              </w:rPr>
            </w:pPr>
            <w:r>
              <w:rPr>
                <w:rFonts w:ascii="Times New Roman" w:hAnsi="Times New Roman"/>
              </w:rPr>
              <w:t>May 6, 2010</w:t>
            </w:r>
          </w:p>
        </w:tc>
        <w:tc>
          <w:tcPr>
            <w:tcW w:w="2304" w:type="dxa"/>
          </w:tcPr>
          <w:p w:rsidR="00941968" w:rsidRPr="00A42A8D" w:rsidRDefault="00117B68" w:rsidP="00443255">
            <w:pPr>
              <w:tabs>
                <w:tab w:val="left" w:pos="1440"/>
                <w:tab w:val="left" w:pos="4320"/>
              </w:tabs>
              <w:jc w:val="center"/>
              <w:rPr>
                <w:rFonts w:ascii="Times New Roman" w:hAnsi="Times New Roman"/>
                <w:highlight w:val="yellow"/>
              </w:rPr>
            </w:pPr>
            <w:r w:rsidRPr="00117B68">
              <w:rPr>
                <w:rFonts w:ascii="Times New Roman" w:hAnsi="Times New Roman"/>
              </w:rPr>
              <w:t>$421,388</w:t>
            </w:r>
          </w:p>
        </w:tc>
      </w:tr>
      <w:tr w:rsidR="00941968" w:rsidRPr="00CA584F" w:rsidTr="00941968">
        <w:tc>
          <w:tcPr>
            <w:tcW w:w="2124" w:type="dxa"/>
          </w:tcPr>
          <w:p w:rsidR="00941968" w:rsidRPr="00C545E4" w:rsidRDefault="001D27B2" w:rsidP="00BE5700">
            <w:pPr>
              <w:tabs>
                <w:tab w:val="left" w:pos="1440"/>
                <w:tab w:val="left" w:pos="4320"/>
              </w:tabs>
              <w:jc w:val="center"/>
              <w:rPr>
                <w:rFonts w:ascii="Times New Roman" w:hAnsi="Times New Roman"/>
              </w:rPr>
            </w:pPr>
            <w:r>
              <w:rPr>
                <w:rFonts w:ascii="Times New Roman" w:hAnsi="Times New Roman"/>
              </w:rPr>
              <w:t>2010</w:t>
            </w:r>
          </w:p>
        </w:tc>
        <w:tc>
          <w:tcPr>
            <w:tcW w:w="2484" w:type="dxa"/>
          </w:tcPr>
          <w:p w:rsidR="00941968" w:rsidRPr="00C545E4" w:rsidRDefault="00117B68" w:rsidP="00941968">
            <w:pPr>
              <w:tabs>
                <w:tab w:val="left" w:pos="1440"/>
                <w:tab w:val="left" w:pos="4320"/>
              </w:tabs>
              <w:jc w:val="center"/>
              <w:rPr>
                <w:rFonts w:ascii="Times New Roman" w:hAnsi="Times New Roman"/>
              </w:rPr>
            </w:pPr>
            <w:r>
              <w:rPr>
                <w:rFonts w:ascii="Times New Roman" w:hAnsi="Times New Roman"/>
              </w:rPr>
              <w:t>May 2, 2011</w:t>
            </w:r>
          </w:p>
        </w:tc>
        <w:tc>
          <w:tcPr>
            <w:tcW w:w="2304" w:type="dxa"/>
          </w:tcPr>
          <w:p w:rsidR="00941968" w:rsidRPr="00C545E4" w:rsidRDefault="00117B68" w:rsidP="005E07BA">
            <w:pPr>
              <w:tabs>
                <w:tab w:val="left" w:pos="1440"/>
                <w:tab w:val="left" w:pos="4320"/>
              </w:tabs>
              <w:jc w:val="center"/>
              <w:rPr>
                <w:rFonts w:ascii="Times New Roman" w:hAnsi="Times New Roman"/>
              </w:rPr>
            </w:pPr>
            <w:r>
              <w:rPr>
                <w:rFonts w:ascii="Times New Roman" w:hAnsi="Times New Roman"/>
              </w:rPr>
              <w:t>$806,575</w:t>
            </w:r>
          </w:p>
        </w:tc>
      </w:tr>
    </w:tbl>
    <w:p w:rsidR="00941968" w:rsidRDefault="00941968" w:rsidP="00B107B7">
      <w:pPr>
        <w:rPr>
          <w:rFonts w:ascii="Times New Roman" w:hAnsi="Times New Roman"/>
        </w:rPr>
      </w:pPr>
    </w:p>
    <w:p w:rsidR="004A5F4D" w:rsidRDefault="004A5F4D" w:rsidP="004A5F4D">
      <w:pPr>
        <w:rPr>
          <w:rFonts w:ascii="Times New Roman" w:hAnsi="Times New Roman"/>
          <w:b/>
          <w:color w:val="000000"/>
        </w:rPr>
      </w:pPr>
      <w:r>
        <w:rPr>
          <w:rFonts w:ascii="Times New Roman" w:hAnsi="Times New Roman"/>
          <w:b/>
          <w:color w:val="000000"/>
        </w:rPr>
        <w:lastRenderedPageBreak/>
        <w:t>Household Goods Carrier Training</w:t>
      </w:r>
    </w:p>
    <w:p w:rsidR="004A5F4D" w:rsidRPr="009B3B83" w:rsidRDefault="004A5F4D" w:rsidP="004A5F4D">
      <w:pPr>
        <w:tabs>
          <w:tab w:val="left" w:pos="2880"/>
          <w:tab w:val="left" w:pos="3060"/>
          <w:tab w:val="left" w:pos="4320"/>
        </w:tabs>
        <w:autoSpaceDE w:val="0"/>
        <w:autoSpaceDN w:val="0"/>
        <w:adjustRightInd w:val="0"/>
        <w:spacing w:line="240" w:lineRule="atLeast"/>
        <w:rPr>
          <w:rFonts w:ascii="Times New Roman" w:hAnsi="Times New Roman"/>
        </w:rPr>
      </w:pPr>
      <w:r>
        <w:rPr>
          <w:rFonts w:ascii="Times New Roman" w:hAnsi="Times New Roman"/>
        </w:rPr>
        <w:t xml:space="preserve">In 2008, the commission made significant changes </w:t>
      </w:r>
      <w:r w:rsidRPr="009B3B83">
        <w:rPr>
          <w:rFonts w:ascii="Times New Roman" w:hAnsi="Times New Roman"/>
        </w:rPr>
        <w:t>to the way household goods carriers are required to provide services and bill</w:t>
      </w:r>
      <w:r>
        <w:rPr>
          <w:rFonts w:ascii="Times New Roman" w:hAnsi="Times New Roman"/>
        </w:rPr>
        <w:t xml:space="preserve"> their customers in both </w:t>
      </w:r>
      <w:r w:rsidRPr="009B3B83">
        <w:rPr>
          <w:rFonts w:ascii="Times New Roman" w:hAnsi="Times New Roman"/>
        </w:rPr>
        <w:t xml:space="preserve">the rules and </w:t>
      </w:r>
      <w:r>
        <w:rPr>
          <w:rFonts w:ascii="Times New Roman" w:hAnsi="Times New Roman"/>
        </w:rPr>
        <w:t xml:space="preserve">the </w:t>
      </w:r>
      <w:r w:rsidRPr="009B3B83">
        <w:rPr>
          <w:rFonts w:ascii="Times New Roman" w:hAnsi="Times New Roman"/>
        </w:rPr>
        <w:t>tariff</w:t>
      </w:r>
      <w:r>
        <w:rPr>
          <w:rFonts w:ascii="Times New Roman" w:hAnsi="Times New Roman"/>
        </w:rPr>
        <w:t xml:space="preserve">. </w:t>
      </w:r>
    </w:p>
    <w:p w:rsidR="004A5F4D" w:rsidRDefault="004A5F4D" w:rsidP="004A5F4D">
      <w:pPr>
        <w:tabs>
          <w:tab w:val="left" w:pos="2880"/>
          <w:tab w:val="left" w:pos="3060"/>
          <w:tab w:val="left" w:pos="4320"/>
        </w:tabs>
        <w:autoSpaceDE w:val="0"/>
        <w:autoSpaceDN w:val="0"/>
        <w:adjustRightInd w:val="0"/>
        <w:spacing w:line="240" w:lineRule="atLeast"/>
        <w:rPr>
          <w:rFonts w:ascii="Times New Roman" w:hAnsi="Times New Roman"/>
        </w:rPr>
      </w:pPr>
      <w:r w:rsidRPr="009B3B83">
        <w:rPr>
          <w:rFonts w:ascii="Times New Roman" w:hAnsi="Times New Roman"/>
        </w:rPr>
        <w:t xml:space="preserve">To assist </w:t>
      </w:r>
      <w:r>
        <w:rPr>
          <w:rFonts w:ascii="Times New Roman" w:hAnsi="Times New Roman"/>
        </w:rPr>
        <w:t>permitted</w:t>
      </w:r>
      <w:r w:rsidRPr="009B3B83">
        <w:rPr>
          <w:rFonts w:ascii="Times New Roman" w:hAnsi="Times New Roman"/>
        </w:rPr>
        <w:t xml:space="preserve"> companies </w:t>
      </w:r>
      <w:r>
        <w:rPr>
          <w:rFonts w:ascii="Times New Roman" w:hAnsi="Times New Roman"/>
        </w:rPr>
        <w:t>with</w:t>
      </w:r>
      <w:r w:rsidRPr="009B3B83">
        <w:rPr>
          <w:rFonts w:ascii="Times New Roman" w:hAnsi="Times New Roman"/>
        </w:rPr>
        <w:t xml:space="preserve"> understanding </w:t>
      </w:r>
      <w:r>
        <w:rPr>
          <w:rFonts w:ascii="Times New Roman" w:hAnsi="Times New Roman"/>
        </w:rPr>
        <w:t xml:space="preserve">and implementing </w:t>
      </w:r>
      <w:r w:rsidRPr="009B3B83">
        <w:rPr>
          <w:rFonts w:ascii="Times New Roman" w:hAnsi="Times New Roman"/>
        </w:rPr>
        <w:t xml:space="preserve">these changes, the commission </w:t>
      </w:r>
      <w:r>
        <w:rPr>
          <w:rFonts w:ascii="Times New Roman" w:hAnsi="Times New Roman"/>
        </w:rPr>
        <w:t>began providing</w:t>
      </w:r>
      <w:r w:rsidRPr="009B3B83">
        <w:rPr>
          <w:rFonts w:ascii="Times New Roman" w:hAnsi="Times New Roman"/>
        </w:rPr>
        <w:t xml:space="preserve"> rule and tariff training sessions for all interested parties</w:t>
      </w:r>
      <w:r>
        <w:rPr>
          <w:rFonts w:ascii="Times New Roman" w:hAnsi="Times New Roman"/>
        </w:rPr>
        <w:t xml:space="preserve">. The commission continues to provide this training to permitted companies, as well as new entrants, on a quarterly basis. </w:t>
      </w:r>
      <w:r w:rsidR="006046FB">
        <w:rPr>
          <w:rFonts w:ascii="Times New Roman" w:hAnsi="Times New Roman"/>
        </w:rPr>
        <w:t xml:space="preserve">Neither Mr. </w:t>
      </w:r>
      <w:proofErr w:type="spellStart"/>
      <w:r w:rsidR="006046FB">
        <w:rPr>
          <w:rFonts w:ascii="Times New Roman" w:hAnsi="Times New Roman"/>
        </w:rPr>
        <w:t>DiJulio</w:t>
      </w:r>
      <w:proofErr w:type="spellEnd"/>
      <w:r w:rsidR="006046FB">
        <w:rPr>
          <w:rFonts w:ascii="Times New Roman" w:hAnsi="Times New Roman"/>
        </w:rPr>
        <w:t xml:space="preserve"> nor any of Lincoln Moving’s employees or representatives has attended household goods training.</w:t>
      </w:r>
      <w:r w:rsidRPr="009B3B83">
        <w:rPr>
          <w:rFonts w:ascii="Times New Roman" w:hAnsi="Times New Roman"/>
        </w:rPr>
        <w:t xml:space="preserve"> </w:t>
      </w:r>
    </w:p>
    <w:p w:rsidR="004A5F4D" w:rsidRDefault="004A5F4D" w:rsidP="005C4458">
      <w:pPr>
        <w:tabs>
          <w:tab w:val="left" w:pos="1440"/>
          <w:tab w:val="left" w:pos="4320"/>
        </w:tabs>
        <w:rPr>
          <w:rFonts w:ascii="Times New Roman" w:hAnsi="Times New Roman"/>
          <w:b/>
        </w:rPr>
      </w:pPr>
    </w:p>
    <w:p w:rsidR="00D33056" w:rsidRPr="00890E1B" w:rsidRDefault="00B107B7" w:rsidP="005C4458">
      <w:pPr>
        <w:tabs>
          <w:tab w:val="left" w:pos="1440"/>
          <w:tab w:val="left" w:pos="4320"/>
        </w:tabs>
        <w:rPr>
          <w:rFonts w:ascii="Times New Roman" w:hAnsi="Times New Roman"/>
          <w:b/>
        </w:rPr>
      </w:pPr>
      <w:r>
        <w:rPr>
          <w:rFonts w:ascii="Times New Roman" w:hAnsi="Times New Roman"/>
          <w:b/>
        </w:rPr>
        <w:t>Investigation</w:t>
      </w:r>
    </w:p>
    <w:p w:rsidR="005D13BE" w:rsidRDefault="00225B36">
      <w:pPr>
        <w:rPr>
          <w:rFonts w:ascii="Times New Roman" w:hAnsi="Times New Roman"/>
        </w:rPr>
      </w:pPr>
      <w:r>
        <w:rPr>
          <w:rFonts w:ascii="Times New Roman" w:hAnsi="Times New Roman"/>
        </w:rPr>
        <w:t xml:space="preserve">Staff </w:t>
      </w:r>
      <w:r w:rsidR="00C12180">
        <w:rPr>
          <w:rFonts w:ascii="Times New Roman" w:hAnsi="Times New Roman"/>
        </w:rPr>
        <w:t xml:space="preserve">initiated this investigation into the business practices of </w:t>
      </w:r>
      <w:r w:rsidR="00117B68">
        <w:rPr>
          <w:rFonts w:ascii="Times New Roman" w:hAnsi="Times New Roman"/>
        </w:rPr>
        <w:t>Lincoln</w:t>
      </w:r>
      <w:r w:rsidR="00A42A8D">
        <w:rPr>
          <w:rFonts w:ascii="Times New Roman" w:hAnsi="Times New Roman"/>
        </w:rPr>
        <w:t xml:space="preserve"> Moving</w:t>
      </w:r>
      <w:r w:rsidR="005C4458" w:rsidRPr="00890E1B">
        <w:rPr>
          <w:rFonts w:ascii="Times New Roman" w:hAnsi="Times New Roman"/>
        </w:rPr>
        <w:t xml:space="preserve"> </w:t>
      </w:r>
      <w:r w:rsidR="007464ED">
        <w:rPr>
          <w:rFonts w:ascii="Times New Roman" w:hAnsi="Times New Roman"/>
        </w:rPr>
        <w:t xml:space="preserve">based on </w:t>
      </w:r>
      <w:r w:rsidR="002979ED">
        <w:rPr>
          <w:rFonts w:ascii="Times New Roman" w:hAnsi="Times New Roman"/>
        </w:rPr>
        <w:t xml:space="preserve">Consumer Complaint 111001, which cited 23 violations of commission rules and Tariff </w:t>
      </w:r>
    </w:p>
    <w:p w:rsidR="00D33056" w:rsidRPr="00890E1B" w:rsidRDefault="002979ED">
      <w:pPr>
        <w:rPr>
          <w:rFonts w:ascii="Times New Roman" w:hAnsi="Times New Roman"/>
        </w:rPr>
      </w:pPr>
      <w:proofErr w:type="gramStart"/>
      <w:r>
        <w:rPr>
          <w:rFonts w:ascii="Times New Roman" w:hAnsi="Times New Roman"/>
        </w:rPr>
        <w:t>15-C.</w:t>
      </w:r>
      <w:proofErr w:type="gramEnd"/>
    </w:p>
    <w:p w:rsidR="00D33056" w:rsidRPr="00890E1B" w:rsidRDefault="00D33056">
      <w:pPr>
        <w:pStyle w:val="Heading1"/>
      </w:pPr>
    </w:p>
    <w:p w:rsidR="00D33056" w:rsidRPr="00890E1B" w:rsidRDefault="00D33056">
      <w:pPr>
        <w:rPr>
          <w:rFonts w:ascii="Times New Roman" w:hAnsi="Times New Roman"/>
        </w:rPr>
      </w:pPr>
    </w:p>
    <w:p w:rsidR="00D33056" w:rsidRPr="00890E1B" w:rsidRDefault="00D33056">
      <w:pPr>
        <w:rPr>
          <w:rFonts w:ascii="Times New Roman" w:hAnsi="Times New Roman"/>
        </w:rPr>
      </w:pPr>
    </w:p>
    <w:p w:rsidR="00C45C2B" w:rsidRDefault="00C45C2B">
      <w:pPr>
        <w:rPr>
          <w:rFonts w:ascii="Times New Roman" w:hAnsi="Times New Roman"/>
          <w:b/>
          <w:bCs/>
        </w:rPr>
      </w:pPr>
      <w:r>
        <w:br w:type="page"/>
      </w:r>
    </w:p>
    <w:p w:rsidR="00D33056" w:rsidRPr="00C45C2B" w:rsidRDefault="00657D79" w:rsidP="00735B66">
      <w:pPr>
        <w:pStyle w:val="Heading1"/>
        <w:jc w:val="center"/>
        <w:rPr>
          <w:sz w:val="28"/>
          <w:szCs w:val="28"/>
        </w:rPr>
      </w:pPr>
      <w:r>
        <w:rPr>
          <w:sz w:val="28"/>
          <w:szCs w:val="28"/>
        </w:rPr>
        <w:lastRenderedPageBreak/>
        <w:t>INVESTIGATION</w:t>
      </w:r>
    </w:p>
    <w:p w:rsidR="00D12DD6" w:rsidRPr="00890E1B" w:rsidRDefault="00D12DD6" w:rsidP="008B1AB3">
      <w:pPr>
        <w:pStyle w:val="Heading2"/>
        <w:jc w:val="left"/>
        <w:rPr>
          <w:rFonts w:ascii="Times New Roman" w:hAnsi="Times New Roman"/>
        </w:rPr>
      </w:pPr>
    </w:p>
    <w:p w:rsidR="00D33056" w:rsidRPr="00890E1B" w:rsidRDefault="00816C90" w:rsidP="008B1AB3">
      <w:pPr>
        <w:pStyle w:val="Heading2"/>
        <w:jc w:val="left"/>
        <w:rPr>
          <w:rFonts w:ascii="Times New Roman" w:hAnsi="Times New Roman"/>
        </w:rPr>
      </w:pPr>
      <w:r w:rsidRPr="00890E1B">
        <w:rPr>
          <w:rFonts w:ascii="Times New Roman" w:hAnsi="Times New Roman"/>
        </w:rPr>
        <w:t xml:space="preserve">Data </w:t>
      </w:r>
      <w:r w:rsidRPr="00890E1B">
        <w:rPr>
          <w:rFonts w:ascii="Times New Roman" w:hAnsi="Times New Roman"/>
          <w:lang w:val="en-US"/>
        </w:rPr>
        <w:t>Request</w:t>
      </w:r>
    </w:p>
    <w:p w:rsidR="00D33056" w:rsidRPr="00890E1B" w:rsidRDefault="00D33056" w:rsidP="008B1AB3">
      <w:pPr>
        <w:pStyle w:val="Heading2"/>
        <w:jc w:val="left"/>
        <w:rPr>
          <w:rFonts w:ascii="Times New Roman" w:hAnsi="Times New Roman"/>
          <w:b w:val="0"/>
        </w:rPr>
      </w:pPr>
      <w:r w:rsidRPr="00890E1B">
        <w:rPr>
          <w:rFonts w:ascii="Times New Roman" w:hAnsi="Times New Roman"/>
          <w:b w:val="0"/>
        </w:rPr>
        <w:t xml:space="preserve">On </w:t>
      </w:r>
      <w:r w:rsidR="00117B68">
        <w:rPr>
          <w:rFonts w:ascii="Times New Roman" w:hAnsi="Times New Roman"/>
          <w:b w:val="0"/>
          <w:lang w:val="en-US"/>
        </w:rPr>
        <w:t>May 20, 2011</w:t>
      </w:r>
      <w:r w:rsidR="00C45C2B">
        <w:rPr>
          <w:rFonts w:ascii="Times New Roman" w:hAnsi="Times New Roman"/>
          <w:b w:val="0"/>
        </w:rPr>
        <w:t xml:space="preserve">, </w:t>
      </w:r>
      <w:r w:rsidR="00346839">
        <w:rPr>
          <w:rFonts w:ascii="Times New Roman" w:hAnsi="Times New Roman"/>
          <w:b w:val="0"/>
        </w:rPr>
        <w:t>staff</w:t>
      </w:r>
      <w:r w:rsidR="003C64C2" w:rsidRPr="00890E1B">
        <w:rPr>
          <w:rFonts w:ascii="Times New Roman" w:hAnsi="Times New Roman"/>
          <w:b w:val="0"/>
        </w:rPr>
        <w:t xml:space="preserve"> </w:t>
      </w:r>
      <w:r w:rsidRPr="00890E1B">
        <w:rPr>
          <w:rFonts w:ascii="Times New Roman" w:hAnsi="Times New Roman"/>
          <w:b w:val="0"/>
          <w:lang w:val="en-US"/>
        </w:rPr>
        <w:t>request</w:t>
      </w:r>
      <w:r w:rsidR="00657D79">
        <w:rPr>
          <w:rFonts w:ascii="Times New Roman" w:hAnsi="Times New Roman"/>
          <w:b w:val="0"/>
          <w:lang w:val="en-US"/>
        </w:rPr>
        <w:t>ed</w:t>
      </w:r>
      <w:r w:rsidRPr="00890E1B">
        <w:rPr>
          <w:rFonts w:ascii="Times New Roman" w:hAnsi="Times New Roman"/>
          <w:b w:val="0"/>
        </w:rPr>
        <w:t xml:space="preserve"> </w:t>
      </w:r>
      <w:r w:rsidR="00657D79">
        <w:rPr>
          <w:rFonts w:ascii="Times New Roman" w:hAnsi="Times New Roman"/>
          <w:b w:val="0"/>
          <w:lang w:val="en-US"/>
        </w:rPr>
        <w:t>the following</w:t>
      </w:r>
      <w:r w:rsidRPr="00890E1B">
        <w:rPr>
          <w:rFonts w:ascii="Times New Roman" w:hAnsi="Times New Roman"/>
          <w:b w:val="0"/>
        </w:rPr>
        <w:t xml:space="preserve"> records and information </w:t>
      </w:r>
      <w:r w:rsidR="00657D79" w:rsidRPr="00657D79">
        <w:rPr>
          <w:rFonts w:ascii="Times New Roman" w:hAnsi="Times New Roman"/>
          <w:b w:val="0"/>
          <w:lang w:val="en-US"/>
        </w:rPr>
        <w:t>from</w:t>
      </w:r>
      <w:r w:rsidR="0087471E">
        <w:rPr>
          <w:rFonts w:ascii="Times New Roman" w:hAnsi="Times New Roman"/>
          <w:b w:val="0"/>
        </w:rPr>
        <w:t xml:space="preserve"> </w:t>
      </w:r>
      <w:r w:rsidR="00117B68">
        <w:rPr>
          <w:rFonts w:ascii="Times New Roman" w:hAnsi="Times New Roman"/>
          <w:b w:val="0"/>
        </w:rPr>
        <w:t>Lincoln</w:t>
      </w:r>
      <w:r w:rsidR="00A42A8D">
        <w:rPr>
          <w:rFonts w:ascii="Times New Roman" w:hAnsi="Times New Roman"/>
          <w:b w:val="0"/>
        </w:rPr>
        <w:t xml:space="preserve"> </w:t>
      </w:r>
      <w:proofErr w:type="spellStart"/>
      <w:r w:rsidR="00A42A8D">
        <w:rPr>
          <w:rFonts w:ascii="Times New Roman" w:hAnsi="Times New Roman"/>
          <w:b w:val="0"/>
        </w:rPr>
        <w:t>Moving</w:t>
      </w:r>
      <w:proofErr w:type="spellEnd"/>
      <w:r w:rsidR="00657D79">
        <w:rPr>
          <w:rFonts w:ascii="Times New Roman" w:hAnsi="Times New Roman"/>
          <w:b w:val="0"/>
        </w:rPr>
        <w:t>:</w:t>
      </w:r>
    </w:p>
    <w:p w:rsidR="007464ED" w:rsidRPr="00987205" w:rsidRDefault="007464ED" w:rsidP="007464ED">
      <w:pPr>
        <w:pStyle w:val="BodyText"/>
        <w:ind w:left="360"/>
      </w:pPr>
    </w:p>
    <w:p w:rsidR="00A42A8D" w:rsidRPr="00987205" w:rsidRDefault="00A42A8D" w:rsidP="00A42A8D">
      <w:pPr>
        <w:pStyle w:val="BodyText"/>
        <w:numPr>
          <w:ilvl w:val="0"/>
          <w:numId w:val="2"/>
        </w:numPr>
        <w:tabs>
          <w:tab w:val="clear" w:pos="810"/>
          <w:tab w:val="num" w:pos="720"/>
        </w:tabs>
        <w:ind w:left="720"/>
      </w:pPr>
      <w:r>
        <w:t xml:space="preserve">For </w:t>
      </w:r>
      <w:r w:rsidR="00117B68">
        <w:t xml:space="preserve">the first 60 residential moves </w:t>
      </w:r>
      <w:r w:rsidRPr="00987205">
        <w:t xml:space="preserve">performed </w:t>
      </w:r>
      <w:r w:rsidRPr="00117B68">
        <w:rPr>
          <w:b/>
          <w:u w:val="single"/>
        </w:rPr>
        <w:t>within the state of Washington</w:t>
      </w:r>
      <w:r>
        <w:t xml:space="preserve"> from </w:t>
      </w:r>
      <w:r w:rsidR="00117B68">
        <w:t>January 1, 2011</w:t>
      </w:r>
      <w:r w:rsidRPr="00987205">
        <w:t xml:space="preserve">, please provide all supporting documents related to each customer’s move, including, but not limited to, the bill of lading, estimate, supplemental estimate, </w:t>
      </w:r>
      <w:r>
        <w:t xml:space="preserve">inventory records, weight slips, </w:t>
      </w:r>
      <w:r w:rsidRPr="00987205">
        <w:t>document</w:t>
      </w:r>
      <w:r>
        <w:t xml:space="preserve">s related to temporary storage </w:t>
      </w:r>
      <w:r w:rsidR="00117B68">
        <w:t>of the goods, and all documents related to any ancillary agreements or contracts with other businesses to conduct each move.</w:t>
      </w:r>
      <w:r>
        <w:t xml:space="preserve">  </w:t>
      </w:r>
    </w:p>
    <w:p w:rsidR="00A42A8D" w:rsidRPr="00987205" w:rsidRDefault="00A42A8D" w:rsidP="00A42A8D">
      <w:pPr>
        <w:pStyle w:val="BodyText"/>
      </w:pPr>
    </w:p>
    <w:p w:rsidR="00A42A8D" w:rsidRDefault="00A42A8D" w:rsidP="00A42A8D">
      <w:pPr>
        <w:pStyle w:val="BodyText"/>
        <w:numPr>
          <w:ilvl w:val="0"/>
          <w:numId w:val="2"/>
        </w:numPr>
        <w:tabs>
          <w:tab w:val="clear" w:pos="810"/>
          <w:tab w:val="left" w:pos="0"/>
          <w:tab w:val="num" w:pos="720"/>
        </w:tabs>
        <w:ind w:left="720"/>
      </w:pPr>
      <w:r w:rsidRPr="00987205">
        <w:t xml:space="preserve">A copy of the company’s </w:t>
      </w:r>
      <w:r>
        <w:t xml:space="preserve">customer </w:t>
      </w:r>
      <w:r w:rsidRPr="00987205">
        <w:t>complaint and claims register, listing all compl</w:t>
      </w:r>
      <w:r>
        <w:t xml:space="preserve">aints and claims received from </w:t>
      </w:r>
      <w:r w:rsidR="00117B68">
        <w:t>November</w:t>
      </w:r>
      <w:r>
        <w:t xml:space="preserve"> 1, 2010, through </w:t>
      </w:r>
      <w:r w:rsidR="00117B68">
        <w:t>April 30, 2011</w:t>
      </w:r>
      <w:r w:rsidRPr="00987205">
        <w:t xml:space="preserve">, </w:t>
      </w:r>
      <w:r>
        <w:t xml:space="preserve">and </w:t>
      </w:r>
      <w:r w:rsidRPr="00987205">
        <w:t>including all documents related to each complaint and claim</w:t>
      </w:r>
      <w:r>
        <w:t>.</w:t>
      </w:r>
    </w:p>
    <w:p w:rsidR="007464ED" w:rsidRDefault="007464ED" w:rsidP="007464ED">
      <w:pPr>
        <w:pStyle w:val="ListParagraph"/>
      </w:pPr>
    </w:p>
    <w:p w:rsidR="009E1F37" w:rsidRDefault="00C14DE3">
      <w:pPr>
        <w:rPr>
          <w:rFonts w:ascii="Times New Roman" w:hAnsi="Times New Roman"/>
          <w:color w:val="000000"/>
        </w:rPr>
      </w:pPr>
      <w:r>
        <w:rPr>
          <w:rFonts w:ascii="Times New Roman" w:hAnsi="Times New Roman"/>
          <w:color w:val="000000"/>
        </w:rPr>
        <w:t xml:space="preserve">A copy of the data request </w:t>
      </w:r>
      <w:proofErr w:type="gramStart"/>
      <w:r>
        <w:rPr>
          <w:rFonts w:ascii="Times New Roman" w:hAnsi="Times New Roman"/>
          <w:color w:val="000000"/>
        </w:rPr>
        <w:t>is attached</w:t>
      </w:r>
      <w:proofErr w:type="gramEnd"/>
      <w:r>
        <w:rPr>
          <w:rFonts w:ascii="Times New Roman" w:hAnsi="Times New Roman"/>
          <w:color w:val="000000"/>
        </w:rPr>
        <w:t xml:space="preserve"> as Appendix </w:t>
      </w:r>
      <w:r w:rsidR="00A42A8D">
        <w:rPr>
          <w:rFonts w:ascii="Times New Roman" w:hAnsi="Times New Roman"/>
          <w:color w:val="000000"/>
        </w:rPr>
        <w:t>A</w:t>
      </w:r>
      <w:r>
        <w:rPr>
          <w:rFonts w:ascii="Times New Roman" w:hAnsi="Times New Roman"/>
          <w:color w:val="000000"/>
        </w:rPr>
        <w:t xml:space="preserve">. </w:t>
      </w:r>
    </w:p>
    <w:p w:rsidR="009E1F37" w:rsidRDefault="009E1F37">
      <w:pPr>
        <w:rPr>
          <w:rFonts w:ascii="Times New Roman" w:hAnsi="Times New Roman"/>
          <w:color w:val="000000"/>
        </w:rPr>
      </w:pPr>
    </w:p>
    <w:p w:rsidR="007B63FB" w:rsidRDefault="007B63FB">
      <w:pPr>
        <w:rPr>
          <w:rFonts w:ascii="Times New Roman" w:hAnsi="Times New Roman"/>
          <w:color w:val="000000"/>
        </w:rPr>
      </w:pPr>
      <w:r>
        <w:rPr>
          <w:rFonts w:ascii="Times New Roman" w:hAnsi="Times New Roman"/>
          <w:color w:val="000000"/>
        </w:rPr>
        <w:t xml:space="preserve">Staff requested a response from </w:t>
      </w:r>
      <w:r w:rsidR="008867AE">
        <w:rPr>
          <w:rFonts w:ascii="Times New Roman" w:hAnsi="Times New Roman"/>
          <w:color w:val="000000"/>
        </w:rPr>
        <w:t xml:space="preserve">Lincoln </w:t>
      </w:r>
      <w:r w:rsidR="00A42A8D">
        <w:rPr>
          <w:rFonts w:ascii="Times New Roman" w:hAnsi="Times New Roman"/>
          <w:color w:val="000000"/>
        </w:rPr>
        <w:t>Moving</w:t>
      </w:r>
      <w:r>
        <w:rPr>
          <w:rFonts w:ascii="Times New Roman" w:hAnsi="Times New Roman"/>
          <w:color w:val="000000"/>
        </w:rPr>
        <w:t xml:space="preserve"> by </w:t>
      </w:r>
      <w:r w:rsidR="008867AE">
        <w:rPr>
          <w:rFonts w:ascii="Times New Roman" w:hAnsi="Times New Roman"/>
          <w:color w:val="000000"/>
        </w:rPr>
        <w:t>June 13, 2011</w:t>
      </w:r>
      <w:r>
        <w:rPr>
          <w:rFonts w:ascii="Times New Roman" w:hAnsi="Times New Roman"/>
          <w:color w:val="000000"/>
        </w:rPr>
        <w:t xml:space="preserve">. </w:t>
      </w:r>
      <w:r w:rsidR="008867AE">
        <w:rPr>
          <w:rFonts w:ascii="Times New Roman" w:hAnsi="Times New Roman"/>
          <w:color w:val="000000"/>
        </w:rPr>
        <w:t>A</w:t>
      </w:r>
      <w:r w:rsidR="00A42A8D">
        <w:rPr>
          <w:rFonts w:ascii="Times New Roman" w:hAnsi="Times New Roman"/>
          <w:color w:val="000000"/>
        </w:rPr>
        <w:t xml:space="preserve"> response </w:t>
      </w:r>
      <w:proofErr w:type="gramStart"/>
      <w:r w:rsidR="00A42A8D">
        <w:rPr>
          <w:rFonts w:ascii="Times New Roman" w:hAnsi="Times New Roman"/>
          <w:color w:val="000000"/>
        </w:rPr>
        <w:t>was received</w:t>
      </w:r>
      <w:proofErr w:type="gramEnd"/>
      <w:r w:rsidR="00A42A8D">
        <w:rPr>
          <w:rFonts w:ascii="Times New Roman" w:hAnsi="Times New Roman"/>
          <w:color w:val="000000"/>
        </w:rPr>
        <w:t xml:space="preserve"> </w:t>
      </w:r>
      <w:r w:rsidR="008867AE">
        <w:rPr>
          <w:rFonts w:ascii="Times New Roman" w:hAnsi="Times New Roman"/>
          <w:color w:val="000000"/>
        </w:rPr>
        <w:t>on that date</w:t>
      </w:r>
      <w:r w:rsidR="00A42A8D">
        <w:rPr>
          <w:rFonts w:ascii="Times New Roman" w:hAnsi="Times New Roman"/>
          <w:color w:val="000000"/>
        </w:rPr>
        <w:t>.</w:t>
      </w:r>
      <w:r w:rsidR="004A5F4D">
        <w:rPr>
          <w:rFonts w:ascii="Times New Roman" w:hAnsi="Times New Roman"/>
          <w:color w:val="000000"/>
        </w:rPr>
        <w:t xml:space="preserve"> The company performed 46 intrastate household goods moves between January 1, 2011, and the date </w:t>
      </w:r>
      <w:r w:rsidR="005D13BE">
        <w:rPr>
          <w:rFonts w:ascii="Times New Roman" w:hAnsi="Times New Roman"/>
          <w:color w:val="000000"/>
        </w:rPr>
        <w:t>of the</w:t>
      </w:r>
      <w:r w:rsidR="004A5F4D">
        <w:rPr>
          <w:rFonts w:ascii="Times New Roman" w:hAnsi="Times New Roman"/>
          <w:color w:val="000000"/>
        </w:rPr>
        <w:t xml:space="preserve"> data request.</w:t>
      </w:r>
      <w:r w:rsidR="00A42A8D">
        <w:rPr>
          <w:rFonts w:ascii="Times New Roman" w:hAnsi="Times New Roman"/>
          <w:color w:val="000000"/>
        </w:rPr>
        <w:t xml:space="preserve"> </w:t>
      </w:r>
      <w:r w:rsidR="008867AE">
        <w:rPr>
          <w:rFonts w:ascii="Times New Roman" w:hAnsi="Times New Roman"/>
          <w:color w:val="000000"/>
        </w:rPr>
        <w:t>Lincoln</w:t>
      </w:r>
      <w:r w:rsidR="000D53B6">
        <w:rPr>
          <w:rFonts w:ascii="Times New Roman" w:hAnsi="Times New Roman"/>
          <w:color w:val="000000"/>
        </w:rPr>
        <w:t xml:space="preserve"> Moving</w:t>
      </w:r>
      <w:r>
        <w:rPr>
          <w:rFonts w:ascii="Times New Roman" w:hAnsi="Times New Roman"/>
          <w:color w:val="000000"/>
        </w:rPr>
        <w:t xml:space="preserve"> reported </w:t>
      </w:r>
      <w:r w:rsidR="000D53B6">
        <w:rPr>
          <w:rFonts w:ascii="Times New Roman" w:hAnsi="Times New Roman"/>
          <w:color w:val="000000"/>
        </w:rPr>
        <w:t>two</w:t>
      </w:r>
      <w:r>
        <w:rPr>
          <w:rFonts w:ascii="Times New Roman" w:hAnsi="Times New Roman"/>
          <w:color w:val="000000"/>
        </w:rPr>
        <w:t xml:space="preserve"> damage claims for the period of </w:t>
      </w:r>
      <w:r w:rsidR="008867AE">
        <w:rPr>
          <w:rFonts w:ascii="Times New Roman" w:hAnsi="Times New Roman"/>
          <w:color w:val="000000"/>
        </w:rPr>
        <w:t>November 1, 2010,</w:t>
      </w:r>
      <w:r>
        <w:rPr>
          <w:rFonts w:ascii="Times New Roman" w:hAnsi="Times New Roman"/>
          <w:color w:val="000000"/>
        </w:rPr>
        <w:t xml:space="preserve"> through </w:t>
      </w:r>
      <w:r w:rsidR="008867AE">
        <w:rPr>
          <w:rFonts w:ascii="Times New Roman" w:hAnsi="Times New Roman"/>
          <w:color w:val="000000"/>
        </w:rPr>
        <w:t>April 30</w:t>
      </w:r>
      <w:r>
        <w:rPr>
          <w:rFonts w:ascii="Times New Roman" w:hAnsi="Times New Roman"/>
          <w:color w:val="000000"/>
        </w:rPr>
        <w:t>, 201</w:t>
      </w:r>
      <w:r w:rsidR="008867AE">
        <w:rPr>
          <w:rFonts w:ascii="Times New Roman" w:hAnsi="Times New Roman"/>
          <w:color w:val="000000"/>
        </w:rPr>
        <w:t>1</w:t>
      </w:r>
      <w:r>
        <w:rPr>
          <w:rFonts w:ascii="Times New Roman" w:hAnsi="Times New Roman"/>
          <w:color w:val="000000"/>
        </w:rPr>
        <w:t>.</w:t>
      </w:r>
    </w:p>
    <w:p w:rsidR="007B63FB" w:rsidRDefault="007B63FB">
      <w:pPr>
        <w:rPr>
          <w:rFonts w:ascii="Times New Roman" w:hAnsi="Times New Roman"/>
          <w:color w:val="000000"/>
        </w:rPr>
      </w:pPr>
    </w:p>
    <w:p w:rsidR="00D33056" w:rsidRPr="00890E1B" w:rsidRDefault="00D33056">
      <w:pPr>
        <w:rPr>
          <w:rFonts w:ascii="Times New Roman" w:hAnsi="Times New Roman"/>
        </w:rPr>
      </w:pPr>
      <w:r w:rsidRPr="00890E1B">
        <w:rPr>
          <w:rFonts w:ascii="Times New Roman" w:hAnsi="Times New Roman"/>
        </w:rPr>
        <w:t>Staff used the documents and information furnished from this data request</w:t>
      </w:r>
      <w:r w:rsidR="0093235F">
        <w:rPr>
          <w:rFonts w:ascii="Times New Roman" w:hAnsi="Times New Roman"/>
        </w:rPr>
        <w:t xml:space="preserve"> </w:t>
      </w:r>
      <w:r w:rsidRPr="00890E1B">
        <w:rPr>
          <w:rFonts w:ascii="Times New Roman" w:hAnsi="Times New Roman"/>
        </w:rPr>
        <w:t xml:space="preserve">to conduct </w:t>
      </w:r>
      <w:r w:rsidR="00346839">
        <w:rPr>
          <w:rFonts w:ascii="Times New Roman" w:hAnsi="Times New Roman"/>
        </w:rPr>
        <w:t>its</w:t>
      </w:r>
      <w:r w:rsidR="00346839" w:rsidRPr="00890E1B">
        <w:rPr>
          <w:rFonts w:ascii="Times New Roman" w:hAnsi="Times New Roman"/>
        </w:rPr>
        <w:t xml:space="preserve"> </w:t>
      </w:r>
      <w:r w:rsidR="0038403F">
        <w:rPr>
          <w:rFonts w:ascii="Times New Roman" w:hAnsi="Times New Roman"/>
        </w:rPr>
        <w:t>investigation</w:t>
      </w:r>
      <w:r w:rsidRPr="00890E1B">
        <w:rPr>
          <w:rFonts w:ascii="Times New Roman" w:hAnsi="Times New Roman"/>
        </w:rPr>
        <w:t xml:space="preserve"> of the company’s </w:t>
      </w:r>
      <w:r w:rsidR="00E47A82">
        <w:rPr>
          <w:rFonts w:ascii="Times New Roman" w:hAnsi="Times New Roman"/>
        </w:rPr>
        <w:t>business practices</w:t>
      </w:r>
      <w:r w:rsidRPr="00890E1B">
        <w:rPr>
          <w:rFonts w:ascii="Times New Roman" w:hAnsi="Times New Roman"/>
        </w:rPr>
        <w:t>.</w:t>
      </w:r>
      <w:r w:rsidR="009E1F37">
        <w:rPr>
          <w:rFonts w:ascii="Times New Roman" w:hAnsi="Times New Roman"/>
        </w:rPr>
        <w:t xml:space="preserve"> </w:t>
      </w:r>
      <w:r w:rsidR="0093235F">
        <w:rPr>
          <w:rFonts w:ascii="Times New Roman" w:hAnsi="Times New Roman"/>
        </w:rPr>
        <w:t xml:space="preserve">Of the </w:t>
      </w:r>
      <w:r w:rsidR="004A5F4D">
        <w:rPr>
          <w:rFonts w:ascii="Times New Roman" w:hAnsi="Times New Roman"/>
        </w:rPr>
        <w:t xml:space="preserve">46 </w:t>
      </w:r>
      <w:r w:rsidR="0093235F">
        <w:rPr>
          <w:rFonts w:ascii="Times New Roman" w:hAnsi="Times New Roman"/>
        </w:rPr>
        <w:t xml:space="preserve">moves reviewed, </w:t>
      </w:r>
      <w:r w:rsidR="004A5F4D">
        <w:rPr>
          <w:rFonts w:ascii="Times New Roman" w:hAnsi="Times New Roman"/>
        </w:rPr>
        <w:t>two</w:t>
      </w:r>
      <w:r w:rsidR="0093235F">
        <w:rPr>
          <w:rFonts w:ascii="Times New Roman" w:hAnsi="Times New Roman"/>
        </w:rPr>
        <w:t xml:space="preserve"> </w:t>
      </w:r>
      <w:r w:rsidR="008B34D5">
        <w:rPr>
          <w:rFonts w:ascii="Times New Roman" w:hAnsi="Times New Roman"/>
        </w:rPr>
        <w:t>were non-jurisdictional</w:t>
      </w:r>
      <w:r w:rsidR="004A5F4D">
        <w:rPr>
          <w:rFonts w:ascii="Times New Roman" w:hAnsi="Times New Roman"/>
        </w:rPr>
        <w:t xml:space="preserve"> (in-home or on-site</w:t>
      </w:r>
      <w:r w:rsidR="00C6698F">
        <w:rPr>
          <w:rFonts w:ascii="Times New Roman" w:hAnsi="Times New Roman"/>
        </w:rPr>
        <w:t>)</w:t>
      </w:r>
      <w:r w:rsidR="0093235F">
        <w:rPr>
          <w:rFonts w:ascii="Times New Roman" w:hAnsi="Times New Roman"/>
        </w:rPr>
        <w:t xml:space="preserve">. </w:t>
      </w:r>
      <w:r w:rsidR="00462658">
        <w:rPr>
          <w:rFonts w:ascii="Times New Roman" w:hAnsi="Times New Roman"/>
        </w:rPr>
        <w:t>Each</w:t>
      </w:r>
      <w:r w:rsidR="008B34D5">
        <w:rPr>
          <w:rFonts w:ascii="Times New Roman" w:hAnsi="Times New Roman"/>
        </w:rPr>
        <w:t xml:space="preserve"> of the </w:t>
      </w:r>
      <w:r w:rsidR="004A5F4D">
        <w:rPr>
          <w:rFonts w:ascii="Times New Roman" w:hAnsi="Times New Roman"/>
        </w:rPr>
        <w:t>44</w:t>
      </w:r>
      <w:r w:rsidR="008B34D5">
        <w:rPr>
          <w:rFonts w:ascii="Times New Roman" w:hAnsi="Times New Roman"/>
        </w:rPr>
        <w:t xml:space="preserve"> </w:t>
      </w:r>
      <w:r w:rsidR="009E1F37">
        <w:rPr>
          <w:rFonts w:ascii="Times New Roman" w:hAnsi="Times New Roman"/>
        </w:rPr>
        <w:t>moves reviewed were local, or hourly-rated.</w:t>
      </w:r>
    </w:p>
    <w:p w:rsidR="00D33056" w:rsidRPr="00890E1B" w:rsidRDefault="00D33056">
      <w:pPr>
        <w:rPr>
          <w:rFonts w:ascii="Times New Roman" w:hAnsi="Times New Roman"/>
        </w:rPr>
      </w:pPr>
    </w:p>
    <w:p w:rsidR="007744F3" w:rsidRDefault="007744F3">
      <w:pPr>
        <w:rPr>
          <w:rFonts w:ascii="Times New Roman" w:hAnsi="Times New Roman"/>
          <w:i/>
        </w:rPr>
      </w:pPr>
      <w:r>
        <w:rPr>
          <w:rFonts w:ascii="Times New Roman" w:hAnsi="Times New Roman"/>
          <w:i/>
        </w:rPr>
        <w:br w:type="page"/>
      </w:r>
    </w:p>
    <w:p w:rsidR="009217BA" w:rsidRDefault="009217BA">
      <w:pPr>
        <w:rPr>
          <w:rFonts w:ascii="Times New Roman" w:hAnsi="Times New Roman"/>
          <w:b/>
          <w:bCs/>
          <w:lang w:val="fr-FR"/>
        </w:rPr>
      </w:pPr>
    </w:p>
    <w:p w:rsidR="009E30D3" w:rsidRDefault="009E30D3" w:rsidP="009E30D3">
      <w:pPr>
        <w:pStyle w:val="Heading2"/>
        <w:rPr>
          <w:rFonts w:ascii="Times New Roman" w:hAnsi="Times New Roman"/>
          <w:sz w:val="28"/>
          <w:szCs w:val="28"/>
        </w:rPr>
      </w:pPr>
      <w:r>
        <w:rPr>
          <w:rFonts w:ascii="Times New Roman" w:hAnsi="Times New Roman"/>
          <w:sz w:val="28"/>
          <w:szCs w:val="28"/>
        </w:rPr>
        <w:t>ESTIMATES – REQUIRED</w:t>
      </w:r>
    </w:p>
    <w:p w:rsidR="009E30D3" w:rsidRDefault="009E30D3" w:rsidP="009E30D3"/>
    <w:p w:rsidR="009E30D3" w:rsidRPr="009B3B83" w:rsidRDefault="009E30D3" w:rsidP="009E30D3">
      <w:pPr>
        <w:pStyle w:val="Heading2"/>
        <w:jc w:val="both"/>
        <w:rPr>
          <w:rFonts w:ascii="Times New Roman" w:hAnsi="Times New Roman"/>
        </w:rPr>
      </w:pPr>
      <w:r>
        <w:rPr>
          <w:rFonts w:ascii="Times New Roman" w:hAnsi="Times New Roman"/>
        </w:rPr>
        <w:t>Investigation</w:t>
      </w:r>
    </w:p>
    <w:p w:rsidR="009E30D3" w:rsidRPr="009B3B83" w:rsidRDefault="009E30D3" w:rsidP="009E30D3">
      <w:pPr>
        <w:rPr>
          <w:rFonts w:ascii="Times New Roman" w:hAnsi="Times New Roman"/>
        </w:rPr>
      </w:pPr>
      <w:r>
        <w:rPr>
          <w:rFonts w:ascii="Times New Roman" w:hAnsi="Times New Roman"/>
          <w:iCs/>
        </w:rPr>
        <w:t xml:space="preserve">WAC 480-15-630 requires a household goods moving company to provide a written estimate to </w:t>
      </w:r>
      <w:r w:rsidR="00031A9F">
        <w:rPr>
          <w:rFonts w:ascii="Times New Roman" w:hAnsi="Times New Roman"/>
          <w:iCs/>
        </w:rPr>
        <w:t>every</w:t>
      </w:r>
      <w:r>
        <w:rPr>
          <w:rFonts w:ascii="Times New Roman" w:hAnsi="Times New Roman"/>
          <w:iCs/>
        </w:rPr>
        <w:t xml:space="preserve"> customer before the move</w:t>
      </w:r>
      <w:r w:rsidR="00031A9F">
        <w:rPr>
          <w:rFonts w:ascii="Times New Roman" w:hAnsi="Times New Roman"/>
          <w:iCs/>
        </w:rPr>
        <w:t xml:space="preserve"> occurs</w:t>
      </w:r>
      <w:r>
        <w:rPr>
          <w:rFonts w:ascii="Times New Roman" w:hAnsi="Times New Roman"/>
          <w:iCs/>
        </w:rPr>
        <w:t xml:space="preserve">. </w:t>
      </w:r>
      <w:r w:rsidRPr="009B3B83">
        <w:rPr>
          <w:rFonts w:ascii="Times New Roman" w:hAnsi="Times New Roman"/>
          <w:iCs/>
        </w:rPr>
        <w:t>An estimate is a written approximation of the cost of a move prepared in compliance with the provisions of the household goods</w:t>
      </w:r>
      <w:r>
        <w:rPr>
          <w:rFonts w:ascii="Times New Roman" w:hAnsi="Times New Roman"/>
          <w:iCs/>
        </w:rPr>
        <w:t xml:space="preserve"> rules and</w:t>
      </w:r>
      <w:r w:rsidRPr="009B3B83">
        <w:rPr>
          <w:rFonts w:ascii="Times New Roman" w:hAnsi="Times New Roman"/>
          <w:iCs/>
        </w:rPr>
        <w:t xml:space="preserve"> tariff. Estimates are based on factors such as the size of the shipment and the van </w:t>
      </w:r>
      <w:r>
        <w:rPr>
          <w:rFonts w:ascii="Times New Roman" w:hAnsi="Times New Roman"/>
          <w:iCs/>
        </w:rPr>
        <w:t xml:space="preserve">or truck </w:t>
      </w:r>
      <w:r w:rsidRPr="009B3B83">
        <w:rPr>
          <w:rFonts w:ascii="Times New Roman" w:hAnsi="Times New Roman"/>
          <w:iCs/>
        </w:rPr>
        <w:t xml:space="preserve">space </w:t>
      </w:r>
      <w:proofErr w:type="gramStart"/>
      <w:r w:rsidRPr="009B3B83">
        <w:rPr>
          <w:rFonts w:ascii="Times New Roman" w:hAnsi="Times New Roman"/>
          <w:iCs/>
        </w:rPr>
        <w:t>required,</w:t>
      </w:r>
      <w:proofErr w:type="gramEnd"/>
      <w:r w:rsidRPr="009B3B83">
        <w:rPr>
          <w:rFonts w:ascii="Times New Roman" w:hAnsi="Times New Roman"/>
          <w:iCs/>
        </w:rPr>
        <w:t xml:space="preserve"> the weight of the household goods, the amount of time needed to complete the move, and </w:t>
      </w:r>
      <w:r w:rsidR="005D13BE">
        <w:rPr>
          <w:rFonts w:ascii="Times New Roman" w:hAnsi="Times New Roman"/>
          <w:iCs/>
        </w:rPr>
        <w:t>any</w:t>
      </w:r>
      <w:r w:rsidRPr="009B3B83">
        <w:rPr>
          <w:rFonts w:ascii="Times New Roman" w:hAnsi="Times New Roman"/>
          <w:iCs/>
        </w:rPr>
        <w:t xml:space="preserve"> special services </w:t>
      </w:r>
      <w:r>
        <w:rPr>
          <w:rFonts w:ascii="Times New Roman" w:hAnsi="Times New Roman"/>
          <w:iCs/>
        </w:rPr>
        <w:t xml:space="preserve">to be </w:t>
      </w:r>
      <w:r w:rsidRPr="009B3B83">
        <w:rPr>
          <w:rFonts w:ascii="Times New Roman" w:hAnsi="Times New Roman"/>
          <w:iCs/>
        </w:rPr>
        <w:t>provided. A house</w:t>
      </w:r>
      <w:r>
        <w:rPr>
          <w:rFonts w:ascii="Times New Roman" w:hAnsi="Times New Roman"/>
          <w:iCs/>
        </w:rPr>
        <w:t xml:space="preserve">hold goods company may provide </w:t>
      </w:r>
      <w:r w:rsidRPr="009B3B83">
        <w:rPr>
          <w:rFonts w:ascii="Times New Roman" w:hAnsi="Times New Roman"/>
          <w:iCs/>
        </w:rPr>
        <w:t>customer</w:t>
      </w:r>
      <w:r>
        <w:rPr>
          <w:rFonts w:ascii="Times New Roman" w:hAnsi="Times New Roman"/>
          <w:iCs/>
        </w:rPr>
        <w:t>s</w:t>
      </w:r>
      <w:r w:rsidRPr="009B3B83">
        <w:rPr>
          <w:rFonts w:ascii="Times New Roman" w:hAnsi="Times New Roman"/>
          <w:iCs/>
        </w:rPr>
        <w:t xml:space="preserve"> with either </w:t>
      </w:r>
      <w:r>
        <w:rPr>
          <w:rFonts w:ascii="Times New Roman" w:hAnsi="Times New Roman"/>
          <w:iCs/>
        </w:rPr>
        <w:t>a</w:t>
      </w:r>
      <w:r w:rsidRPr="009B3B83">
        <w:rPr>
          <w:rFonts w:ascii="Times New Roman" w:hAnsi="Times New Roman"/>
          <w:iCs/>
        </w:rPr>
        <w:t xml:space="preserve"> binding or non-binding</w:t>
      </w:r>
      <w:r>
        <w:rPr>
          <w:rFonts w:ascii="Times New Roman" w:hAnsi="Times New Roman"/>
          <w:iCs/>
        </w:rPr>
        <w:t xml:space="preserve"> estimate</w:t>
      </w:r>
      <w:r w:rsidRPr="009B3B83">
        <w:rPr>
          <w:rFonts w:ascii="Times New Roman" w:hAnsi="Times New Roman"/>
          <w:iCs/>
        </w:rPr>
        <w:t>.</w:t>
      </w:r>
      <w:r w:rsidRPr="009B3B83">
        <w:rPr>
          <w:rFonts w:ascii="Times New Roman" w:hAnsi="Times New Roman"/>
          <w:iCs/>
        </w:rPr>
        <w:br/>
      </w:r>
    </w:p>
    <w:p w:rsidR="009E30D3" w:rsidDel="009217BA" w:rsidRDefault="0088159E" w:rsidP="009E30D3">
      <w:pPr>
        <w:rPr>
          <w:rFonts w:ascii="Times New Roman" w:hAnsi="Times New Roman"/>
          <w:lang w:val="fr-FR"/>
        </w:rPr>
      </w:pPr>
      <w:r>
        <w:rPr>
          <w:rFonts w:ascii="Times New Roman" w:hAnsi="Times New Roman"/>
        </w:rPr>
        <w:t xml:space="preserve">For customer Wiley, Lincoln Moving failed to issue an estimate prior to </w:t>
      </w:r>
      <w:r w:rsidR="005D13BE">
        <w:rPr>
          <w:rFonts w:ascii="Times New Roman" w:hAnsi="Times New Roman"/>
        </w:rPr>
        <w:t xml:space="preserve">conducting </w:t>
      </w:r>
      <w:r>
        <w:rPr>
          <w:rFonts w:ascii="Times New Roman" w:hAnsi="Times New Roman"/>
        </w:rPr>
        <w:t xml:space="preserve">the move. A handwritten note in the customer’s file reads: “Does not want estimate. </w:t>
      </w:r>
      <w:proofErr w:type="gramStart"/>
      <w:r>
        <w:rPr>
          <w:rFonts w:ascii="Times New Roman" w:hAnsi="Times New Roman"/>
        </w:rPr>
        <w:t>Will pay hourly.</w:t>
      </w:r>
      <w:proofErr w:type="gramEnd"/>
      <w:r>
        <w:rPr>
          <w:rFonts w:ascii="Times New Roman" w:hAnsi="Times New Roman"/>
        </w:rPr>
        <w:t xml:space="preserve"> </w:t>
      </w:r>
      <w:proofErr w:type="gramStart"/>
      <w:r>
        <w:rPr>
          <w:rFonts w:ascii="Times New Roman" w:hAnsi="Times New Roman"/>
        </w:rPr>
        <w:t>Agreed over phone to pay $102 per hour.</w:t>
      </w:r>
      <w:r w:rsidR="005D13BE">
        <w:rPr>
          <w:rFonts w:ascii="Times New Roman" w:hAnsi="Times New Roman"/>
        </w:rPr>
        <w:t>”</w:t>
      </w:r>
      <w:proofErr w:type="gramEnd"/>
    </w:p>
    <w:p w:rsidR="009E30D3" w:rsidRPr="009B3B83" w:rsidRDefault="009E30D3" w:rsidP="009E30D3">
      <w:pPr>
        <w:rPr>
          <w:rFonts w:ascii="Times New Roman" w:hAnsi="Times New Roman"/>
        </w:rPr>
      </w:pPr>
    </w:p>
    <w:p w:rsidR="009E30D3" w:rsidRPr="009B3B83" w:rsidRDefault="009E30D3" w:rsidP="009E30D3">
      <w:pPr>
        <w:rPr>
          <w:rFonts w:ascii="Times New Roman" w:hAnsi="Times New Roman"/>
          <w:b/>
        </w:rPr>
      </w:pPr>
      <w:r w:rsidRPr="009B3B83">
        <w:rPr>
          <w:rFonts w:ascii="Times New Roman" w:hAnsi="Times New Roman"/>
          <w:b/>
        </w:rPr>
        <w:t>Findings</w:t>
      </w:r>
    </w:p>
    <w:p w:rsidR="009E30D3" w:rsidRPr="009B3B83" w:rsidRDefault="0088159E" w:rsidP="009E30D3">
      <w:pPr>
        <w:rPr>
          <w:rFonts w:ascii="Times New Roman" w:hAnsi="Times New Roman"/>
        </w:rPr>
      </w:pPr>
      <w:r>
        <w:rPr>
          <w:rFonts w:ascii="Times New Roman" w:hAnsi="Times New Roman"/>
        </w:rPr>
        <w:t>Lincoln</w:t>
      </w:r>
      <w:r w:rsidR="005F5401">
        <w:rPr>
          <w:rFonts w:ascii="Times New Roman" w:hAnsi="Times New Roman"/>
        </w:rPr>
        <w:t xml:space="preserve"> Moving</w:t>
      </w:r>
      <w:r w:rsidR="009E30D3" w:rsidRPr="009B3B83">
        <w:rPr>
          <w:rFonts w:ascii="Times New Roman" w:hAnsi="Times New Roman"/>
        </w:rPr>
        <w:t xml:space="preserve"> is in violation of WAC 480-15-630 for </w:t>
      </w:r>
      <w:r w:rsidR="009E30D3">
        <w:rPr>
          <w:rFonts w:ascii="Times New Roman" w:hAnsi="Times New Roman"/>
        </w:rPr>
        <w:t>failing to</w:t>
      </w:r>
      <w:r w:rsidR="009E30D3" w:rsidRPr="009B3B83">
        <w:rPr>
          <w:rFonts w:ascii="Times New Roman" w:hAnsi="Times New Roman"/>
        </w:rPr>
        <w:t xml:space="preserve"> </w:t>
      </w:r>
      <w:r w:rsidR="009E30D3">
        <w:rPr>
          <w:rFonts w:ascii="Times New Roman" w:hAnsi="Times New Roman"/>
        </w:rPr>
        <w:t>provide</w:t>
      </w:r>
      <w:r w:rsidR="009E30D3" w:rsidRPr="009B3B83">
        <w:rPr>
          <w:rFonts w:ascii="Times New Roman" w:hAnsi="Times New Roman"/>
        </w:rPr>
        <w:t xml:space="preserve"> </w:t>
      </w:r>
      <w:r>
        <w:rPr>
          <w:rFonts w:ascii="Times New Roman" w:hAnsi="Times New Roman"/>
        </w:rPr>
        <w:t>an estimate to customer Wiley pri</w:t>
      </w:r>
      <w:r w:rsidR="009E30D3" w:rsidRPr="009B3B83">
        <w:rPr>
          <w:rFonts w:ascii="Times New Roman" w:hAnsi="Times New Roman"/>
        </w:rPr>
        <w:t xml:space="preserve">or to </w:t>
      </w:r>
      <w:r w:rsidR="009E30D3">
        <w:rPr>
          <w:rFonts w:ascii="Times New Roman" w:hAnsi="Times New Roman"/>
        </w:rPr>
        <w:t xml:space="preserve">transporting </w:t>
      </w:r>
      <w:r>
        <w:rPr>
          <w:rFonts w:ascii="Times New Roman" w:hAnsi="Times New Roman"/>
        </w:rPr>
        <w:t>her</w:t>
      </w:r>
      <w:r w:rsidR="009E30D3">
        <w:rPr>
          <w:rFonts w:ascii="Times New Roman" w:hAnsi="Times New Roman"/>
        </w:rPr>
        <w:t xml:space="preserve"> goods</w:t>
      </w:r>
      <w:r w:rsidR="009E30D3" w:rsidRPr="009B3B83">
        <w:rPr>
          <w:rFonts w:ascii="Times New Roman" w:hAnsi="Times New Roman"/>
        </w:rPr>
        <w:t xml:space="preserve">. </w:t>
      </w:r>
      <w:r w:rsidR="005D13BE">
        <w:rPr>
          <w:rFonts w:ascii="Times New Roman" w:hAnsi="Times New Roman"/>
        </w:rPr>
        <w:t>If a customer refuses a written estimate, a carrier may not perform the move.</w:t>
      </w:r>
      <w:r w:rsidR="009E30D3">
        <w:rPr>
          <w:rFonts w:ascii="Times New Roman" w:hAnsi="Times New Roman"/>
        </w:rPr>
        <w:br/>
      </w:r>
    </w:p>
    <w:p w:rsidR="009E30D3" w:rsidRPr="009B3B83" w:rsidRDefault="009E30D3" w:rsidP="009E30D3">
      <w:pPr>
        <w:rPr>
          <w:rFonts w:ascii="Times New Roman" w:hAnsi="Times New Roman"/>
          <w:b/>
          <w:bCs/>
        </w:rPr>
      </w:pPr>
      <w:r w:rsidRPr="009B3B83">
        <w:rPr>
          <w:rFonts w:ascii="Times New Roman" w:hAnsi="Times New Roman"/>
          <w:b/>
          <w:bCs/>
        </w:rPr>
        <w:t xml:space="preserve">Recommendation </w:t>
      </w:r>
    </w:p>
    <w:p w:rsidR="00F7383B" w:rsidRPr="00557974" w:rsidRDefault="00F7383B" w:rsidP="00F7383B">
      <w:pPr>
        <w:pStyle w:val="Heading2"/>
        <w:jc w:val="left"/>
        <w:rPr>
          <w:rFonts w:ascii="Times New Roman" w:hAnsi="Times New Roman"/>
          <w:b w:val="0"/>
        </w:rPr>
      </w:pPr>
      <w:r w:rsidRPr="0075167D">
        <w:rPr>
          <w:rFonts w:ascii="Times New Roman" w:hAnsi="Times New Roman"/>
          <w:b w:val="0"/>
        </w:rPr>
        <w:t xml:space="preserve">Staff </w:t>
      </w:r>
      <w:proofErr w:type="spellStart"/>
      <w:r w:rsidRPr="0075167D">
        <w:rPr>
          <w:rFonts w:ascii="Times New Roman" w:hAnsi="Times New Roman"/>
          <w:b w:val="0"/>
        </w:rPr>
        <w:t>advises</w:t>
      </w:r>
      <w:proofErr w:type="spellEnd"/>
      <w:r w:rsidRPr="0075167D">
        <w:rPr>
          <w:rFonts w:ascii="Times New Roman" w:hAnsi="Times New Roman"/>
          <w:b w:val="0"/>
        </w:rPr>
        <w:t xml:space="preserve"> </w:t>
      </w:r>
      <w:proofErr w:type="spellStart"/>
      <w:r w:rsidRPr="0075167D">
        <w:rPr>
          <w:rFonts w:ascii="Times New Roman" w:hAnsi="Times New Roman"/>
          <w:b w:val="0"/>
        </w:rPr>
        <w:t>that</w:t>
      </w:r>
      <w:proofErr w:type="spellEnd"/>
      <w:r w:rsidRPr="0075167D">
        <w:rPr>
          <w:rFonts w:ascii="Times New Roman" w:hAnsi="Times New Roman"/>
          <w:b w:val="0"/>
        </w:rPr>
        <w:t xml:space="preserve"> </w:t>
      </w:r>
      <w:r w:rsidR="0088159E">
        <w:rPr>
          <w:rFonts w:ascii="Times New Roman" w:hAnsi="Times New Roman"/>
          <w:b w:val="0"/>
        </w:rPr>
        <w:t>Lincoln</w:t>
      </w:r>
      <w:r>
        <w:rPr>
          <w:rFonts w:ascii="Times New Roman" w:hAnsi="Times New Roman"/>
          <w:b w:val="0"/>
        </w:rPr>
        <w:t xml:space="preserve"> </w:t>
      </w:r>
      <w:proofErr w:type="spellStart"/>
      <w:r>
        <w:rPr>
          <w:rFonts w:ascii="Times New Roman" w:hAnsi="Times New Roman"/>
          <w:b w:val="0"/>
        </w:rPr>
        <w:t>Moving</w:t>
      </w:r>
      <w:proofErr w:type="spellEnd"/>
      <w:r w:rsidRPr="0075167D">
        <w:rPr>
          <w:rFonts w:ascii="Times New Roman" w:hAnsi="Times New Roman"/>
          <w:b w:val="0"/>
        </w:rPr>
        <w:t xml:space="preserve"> </w:t>
      </w:r>
      <w:r>
        <w:rPr>
          <w:rFonts w:ascii="Times New Roman" w:hAnsi="Times New Roman"/>
          <w:b w:val="0"/>
        </w:rPr>
        <w:t xml:space="preserve">must </w:t>
      </w:r>
      <w:proofErr w:type="spellStart"/>
      <w:r>
        <w:rPr>
          <w:rFonts w:ascii="Times New Roman" w:hAnsi="Times New Roman"/>
          <w:b w:val="0"/>
        </w:rPr>
        <w:t>provide</w:t>
      </w:r>
      <w:proofErr w:type="spellEnd"/>
      <w:r>
        <w:rPr>
          <w:rFonts w:ascii="Times New Roman" w:hAnsi="Times New Roman"/>
          <w:b w:val="0"/>
        </w:rPr>
        <w:t xml:space="preserve"> an </w:t>
      </w:r>
      <w:proofErr w:type="spellStart"/>
      <w:r w:rsidRPr="0075167D">
        <w:rPr>
          <w:rFonts w:ascii="Times New Roman" w:hAnsi="Times New Roman"/>
          <w:b w:val="0"/>
        </w:rPr>
        <w:t>estimate</w:t>
      </w:r>
      <w:proofErr w:type="spellEnd"/>
      <w:r w:rsidRPr="0075167D">
        <w:rPr>
          <w:rFonts w:ascii="Times New Roman" w:hAnsi="Times New Roman"/>
          <w:b w:val="0"/>
        </w:rPr>
        <w:t xml:space="preserve"> to </w:t>
      </w:r>
      <w:proofErr w:type="spellStart"/>
      <w:r w:rsidRPr="0075167D">
        <w:rPr>
          <w:rFonts w:ascii="Times New Roman" w:hAnsi="Times New Roman"/>
          <w:b w:val="0"/>
        </w:rPr>
        <w:t>each</w:t>
      </w:r>
      <w:proofErr w:type="spellEnd"/>
      <w:r w:rsidRPr="0075167D">
        <w:rPr>
          <w:rFonts w:ascii="Times New Roman" w:hAnsi="Times New Roman"/>
          <w:b w:val="0"/>
        </w:rPr>
        <w:t xml:space="preserve"> </w:t>
      </w:r>
      <w:proofErr w:type="spellStart"/>
      <w:r w:rsidRPr="0075167D">
        <w:rPr>
          <w:rFonts w:ascii="Times New Roman" w:hAnsi="Times New Roman"/>
          <w:b w:val="0"/>
        </w:rPr>
        <w:t>customer</w:t>
      </w:r>
      <w:proofErr w:type="spellEnd"/>
      <w:r w:rsidRPr="0075167D">
        <w:rPr>
          <w:rFonts w:ascii="Times New Roman" w:hAnsi="Times New Roman"/>
          <w:b w:val="0"/>
        </w:rPr>
        <w:t xml:space="preserve"> </w:t>
      </w:r>
      <w:proofErr w:type="spellStart"/>
      <w:r w:rsidRPr="0075167D">
        <w:rPr>
          <w:rFonts w:ascii="Times New Roman" w:hAnsi="Times New Roman"/>
          <w:b w:val="0"/>
        </w:rPr>
        <w:t>prior</w:t>
      </w:r>
      <w:proofErr w:type="spellEnd"/>
      <w:r w:rsidRPr="0075167D">
        <w:rPr>
          <w:rFonts w:ascii="Times New Roman" w:hAnsi="Times New Roman"/>
          <w:b w:val="0"/>
        </w:rPr>
        <w:t xml:space="preserve"> to </w:t>
      </w:r>
      <w:proofErr w:type="spellStart"/>
      <w:r w:rsidRPr="0075167D">
        <w:rPr>
          <w:rFonts w:ascii="Times New Roman" w:hAnsi="Times New Roman"/>
          <w:b w:val="0"/>
        </w:rPr>
        <w:t>moving</w:t>
      </w:r>
      <w:proofErr w:type="spellEnd"/>
      <w:r w:rsidRPr="0075167D">
        <w:rPr>
          <w:rFonts w:ascii="Times New Roman" w:hAnsi="Times New Roman"/>
          <w:b w:val="0"/>
        </w:rPr>
        <w:t xml:space="preserve"> the </w:t>
      </w:r>
      <w:proofErr w:type="spellStart"/>
      <w:r w:rsidRPr="0075167D">
        <w:rPr>
          <w:rFonts w:ascii="Times New Roman" w:hAnsi="Times New Roman"/>
          <w:b w:val="0"/>
        </w:rPr>
        <w:t>customer’s</w:t>
      </w:r>
      <w:proofErr w:type="spellEnd"/>
      <w:r w:rsidRPr="0075167D">
        <w:rPr>
          <w:rFonts w:ascii="Times New Roman" w:hAnsi="Times New Roman"/>
          <w:b w:val="0"/>
        </w:rPr>
        <w:t xml:space="preserve"> </w:t>
      </w:r>
      <w:proofErr w:type="spellStart"/>
      <w:r w:rsidRPr="0075167D">
        <w:rPr>
          <w:rFonts w:ascii="Times New Roman" w:hAnsi="Times New Roman"/>
          <w:b w:val="0"/>
        </w:rPr>
        <w:t>goods</w:t>
      </w:r>
      <w:proofErr w:type="spellEnd"/>
      <w:r>
        <w:rPr>
          <w:rFonts w:ascii="Times New Roman" w:hAnsi="Times New Roman"/>
          <w:b w:val="0"/>
        </w:rPr>
        <w:t xml:space="preserve">, as </w:t>
      </w:r>
      <w:proofErr w:type="spellStart"/>
      <w:r w:rsidRPr="0075167D">
        <w:rPr>
          <w:rFonts w:ascii="Times New Roman" w:hAnsi="Times New Roman"/>
          <w:b w:val="0"/>
        </w:rPr>
        <w:t>required</w:t>
      </w:r>
      <w:proofErr w:type="spellEnd"/>
      <w:r w:rsidRPr="0075167D">
        <w:rPr>
          <w:rFonts w:ascii="Times New Roman" w:hAnsi="Times New Roman"/>
          <w:b w:val="0"/>
        </w:rPr>
        <w:t xml:space="preserve"> </w:t>
      </w:r>
      <w:r>
        <w:rPr>
          <w:rFonts w:ascii="Times New Roman" w:hAnsi="Times New Roman"/>
          <w:b w:val="0"/>
        </w:rPr>
        <w:t>by WAC 480-15-630</w:t>
      </w:r>
      <w:r w:rsidRPr="0075167D">
        <w:rPr>
          <w:rFonts w:ascii="Times New Roman" w:hAnsi="Times New Roman"/>
          <w:b w:val="0"/>
        </w:rPr>
        <w:t xml:space="preserve"> and </w:t>
      </w:r>
      <w:proofErr w:type="spellStart"/>
      <w:r>
        <w:rPr>
          <w:rFonts w:ascii="Times New Roman" w:hAnsi="Times New Roman"/>
          <w:b w:val="0"/>
        </w:rPr>
        <w:t>T</w:t>
      </w:r>
      <w:r w:rsidRPr="0075167D">
        <w:rPr>
          <w:rFonts w:ascii="Times New Roman" w:hAnsi="Times New Roman"/>
          <w:b w:val="0"/>
        </w:rPr>
        <w:t>ariff</w:t>
      </w:r>
      <w:proofErr w:type="spellEnd"/>
      <w:r>
        <w:rPr>
          <w:rFonts w:ascii="Times New Roman" w:hAnsi="Times New Roman"/>
          <w:b w:val="0"/>
        </w:rPr>
        <w:t xml:space="preserve"> 15-C</w:t>
      </w:r>
      <w:r w:rsidRPr="0075167D">
        <w:rPr>
          <w:rFonts w:ascii="Times New Roman" w:hAnsi="Times New Roman"/>
          <w:b w:val="0"/>
        </w:rPr>
        <w:t xml:space="preserve">. </w:t>
      </w:r>
      <w:proofErr w:type="spellStart"/>
      <w:r w:rsidR="005D13BE">
        <w:rPr>
          <w:rFonts w:ascii="Times New Roman" w:hAnsi="Times New Roman"/>
          <w:b w:val="0"/>
        </w:rPr>
        <w:t>Customer</w:t>
      </w:r>
      <w:r w:rsidR="0088159E">
        <w:rPr>
          <w:rFonts w:ascii="Times New Roman" w:hAnsi="Times New Roman"/>
          <w:b w:val="0"/>
        </w:rPr>
        <w:t>s</w:t>
      </w:r>
      <w:proofErr w:type="spellEnd"/>
      <w:r w:rsidR="0088159E">
        <w:rPr>
          <w:rFonts w:ascii="Times New Roman" w:hAnsi="Times New Roman"/>
          <w:b w:val="0"/>
        </w:rPr>
        <w:t xml:space="preserve"> </w:t>
      </w:r>
      <w:proofErr w:type="spellStart"/>
      <w:r w:rsidR="0088159E">
        <w:rPr>
          <w:rFonts w:ascii="Times New Roman" w:hAnsi="Times New Roman"/>
          <w:b w:val="0"/>
        </w:rPr>
        <w:t>may</w:t>
      </w:r>
      <w:proofErr w:type="spellEnd"/>
      <w:r w:rsidR="0088159E">
        <w:rPr>
          <w:rFonts w:ascii="Times New Roman" w:hAnsi="Times New Roman"/>
          <w:b w:val="0"/>
        </w:rPr>
        <w:t xml:space="preserve"> not </w:t>
      </w:r>
      <w:proofErr w:type="spellStart"/>
      <w:r w:rsidR="0088159E">
        <w:rPr>
          <w:rFonts w:ascii="Times New Roman" w:hAnsi="Times New Roman"/>
          <w:b w:val="0"/>
        </w:rPr>
        <w:t>decline</w:t>
      </w:r>
      <w:proofErr w:type="spellEnd"/>
      <w:r w:rsidR="0088159E">
        <w:rPr>
          <w:rFonts w:ascii="Times New Roman" w:hAnsi="Times New Roman"/>
          <w:b w:val="0"/>
        </w:rPr>
        <w:t xml:space="preserve"> </w:t>
      </w:r>
      <w:proofErr w:type="spellStart"/>
      <w:r w:rsidR="0088159E">
        <w:rPr>
          <w:rFonts w:ascii="Times New Roman" w:hAnsi="Times New Roman"/>
          <w:b w:val="0"/>
        </w:rPr>
        <w:t>written</w:t>
      </w:r>
      <w:proofErr w:type="spellEnd"/>
      <w:r w:rsidR="0088159E">
        <w:rPr>
          <w:rFonts w:ascii="Times New Roman" w:hAnsi="Times New Roman"/>
          <w:b w:val="0"/>
        </w:rPr>
        <w:t xml:space="preserve"> </w:t>
      </w:r>
      <w:proofErr w:type="spellStart"/>
      <w:r w:rsidR="0088159E">
        <w:rPr>
          <w:rFonts w:ascii="Times New Roman" w:hAnsi="Times New Roman"/>
          <w:b w:val="0"/>
        </w:rPr>
        <w:t>estimate</w:t>
      </w:r>
      <w:r w:rsidR="005D13BE">
        <w:rPr>
          <w:rFonts w:ascii="Times New Roman" w:hAnsi="Times New Roman"/>
          <w:b w:val="0"/>
        </w:rPr>
        <w:t>s</w:t>
      </w:r>
      <w:proofErr w:type="spellEnd"/>
      <w:r w:rsidR="0088159E">
        <w:rPr>
          <w:rFonts w:ascii="Times New Roman" w:hAnsi="Times New Roman"/>
          <w:b w:val="0"/>
        </w:rPr>
        <w:t xml:space="preserve">. </w:t>
      </w:r>
      <w:r w:rsidRPr="0075167D">
        <w:rPr>
          <w:rFonts w:ascii="Times New Roman" w:hAnsi="Times New Roman"/>
          <w:b w:val="0"/>
        </w:rPr>
        <w:t xml:space="preserve">Staff </w:t>
      </w:r>
      <w:proofErr w:type="spellStart"/>
      <w:r w:rsidRPr="0075167D">
        <w:rPr>
          <w:rFonts w:ascii="Times New Roman" w:hAnsi="Times New Roman"/>
          <w:b w:val="0"/>
        </w:rPr>
        <w:t>considers</w:t>
      </w:r>
      <w:proofErr w:type="spellEnd"/>
      <w:r w:rsidRPr="0075167D">
        <w:rPr>
          <w:rFonts w:ascii="Times New Roman" w:hAnsi="Times New Roman"/>
          <w:b w:val="0"/>
        </w:rPr>
        <w:t xml:space="preserve"> </w:t>
      </w:r>
      <w:proofErr w:type="spellStart"/>
      <w:r w:rsidRPr="0075167D">
        <w:rPr>
          <w:rFonts w:ascii="Times New Roman" w:hAnsi="Times New Roman"/>
          <w:b w:val="0"/>
        </w:rPr>
        <w:t>this</w:t>
      </w:r>
      <w:proofErr w:type="spellEnd"/>
      <w:r w:rsidRPr="0075167D">
        <w:rPr>
          <w:rFonts w:ascii="Times New Roman" w:hAnsi="Times New Roman"/>
          <w:b w:val="0"/>
        </w:rPr>
        <w:t xml:space="preserve"> investigation as the </w:t>
      </w:r>
      <w:proofErr w:type="spellStart"/>
      <w:r w:rsidRPr="0075167D">
        <w:rPr>
          <w:rFonts w:ascii="Times New Roman" w:hAnsi="Times New Roman"/>
          <w:b w:val="0"/>
        </w:rPr>
        <w:t>company’s</w:t>
      </w:r>
      <w:proofErr w:type="spellEnd"/>
      <w:r w:rsidRPr="0075167D">
        <w:rPr>
          <w:rFonts w:ascii="Times New Roman" w:hAnsi="Times New Roman"/>
          <w:b w:val="0"/>
        </w:rPr>
        <w:t xml:space="preserve"> </w:t>
      </w:r>
      <w:proofErr w:type="spellStart"/>
      <w:r w:rsidRPr="0075167D">
        <w:rPr>
          <w:rFonts w:ascii="Times New Roman" w:hAnsi="Times New Roman"/>
          <w:b w:val="0"/>
        </w:rPr>
        <w:t>technical</w:t>
      </w:r>
      <w:proofErr w:type="spellEnd"/>
      <w:r w:rsidRPr="0075167D">
        <w:rPr>
          <w:rFonts w:ascii="Times New Roman" w:hAnsi="Times New Roman"/>
          <w:b w:val="0"/>
        </w:rPr>
        <w:t xml:space="preserve"> assistance </w:t>
      </w:r>
      <w:proofErr w:type="spellStart"/>
      <w:r w:rsidRPr="0075167D">
        <w:rPr>
          <w:rFonts w:ascii="Times New Roman" w:hAnsi="Times New Roman"/>
          <w:b w:val="0"/>
        </w:rPr>
        <w:t>regarding</w:t>
      </w:r>
      <w:proofErr w:type="spellEnd"/>
      <w:r w:rsidRPr="0075167D">
        <w:rPr>
          <w:rFonts w:ascii="Times New Roman" w:hAnsi="Times New Roman"/>
          <w:b w:val="0"/>
        </w:rPr>
        <w:t xml:space="preserve"> </w:t>
      </w:r>
      <w:r>
        <w:rPr>
          <w:rFonts w:ascii="Times New Roman" w:hAnsi="Times New Roman"/>
          <w:b w:val="0"/>
        </w:rPr>
        <w:t xml:space="preserve">the provision of </w:t>
      </w:r>
      <w:proofErr w:type="spellStart"/>
      <w:r>
        <w:rPr>
          <w:rFonts w:ascii="Times New Roman" w:hAnsi="Times New Roman"/>
          <w:b w:val="0"/>
        </w:rPr>
        <w:t>estimates</w:t>
      </w:r>
      <w:proofErr w:type="spellEnd"/>
      <w:r w:rsidRPr="0075167D">
        <w:rPr>
          <w:rFonts w:ascii="Times New Roman" w:hAnsi="Times New Roman"/>
          <w:b w:val="0"/>
        </w:rPr>
        <w:t xml:space="preserve">. If future violations are </w:t>
      </w:r>
      <w:proofErr w:type="spellStart"/>
      <w:r w:rsidRPr="0075167D">
        <w:rPr>
          <w:rFonts w:ascii="Times New Roman" w:hAnsi="Times New Roman"/>
          <w:b w:val="0"/>
        </w:rPr>
        <w:t>found</w:t>
      </w:r>
      <w:proofErr w:type="spellEnd"/>
      <w:r w:rsidRPr="0075167D">
        <w:rPr>
          <w:rFonts w:ascii="Times New Roman" w:hAnsi="Times New Roman"/>
          <w:b w:val="0"/>
        </w:rPr>
        <w:t xml:space="preserve">, staff </w:t>
      </w:r>
      <w:proofErr w:type="spellStart"/>
      <w:r w:rsidRPr="0075167D">
        <w:rPr>
          <w:rFonts w:ascii="Times New Roman" w:hAnsi="Times New Roman"/>
          <w:b w:val="0"/>
        </w:rPr>
        <w:t>may</w:t>
      </w:r>
      <w:proofErr w:type="spellEnd"/>
      <w:r w:rsidRPr="0075167D">
        <w:rPr>
          <w:rFonts w:ascii="Times New Roman" w:hAnsi="Times New Roman"/>
          <w:b w:val="0"/>
        </w:rPr>
        <w:t xml:space="preserve"> </w:t>
      </w:r>
      <w:proofErr w:type="spellStart"/>
      <w:r w:rsidRPr="0075167D">
        <w:rPr>
          <w:rFonts w:ascii="Times New Roman" w:hAnsi="Times New Roman"/>
          <w:b w:val="0"/>
        </w:rPr>
        <w:t>recommend</w:t>
      </w:r>
      <w:proofErr w:type="spellEnd"/>
      <w:r w:rsidRPr="0075167D">
        <w:rPr>
          <w:rFonts w:ascii="Times New Roman" w:hAnsi="Times New Roman"/>
          <w:b w:val="0"/>
        </w:rPr>
        <w:t xml:space="preserve"> penalties or </w:t>
      </w:r>
      <w:proofErr w:type="spellStart"/>
      <w:r w:rsidRPr="0075167D">
        <w:rPr>
          <w:rFonts w:ascii="Times New Roman" w:hAnsi="Times New Roman"/>
          <w:b w:val="0"/>
        </w:rPr>
        <w:t>take</w:t>
      </w:r>
      <w:proofErr w:type="spellEnd"/>
      <w:r w:rsidRPr="0075167D">
        <w:rPr>
          <w:rFonts w:ascii="Times New Roman" w:hAnsi="Times New Roman"/>
          <w:b w:val="0"/>
        </w:rPr>
        <w:t xml:space="preserve"> </w:t>
      </w:r>
      <w:proofErr w:type="spellStart"/>
      <w:r w:rsidRPr="0075167D">
        <w:rPr>
          <w:rFonts w:ascii="Times New Roman" w:hAnsi="Times New Roman"/>
          <w:b w:val="0"/>
        </w:rPr>
        <w:t>other</w:t>
      </w:r>
      <w:proofErr w:type="spellEnd"/>
      <w:r w:rsidRPr="0075167D">
        <w:rPr>
          <w:rFonts w:ascii="Times New Roman" w:hAnsi="Times New Roman"/>
          <w:b w:val="0"/>
        </w:rPr>
        <w:t xml:space="preserve"> </w:t>
      </w:r>
      <w:proofErr w:type="spellStart"/>
      <w:r w:rsidRPr="0075167D">
        <w:rPr>
          <w:rFonts w:ascii="Times New Roman" w:hAnsi="Times New Roman"/>
          <w:b w:val="0"/>
        </w:rPr>
        <w:t>enforcement</w:t>
      </w:r>
      <w:proofErr w:type="spellEnd"/>
      <w:r w:rsidRPr="0075167D">
        <w:rPr>
          <w:rFonts w:ascii="Times New Roman" w:hAnsi="Times New Roman"/>
          <w:b w:val="0"/>
        </w:rPr>
        <w:t xml:space="preserve"> action.</w:t>
      </w:r>
      <w:r w:rsidRPr="00557974">
        <w:rPr>
          <w:rFonts w:ascii="Times New Roman" w:hAnsi="Times New Roman"/>
          <w:b w:val="0"/>
        </w:rPr>
        <w:t xml:space="preserve">  </w:t>
      </w:r>
    </w:p>
    <w:p w:rsidR="009E30D3" w:rsidRDefault="009E30D3" w:rsidP="00F7383B">
      <w:pPr>
        <w:rPr>
          <w:rFonts w:ascii="Times New Roman" w:hAnsi="Times New Roman"/>
          <w:b/>
          <w:bCs/>
          <w:sz w:val="28"/>
          <w:szCs w:val="28"/>
        </w:rPr>
      </w:pPr>
      <w:r>
        <w:rPr>
          <w:rFonts w:ascii="Times New Roman" w:hAnsi="Times New Roman"/>
          <w:b/>
          <w:bCs/>
          <w:sz w:val="28"/>
          <w:szCs w:val="28"/>
        </w:rPr>
        <w:br w:type="page"/>
      </w:r>
    </w:p>
    <w:p w:rsidR="00D33056" w:rsidRPr="004275EB" w:rsidRDefault="00E15D4A" w:rsidP="00C56406">
      <w:pPr>
        <w:jc w:val="center"/>
        <w:rPr>
          <w:rFonts w:ascii="Times New Roman" w:hAnsi="Times New Roman"/>
          <w:b/>
          <w:bCs/>
          <w:sz w:val="28"/>
          <w:szCs w:val="28"/>
        </w:rPr>
      </w:pPr>
      <w:r w:rsidRPr="004275EB">
        <w:rPr>
          <w:rFonts w:ascii="Times New Roman" w:hAnsi="Times New Roman"/>
          <w:b/>
          <w:bCs/>
          <w:sz w:val="28"/>
          <w:szCs w:val="28"/>
        </w:rPr>
        <w:lastRenderedPageBreak/>
        <w:t>ESTIMATE</w:t>
      </w:r>
      <w:r w:rsidR="00920FF8">
        <w:rPr>
          <w:rFonts w:ascii="Times New Roman" w:hAnsi="Times New Roman"/>
          <w:b/>
          <w:bCs/>
          <w:sz w:val="28"/>
          <w:szCs w:val="28"/>
        </w:rPr>
        <w:t>S</w:t>
      </w:r>
      <w:r w:rsidRPr="004275EB">
        <w:rPr>
          <w:rFonts w:ascii="Times New Roman" w:hAnsi="Times New Roman"/>
          <w:b/>
          <w:bCs/>
          <w:sz w:val="28"/>
          <w:szCs w:val="28"/>
        </w:rPr>
        <w:t xml:space="preserve"> </w:t>
      </w:r>
      <w:r w:rsidR="00DD1766">
        <w:rPr>
          <w:rFonts w:ascii="Times New Roman" w:hAnsi="Times New Roman"/>
          <w:b/>
          <w:bCs/>
          <w:sz w:val="28"/>
          <w:szCs w:val="28"/>
        </w:rPr>
        <w:t>–</w:t>
      </w:r>
      <w:r w:rsidRPr="004275EB">
        <w:rPr>
          <w:rFonts w:ascii="Times New Roman" w:hAnsi="Times New Roman"/>
          <w:b/>
          <w:bCs/>
          <w:sz w:val="28"/>
          <w:szCs w:val="28"/>
        </w:rPr>
        <w:t xml:space="preserve"> FORMAT</w:t>
      </w:r>
      <w:r w:rsidR="00DD1766">
        <w:rPr>
          <w:rFonts w:ascii="Times New Roman" w:hAnsi="Times New Roman"/>
          <w:b/>
          <w:bCs/>
          <w:sz w:val="28"/>
          <w:szCs w:val="28"/>
        </w:rPr>
        <w:t xml:space="preserve"> AND COMPLETION</w:t>
      </w:r>
    </w:p>
    <w:p w:rsidR="000F6648" w:rsidRPr="004275EB" w:rsidRDefault="000F6648" w:rsidP="009217BA">
      <w:pPr>
        <w:pStyle w:val="TariffNormalText"/>
        <w:numPr>
          <w:ilvl w:val="0"/>
          <w:numId w:val="0"/>
        </w:numPr>
        <w:tabs>
          <w:tab w:val="clear" w:pos="1440"/>
          <w:tab w:val="clear" w:pos="2880"/>
        </w:tabs>
        <w:spacing w:after="0"/>
        <w:rPr>
          <w:rFonts w:ascii="Times New Roman" w:hAnsi="Times New Roman" w:cs="Times New Roman"/>
          <w:i/>
        </w:rPr>
      </w:pPr>
    </w:p>
    <w:p w:rsidR="000F6648" w:rsidRPr="004275EB" w:rsidRDefault="00EA7A39" w:rsidP="000F6648">
      <w:pPr>
        <w:pStyle w:val="TariffNormalText"/>
        <w:numPr>
          <w:ilvl w:val="0"/>
          <w:numId w:val="0"/>
        </w:numPr>
        <w:tabs>
          <w:tab w:val="clear" w:pos="3600"/>
        </w:tabs>
        <w:spacing w:after="0"/>
        <w:rPr>
          <w:rFonts w:ascii="Times New Roman" w:hAnsi="Times New Roman" w:cs="Times New Roman"/>
          <w:b/>
        </w:rPr>
      </w:pPr>
      <w:r>
        <w:rPr>
          <w:rFonts w:ascii="Times New Roman" w:hAnsi="Times New Roman" w:cs="Times New Roman"/>
          <w:b/>
        </w:rPr>
        <w:t>Investigation</w:t>
      </w:r>
    </w:p>
    <w:p w:rsidR="00112DF8" w:rsidRDefault="006737F5">
      <w:pPr>
        <w:rPr>
          <w:rFonts w:ascii="Times New Roman" w:hAnsi="Times New Roman"/>
        </w:rPr>
      </w:pPr>
      <w:r>
        <w:rPr>
          <w:rFonts w:ascii="Times New Roman" w:hAnsi="Times New Roman"/>
        </w:rPr>
        <w:t xml:space="preserve">WAC 480-15-630 requires a household goods company to issue an estimate prior to </w:t>
      </w:r>
      <w:r w:rsidR="00112DF8">
        <w:rPr>
          <w:rFonts w:ascii="Times New Roman" w:hAnsi="Times New Roman"/>
        </w:rPr>
        <w:t xml:space="preserve">every move, and requires that the estimate include all of the elements </w:t>
      </w:r>
      <w:r w:rsidR="009F3EC5">
        <w:rPr>
          <w:rFonts w:ascii="Times New Roman" w:hAnsi="Times New Roman"/>
        </w:rPr>
        <w:t>listed in</w:t>
      </w:r>
      <w:r w:rsidR="00112DF8">
        <w:rPr>
          <w:rFonts w:ascii="Times New Roman" w:hAnsi="Times New Roman"/>
        </w:rPr>
        <w:t xml:space="preserve"> Tariff 15-C, Item 85. </w:t>
      </w:r>
    </w:p>
    <w:p w:rsidR="00112DF8" w:rsidRDefault="00112DF8">
      <w:pPr>
        <w:rPr>
          <w:rFonts w:ascii="Times New Roman" w:hAnsi="Times New Roman"/>
        </w:rPr>
      </w:pPr>
    </w:p>
    <w:p w:rsidR="00EA7A39" w:rsidRDefault="00297C54" w:rsidP="00EA7A39">
      <w:pPr>
        <w:rPr>
          <w:rFonts w:ascii="Times New Roman" w:hAnsi="Times New Roman"/>
        </w:rPr>
      </w:pPr>
      <w:r>
        <w:rPr>
          <w:rFonts w:ascii="Times New Roman" w:hAnsi="Times New Roman"/>
        </w:rPr>
        <w:t xml:space="preserve">The records provided for the moves within the </w:t>
      </w:r>
      <w:r w:rsidR="005D13BE">
        <w:rPr>
          <w:rFonts w:ascii="Times New Roman" w:hAnsi="Times New Roman"/>
        </w:rPr>
        <w:t>review period</w:t>
      </w:r>
      <w:r>
        <w:rPr>
          <w:rFonts w:ascii="Times New Roman" w:hAnsi="Times New Roman"/>
        </w:rPr>
        <w:t xml:space="preserve"> </w:t>
      </w:r>
      <w:proofErr w:type="gramStart"/>
      <w:r>
        <w:rPr>
          <w:rFonts w:ascii="Times New Roman" w:hAnsi="Times New Roman"/>
        </w:rPr>
        <w:t>were performed</w:t>
      </w:r>
      <w:proofErr w:type="gramEnd"/>
      <w:r>
        <w:rPr>
          <w:rFonts w:ascii="Times New Roman" w:hAnsi="Times New Roman"/>
        </w:rPr>
        <w:t xml:space="preserve"> prior to the technical assistance received in connection with Consumer Complaint 111001. In that complaint, staff cited estimate format violations that resulted in the following changes to the company’s estimate form:</w:t>
      </w:r>
    </w:p>
    <w:p w:rsidR="00297C54" w:rsidRDefault="00297C54" w:rsidP="00297C54">
      <w:pPr>
        <w:pStyle w:val="ListParagraph"/>
        <w:rPr>
          <w:rFonts w:ascii="Times New Roman" w:hAnsi="Times New Roman"/>
        </w:rPr>
      </w:pPr>
    </w:p>
    <w:p w:rsidR="00297C54" w:rsidRDefault="00297C54" w:rsidP="00D11C40">
      <w:pPr>
        <w:pStyle w:val="ListParagraph"/>
        <w:numPr>
          <w:ilvl w:val="0"/>
          <w:numId w:val="17"/>
        </w:numPr>
        <w:rPr>
          <w:rFonts w:ascii="Times New Roman" w:hAnsi="Times New Roman"/>
        </w:rPr>
      </w:pPr>
      <w:r w:rsidRPr="00297C54">
        <w:rPr>
          <w:rFonts w:ascii="Times New Roman" w:hAnsi="Times New Roman"/>
        </w:rPr>
        <w:t>The company added its email address</w:t>
      </w:r>
      <w:r w:rsidR="007A3FEB">
        <w:rPr>
          <w:rFonts w:ascii="Times New Roman" w:hAnsi="Times New Roman"/>
        </w:rPr>
        <w:t>.</w:t>
      </w:r>
      <w:r w:rsidRPr="00297C54">
        <w:rPr>
          <w:rFonts w:ascii="Times New Roman" w:hAnsi="Times New Roman"/>
        </w:rPr>
        <w:t xml:space="preserve"> </w:t>
      </w:r>
    </w:p>
    <w:p w:rsidR="00297C54" w:rsidRPr="00297C54" w:rsidRDefault="00297C54" w:rsidP="00D11C40">
      <w:pPr>
        <w:pStyle w:val="ListParagraph"/>
        <w:numPr>
          <w:ilvl w:val="0"/>
          <w:numId w:val="17"/>
        </w:numPr>
        <w:rPr>
          <w:rFonts w:ascii="Times New Roman" w:hAnsi="Times New Roman"/>
        </w:rPr>
      </w:pPr>
      <w:r w:rsidRPr="00297C54">
        <w:rPr>
          <w:rFonts w:ascii="Times New Roman" w:hAnsi="Times New Roman"/>
        </w:rPr>
        <w:t>The company added a signature line for the estimator to sign and date the estimate form</w:t>
      </w:r>
      <w:r w:rsidR="007A3FEB">
        <w:rPr>
          <w:rFonts w:ascii="Times New Roman" w:hAnsi="Times New Roman"/>
        </w:rPr>
        <w:t>.</w:t>
      </w:r>
    </w:p>
    <w:p w:rsidR="00297C54" w:rsidRDefault="00297C54" w:rsidP="00D11C40">
      <w:pPr>
        <w:pStyle w:val="ListParagraph"/>
        <w:numPr>
          <w:ilvl w:val="0"/>
          <w:numId w:val="17"/>
        </w:numPr>
        <w:rPr>
          <w:rFonts w:ascii="Times New Roman" w:hAnsi="Times New Roman"/>
        </w:rPr>
      </w:pPr>
      <w:r w:rsidRPr="00297C54">
        <w:rPr>
          <w:rFonts w:ascii="Times New Roman" w:hAnsi="Times New Roman"/>
        </w:rPr>
        <w:t>The company added a space for the customer to initial to acknowledge receipt of “Your Guide to Moving in Washington State</w:t>
      </w:r>
      <w:r w:rsidR="007A3FEB">
        <w:rPr>
          <w:rFonts w:ascii="Times New Roman" w:hAnsi="Times New Roman"/>
        </w:rPr>
        <w:t>.</w:t>
      </w:r>
      <w:r w:rsidRPr="00297C54">
        <w:rPr>
          <w:rFonts w:ascii="Times New Roman" w:hAnsi="Times New Roman"/>
        </w:rPr>
        <w:t xml:space="preserve">” </w:t>
      </w:r>
    </w:p>
    <w:p w:rsidR="00297C54" w:rsidRDefault="00297C54" w:rsidP="00297C54">
      <w:pPr>
        <w:rPr>
          <w:rFonts w:ascii="Times New Roman" w:hAnsi="Times New Roman"/>
        </w:rPr>
      </w:pPr>
    </w:p>
    <w:p w:rsidR="00297C54" w:rsidRDefault="00297C54" w:rsidP="00297C54">
      <w:pPr>
        <w:rPr>
          <w:rFonts w:ascii="Times New Roman" w:hAnsi="Times New Roman"/>
        </w:rPr>
      </w:pPr>
      <w:r>
        <w:rPr>
          <w:rFonts w:ascii="Times New Roman" w:hAnsi="Times New Roman"/>
        </w:rPr>
        <w:t>At staff’s re</w:t>
      </w:r>
      <w:r w:rsidR="00C771E9">
        <w:rPr>
          <w:rFonts w:ascii="Times New Roman" w:hAnsi="Times New Roman"/>
        </w:rPr>
        <w:t xml:space="preserve">quest, Lincoln Moving provided a copy of its revised estimate form reflecting these corrections. A copy of the revised estimate form </w:t>
      </w:r>
      <w:proofErr w:type="gramStart"/>
      <w:r w:rsidR="00C771E9">
        <w:rPr>
          <w:rFonts w:ascii="Times New Roman" w:hAnsi="Times New Roman"/>
        </w:rPr>
        <w:t>is attached</w:t>
      </w:r>
      <w:proofErr w:type="gramEnd"/>
      <w:r w:rsidR="00C771E9">
        <w:rPr>
          <w:rFonts w:ascii="Times New Roman" w:hAnsi="Times New Roman"/>
        </w:rPr>
        <w:t xml:space="preserve"> as Appendix B. </w:t>
      </w:r>
    </w:p>
    <w:p w:rsidR="00C771E9" w:rsidRDefault="00C771E9" w:rsidP="00297C54">
      <w:pPr>
        <w:rPr>
          <w:rFonts w:ascii="Times New Roman" w:hAnsi="Times New Roman"/>
        </w:rPr>
      </w:pPr>
    </w:p>
    <w:p w:rsidR="00C771E9" w:rsidRDefault="00C771E9" w:rsidP="00297C54">
      <w:pPr>
        <w:rPr>
          <w:rFonts w:ascii="Times New Roman" w:hAnsi="Times New Roman"/>
        </w:rPr>
      </w:pPr>
      <w:r>
        <w:rPr>
          <w:rFonts w:ascii="Times New Roman" w:hAnsi="Times New Roman"/>
        </w:rPr>
        <w:t xml:space="preserve">The revised form </w:t>
      </w:r>
      <w:r w:rsidR="007A3FEB">
        <w:rPr>
          <w:rFonts w:ascii="Times New Roman" w:hAnsi="Times New Roman"/>
        </w:rPr>
        <w:t>does not include the following</w:t>
      </w:r>
      <w:r w:rsidR="005D13BE">
        <w:rPr>
          <w:rFonts w:ascii="Times New Roman" w:hAnsi="Times New Roman"/>
        </w:rPr>
        <w:t xml:space="preserve"> elements</w:t>
      </w:r>
      <w:r w:rsidR="007A3FEB">
        <w:rPr>
          <w:rFonts w:ascii="Times New Roman" w:hAnsi="Times New Roman"/>
        </w:rPr>
        <w:t>, as required by</w:t>
      </w:r>
      <w:r>
        <w:rPr>
          <w:rFonts w:ascii="Times New Roman" w:hAnsi="Times New Roman"/>
        </w:rPr>
        <w:t xml:space="preserve"> WAC 480-15-630 and Tariff 15-C, Item 85:</w:t>
      </w:r>
      <w:r w:rsidR="007A3FEB">
        <w:rPr>
          <w:rFonts w:ascii="Times New Roman" w:hAnsi="Times New Roman"/>
        </w:rPr>
        <w:br/>
      </w:r>
    </w:p>
    <w:p w:rsidR="00C771E9" w:rsidRDefault="007A3FEB" w:rsidP="00D11C40">
      <w:pPr>
        <w:pStyle w:val="ListParagraph"/>
        <w:numPr>
          <w:ilvl w:val="0"/>
          <w:numId w:val="18"/>
        </w:numPr>
        <w:rPr>
          <w:rFonts w:ascii="Times New Roman" w:hAnsi="Times New Roman"/>
        </w:rPr>
      </w:pPr>
      <w:r>
        <w:rPr>
          <w:rFonts w:ascii="Times New Roman" w:hAnsi="Times New Roman"/>
        </w:rPr>
        <w:t>A</w:t>
      </w:r>
      <w:r w:rsidR="00C771E9">
        <w:rPr>
          <w:rFonts w:ascii="Times New Roman" w:hAnsi="Times New Roman"/>
        </w:rPr>
        <w:t xml:space="preserve"> section for recording storage charges</w:t>
      </w:r>
      <w:r>
        <w:rPr>
          <w:rFonts w:ascii="Times New Roman" w:hAnsi="Times New Roman"/>
        </w:rPr>
        <w:t>.</w:t>
      </w:r>
    </w:p>
    <w:p w:rsidR="00C771E9" w:rsidRDefault="007A3FEB" w:rsidP="00D11C40">
      <w:pPr>
        <w:pStyle w:val="ListParagraph"/>
        <w:numPr>
          <w:ilvl w:val="0"/>
          <w:numId w:val="18"/>
        </w:numPr>
        <w:rPr>
          <w:rFonts w:ascii="Times New Roman" w:hAnsi="Times New Roman"/>
        </w:rPr>
      </w:pPr>
      <w:r>
        <w:rPr>
          <w:rFonts w:ascii="Times New Roman" w:hAnsi="Times New Roman"/>
        </w:rPr>
        <w:t>A</w:t>
      </w:r>
      <w:r w:rsidR="00C771E9">
        <w:rPr>
          <w:rFonts w:ascii="Times New Roman" w:hAnsi="Times New Roman"/>
        </w:rPr>
        <w:t xml:space="preserve"> section for recording overtime hours and charges</w:t>
      </w:r>
      <w:r>
        <w:rPr>
          <w:rFonts w:ascii="Times New Roman" w:hAnsi="Times New Roman"/>
        </w:rPr>
        <w:t>.</w:t>
      </w:r>
    </w:p>
    <w:p w:rsidR="007A3FEB" w:rsidRPr="00791776" w:rsidRDefault="007A3FEB" w:rsidP="00D11C40">
      <w:pPr>
        <w:pStyle w:val="ListParagraph"/>
        <w:numPr>
          <w:ilvl w:val="0"/>
          <w:numId w:val="18"/>
        </w:numPr>
        <w:rPr>
          <w:rFonts w:ascii="Times New Roman" w:hAnsi="Times New Roman"/>
        </w:rPr>
      </w:pPr>
      <w:r>
        <w:rPr>
          <w:rFonts w:ascii="Times New Roman" w:hAnsi="Times New Roman"/>
        </w:rPr>
        <w:t xml:space="preserve">A section for recording </w:t>
      </w:r>
      <w:r w:rsidR="00237C1B">
        <w:rPr>
          <w:rFonts w:ascii="Times New Roman" w:hAnsi="Times New Roman"/>
        </w:rPr>
        <w:t>third party</w:t>
      </w:r>
      <w:r>
        <w:rPr>
          <w:rFonts w:ascii="Times New Roman" w:hAnsi="Times New Roman"/>
        </w:rPr>
        <w:t xml:space="preserve"> or accessorial services and associated charges.</w:t>
      </w:r>
    </w:p>
    <w:p w:rsidR="007A3FEB" w:rsidRDefault="007A3FEB" w:rsidP="00D11C40">
      <w:pPr>
        <w:pStyle w:val="ListParagraph"/>
        <w:numPr>
          <w:ilvl w:val="0"/>
          <w:numId w:val="18"/>
        </w:numPr>
        <w:rPr>
          <w:rFonts w:ascii="Times New Roman" w:hAnsi="Times New Roman"/>
        </w:rPr>
      </w:pPr>
      <w:r>
        <w:rPr>
          <w:rFonts w:ascii="Times New Roman" w:hAnsi="Times New Roman"/>
        </w:rPr>
        <w:t xml:space="preserve">A complete valuation section for charges for loss or damage protection coverage. While valuation options </w:t>
      </w:r>
      <w:proofErr w:type="gramStart"/>
      <w:r>
        <w:rPr>
          <w:rFonts w:ascii="Times New Roman" w:hAnsi="Times New Roman"/>
        </w:rPr>
        <w:t>are listed</w:t>
      </w:r>
      <w:proofErr w:type="gramEnd"/>
      <w:r>
        <w:rPr>
          <w:rFonts w:ascii="Times New Roman" w:hAnsi="Times New Roman"/>
        </w:rPr>
        <w:t>, explanations for each option are not provided.</w:t>
      </w:r>
    </w:p>
    <w:p w:rsidR="007A3FEB" w:rsidRDefault="007A3FEB" w:rsidP="007A3FEB">
      <w:pPr>
        <w:rPr>
          <w:rFonts w:ascii="Times New Roman" w:hAnsi="Times New Roman"/>
        </w:rPr>
      </w:pPr>
    </w:p>
    <w:p w:rsidR="00C771E9" w:rsidRDefault="007A3FEB" w:rsidP="007A3FEB">
      <w:pPr>
        <w:rPr>
          <w:rFonts w:ascii="Times New Roman" w:hAnsi="Times New Roman"/>
        </w:rPr>
      </w:pPr>
      <w:r>
        <w:rPr>
          <w:rFonts w:ascii="Times New Roman" w:hAnsi="Times New Roman"/>
        </w:rPr>
        <w:t xml:space="preserve">Lincoln Moving also failed to </w:t>
      </w:r>
      <w:r w:rsidR="00C771E9" w:rsidRPr="007A3FEB">
        <w:rPr>
          <w:rFonts w:ascii="Times New Roman" w:hAnsi="Times New Roman"/>
        </w:rPr>
        <w:t>include the company’s commission-issued household goods carrier permit number</w:t>
      </w:r>
      <w:r>
        <w:rPr>
          <w:rFonts w:ascii="Times New Roman" w:hAnsi="Times New Roman"/>
        </w:rPr>
        <w:t xml:space="preserve"> on its estimate form, which violates </w:t>
      </w:r>
      <w:r w:rsidR="00C771E9" w:rsidRPr="007A3FEB">
        <w:rPr>
          <w:rFonts w:ascii="Times New Roman" w:hAnsi="Times New Roman"/>
        </w:rPr>
        <w:t>WAC 480-15-610.</w:t>
      </w:r>
    </w:p>
    <w:p w:rsidR="00237C1B" w:rsidRDefault="00237C1B" w:rsidP="007A3FEB">
      <w:pPr>
        <w:rPr>
          <w:rFonts w:ascii="Times New Roman" w:hAnsi="Times New Roman"/>
        </w:rPr>
      </w:pPr>
    </w:p>
    <w:p w:rsidR="00237C1B" w:rsidRPr="007A3FEB" w:rsidRDefault="00237C1B" w:rsidP="007A3FEB">
      <w:pPr>
        <w:rPr>
          <w:rFonts w:ascii="Times New Roman" w:hAnsi="Times New Roman"/>
        </w:rPr>
      </w:pPr>
      <w:r>
        <w:rPr>
          <w:rFonts w:ascii="Times New Roman" w:hAnsi="Times New Roman"/>
        </w:rPr>
        <w:t>Staff recognizes that Lincoln Moving is using electronic estimate forms, and that fields may be available for storage, overtime, third party charges, and valuation descriptions that do not appear unless applicable. Staff is currently evaluating whether electronic forms comply with Tariff 15-C, which, at this time, does not provide for the use of electronic forms.</w:t>
      </w:r>
    </w:p>
    <w:p w:rsidR="00C771E9" w:rsidRPr="00C771E9" w:rsidRDefault="00C771E9" w:rsidP="007A3FEB">
      <w:pPr>
        <w:pStyle w:val="ListParagraph"/>
        <w:ind w:left="1500"/>
        <w:rPr>
          <w:rFonts w:ascii="Times New Roman" w:hAnsi="Times New Roman"/>
        </w:rPr>
      </w:pPr>
    </w:p>
    <w:p w:rsidR="00290609" w:rsidRDefault="002259E1">
      <w:pPr>
        <w:rPr>
          <w:rFonts w:ascii="Times New Roman" w:hAnsi="Times New Roman"/>
        </w:rPr>
      </w:pPr>
      <w:r>
        <w:rPr>
          <w:rFonts w:ascii="Times New Roman" w:hAnsi="Times New Roman"/>
        </w:rPr>
        <w:t xml:space="preserve">In addition, </w:t>
      </w:r>
      <w:r w:rsidR="00460D92">
        <w:rPr>
          <w:rFonts w:ascii="Times New Roman" w:hAnsi="Times New Roman"/>
        </w:rPr>
        <w:t xml:space="preserve">31 of </w:t>
      </w:r>
      <w:r>
        <w:rPr>
          <w:rFonts w:ascii="Times New Roman" w:hAnsi="Times New Roman"/>
        </w:rPr>
        <w:t xml:space="preserve">the </w:t>
      </w:r>
      <w:r w:rsidR="00574400">
        <w:rPr>
          <w:rFonts w:ascii="Times New Roman" w:hAnsi="Times New Roman"/>
        </w:rPr>
        <w:t xml:space="preserve">estimate </w:t>
      </w:r>
      <w:r>
        <w:rPr>
          <w:rFonts w:ascii="Times New Roman" w:hAnsi="Times New Roman"/>
        </w:rPr>
        <w:t xml:space="preserve">forms </w:t>
      </w:r>
      <w:r w:rsidR="007A3FEB">
        <w:rPr>
          <w:rFonts w:ascii="Times New Roman" w:hAnsi="Times New Roman"/>
        </w:rPr>
        <w:t xml:space="preserve">reviewed </w:t>
      </w:r>
      <w:proofErr w:type="gramStart"/>
      <w:r>
        <w:rPr>
          <w:rFonts w:ascii="Times New Roman" w:hAnsi="Times New Roman"/>
        </w:rPr>
        <w:t>were completed</w:t>
      </w:r>
      <w:proofErr w:type="gramEnd"/>
      <w:r>
        <w:rPr>
          <w:rFonts w:ascii="Times New Roman" w:hAnsi="Times New Roman"/>
        </w:rPr>
        <w:t xml:space="preserve"> </w:t>
      </w:r>
      <w:r w:rsidR="00A12558">
        <w:rPr>
          <w:rFonts w:ascii="Times New Roman" w:hAnsi="Times New Roman"/>
        </w:rPr>
        <w:t>in</w:t>
      </w:r>
      <w:r>
        <w:rPr>
          <w:rFonts w:ascii="Times New Roman" w:hAnsi="Times New Roman"/>
        </w:rPr>
        <w:t xml:space="preserve">correctly. Staff found </w:t>
      </w:r>
      <w:r w:rsidR="00574400">
        <w:rPr>
          <w:rFonts w:ascii="Times New Roman" w:hAnsi="Times New Roman"/>
        </w:rPr>
        <w:t xml:space="preserve">the following </w:t>
      </w:r>
      <w:r w:rsidR="00806E30">
        <w:rPr>
          <w:rFonts w:ascii="Times New Roman" w:hAnsi="Times New Roman"/>
        </w:rPr>
        <w:t xml:space="preserve">violations </w:t>
      </w:r>
      <w:r w:rsidR="00574400">
        <w:rPr>
          <w:rFonts w:ascii="Times New Roman" w:hAnsi="Times New Roman"/>
        </w:rPr>
        <w:t xml:space="preserve">on </w:t>
      </w:r>
      <w:r w:rsidR="00C14DE3">
        <w:rPr>
          <w:rFonts w:ascii="Times New Roman" w:hAnsi="Times New Roman"/>
        </w:rPr>
        <w:t xml:space="preserve">the </w:t>
      </w:r>
      <w:r w:rsidR="00574400">
        <w:rPr>
          <w:rFonts w:ascii="Times New Roman" w:hAnsi="Times New Roman"/>
        </w:rPr>
        <w:t>estimate forms</w:t>
      </w:r>
      <w:r w:rsidR="00E07C06">
        <w:rPr>
          <w:rFonts w:ascii="Times New Roman" w:hAnsi="Times New Roman"/>
        </w:rPr>
        <w:t xml:space="preserve"> reviewed</w:t>
      </w:r>
      <w:r>
        <w:rPr>
          <w:rFonts w:ascii="Times New Roman" w:hAnsi="Times New Roman"/>
        </w:rPr>
        <w:t>:</w:t>
      </w:r>
      <w:r w:rsidR="001A3986">
        <w:rPr>
          <w:rFonts w:ascii="Times New Roman" w:hAnsi="Times New Roman"/>
        </w:rPr>
        <w:t xml:space="preserve"> </w:t>
      </w:r>
      <w:r w:rsidR="00826D6C">
        <w:rPr>
          <w:rFonts w:ascii="Times New Roman" w:hAnsi="Times New Roman"/>
        </w:rPr>
        <w:br/>
      </w:r>
      <w:r w:rsidR="00A07CFE">
        <w:rPr>
          <w:rFonts w:ascii="Times New Roman" w:hAnsi="Times New Roman"/>
        </w:rPr>
        <w:t xml:space="preserve"> </w:t>
      </w:r>
    </w:p>
    <w:p w:rsidR="00D1200C" w:rsidRDefault="00A12558" w:rsidP="00D11C40">
      <w:pPr>
        <w:pStyle w:val="ListParagraph"/>
        <w:numPr>
          <w:ilvl w:val="0"/>
          <w:numId w:val="7"/>
        </w:numPr>
        <w:rPr>
          <w:rFonts w:ascii="Times New Roman" w:hAnsi="Times New Roman"/>
        </w:rPr>
      </w:pPr>
      <w:r>
        <w:rPr>
          <w:rFonts w:ascii="Times New Roman" w:hAnsi="Times New Roman"/>
        </w:rPr>
        <w:t>For 31</w:t>
      </w:r>
      <w:r w:rsidR="00031A9F">
        <w:rPr>
          <w:rFonts w:ascii="Times New Roman" w:hAnsi="Times New Roman"/>
        </w:rPr>
        <w:t xml:space="preserve"> of the </w:t>
      </w:r>
      <w:r w:rsidR="005D5262">
        <w:rPr>
          <w:rFonts w:ascii="Times New Roman" w:hAnsi="Times New Roman"/>
        </w:rPr>
        <w:t xml:space="preserve">estimates reviewed, </w:t>
      </w:r>
      <w:r>
        <w:rPr>
          <w:rFonts w:ascii="Times New Roman" w:hAnsi="Times New Roman"/>
        </w:rPr>
        <w:t xml:space="preserve">Lincoln Moving </w:t>
      </w:r>
      <w:r w:rsidR="005D5262">
        <w:rPr>
          <w:rFonts w:ascii="Times New Roman" w:hAnsi="Times New Roman"/>
        </w:rPr>
        <w:t xml:space="preserve">failed to </w:t>
      </w:r>
      <w:r>
        <w:rPr>
          <w:rFonts w:ascii="Times New Roman" w:hAnsi="Times New Roman"/>
        </w:rPr>
        <w:t>indicate the customer’s method of payment, as required by Tariff 15-C, Item 80(1).</w:t>
      </w:r>
      <w:r w:rsidR="00D1200C">
        <w:rPr>
          <w:rFonts w:ascii="Times New Roman" w:hAnsi="Times New Roman"/>
        </w:rPr>
        <w:t xml:space="preserve"> </w:t>
      </w:r>
    </w:p>
    <w:p w:rsidR="00A12558" w:rsidRDefault="00A12558" w:rsidP="00D11C40">
      <w:pPr>
        <w:pStyle w:val="ListParagraph"/>
        <w:numPr>
          <w:ilvl w:val="0"/>
          <w:numId w:val="7"/>
        </w:numPr>
        <w:rPr>
          <w:rFonts w:ascii="Times New Roman" w:hAnsi="Times New Roman"/>
        </w:rPr>
      </w:pPr>
      <w:r>
        <w:rPr>
          <w:rFonts w:ascii="Times New Roman" w:hAnsi="Times New Roman"/>
        </w:rPr>
        <w:lastRenderedPageBreak/>
        <w:t>For customer Hoffman, Lincoln Moving failed to list the rate charged for valuation, as required by Tariff 15-C, Item 85(2</w:t>
      </w:r>
      <w:proofErr w:type="gramStart"/>
      <w:r>
        <w:rPr>
          <w:rFonts w:ascii="Times New Roman" w:hAnsi="Times New Roman"/>
        </w:rPr>
        <w:t>)(</w:t>
      </w:r>
      <w:proofErr w:type="gramEnd"/>
      <w:r>
        <w:rPr>
          <w:rFonts w:ascii="Times New Roman" w:hAnsi="Times New Roman"/>
        </w:rPr>
        <w:t>m).</w:t>
      </w:r>
    </w:p>
    <w:p w:rsidR="00D1200C" w:rsidRDefault="00A12558" w:rsidP="00D11C40">
      <w:pPr>
        <w:pStyle w:val="ListParagraph"/>
        <w:numPr>
          <w:ilvl w:val="0"/>
          <w:numId w:val="7"/>
        </w:numPr>
        <w:rPr>
          <w:rFonts w:ascii="Times New Roman" w:hAnsi="Times New Roman"/>
        </w:rPr>
      </w:pPr>
      <w:r>
        <w:rPr>
          <w:rFonts w:ascii="Times New Roman" w:hAnsi="Times New Roman"/>
        </w:rPr>
        <w:t xml:space="preserve"> For customer Hoffman, Lincoln Moving failed to obtain both the customer’s and estimator’s signature, as required by Tariff 15-C, Item 85(2</w:t>
      </w:r>
      <w:proofErr w:type="gramStart"/>
      <w:r>
        <w:rPr>
          <w:rFonts w:ascii="Times New Roman" w:hAnsi="Times New Roman"/>
        </w:rPr>
        <w:t>)(</w:t>
      </w:r>
      <w:proofErr w:type="gramEnd"/>
      <w:r>
        <w:rPr>
          <w:rFonts w:ascii="Times New Roman" w:hAnsi="Times New Roman"/>
        </w:rPr>
        <w:t>s).</w:t>
      </w:r>
    </w:p>
    <w:p w:rsidR="00A12558" w:rsidRDefault="00A12558" w:rsidP="00D11C40">
      <w:pPr>
        <w:pStyle w:val="ListParagraph"/>
        <w:numPr>
          <w:ilvl w:val="0"/>
          <w:numId w:val="7"/>
        </w:numPr>
        <w:rPr>
          <w:rFonts w:ascii="Times New Roman" w:hAnsi="Times New Roman"/>
        </w:rPr>
      </w:pPr>
      <w:r>
        <w:rPr>
          <w:rFonts w:ascii="Times New Roman" w:hAnsi="Times New Roman"/>
        </w:rPr>
        <w:t xml:space="preserve">For customers </w:t>
      </w:r>
      <w:proofErr w:type="spellStart"/>
      <w:r>
        <w:rPr>
          <w:rFonts w:ascii="Times New Roman" w:hAnsi="Times New Roman"/>
        </w:rPr>
        <w:t>Danz</w:t>
      </w:r>
      <w:proofErr w:type="spellEnd"/>
      <w:r>
        <w:rPr>
          <w:rFonts w:ascii="Times New Roman" w:hAnsi="Times New Roman"/>
        </w:rPr>
        <w:t xml:space="preserve">, </w:t>
      </w:r>
      <w:proofErr w:type="spellStart"/>
      <w:r>
        <w:rPr>
          <w:rFonts w:ascii="Times New Roman" w:hAnsi="Times New Roman"/>
        </w:rPr>
        <w:t>Henrickson</w:t>
      </w:r>
      <w:proofErr w:type="spellEnd"/>
      <w:r>
        <w:rPr>
          <w:rFonts w:ascii="Times New Roman" w:hAnsi="Times New Roman"/>
        </w:rPr>
        <w:t xml:space="preserve">, and </w:t>
      </w:r>
      <w:proofErr w:type="spellStart"/>
      <w:r>
        <w:rPr>
          <w:rFonts w:ascii="Times New Roman" w:hAnsi="Times New Roman"/>
        </w:rPr>
        <w:t>Lubrin</w:t>
      </w:r>
      <w:proofErr w:type="spellEnd"/>
      <w:r>
        <w:rPr>
          <w:rFonts w:ascii="Times New Roman" w:hAnsi="Times New Roman"/>
        </w:rPr>
        <w:t>, Lincoln Moving failed to obtain the customer’s signature, as required by Tariff 15-C, Item 85(2</w:t>
      </w:r>
      <w:proofErr w:type="gramStart"/>
      <w:r>
        <w:rPr>
          <w:rFonts w:ascii="Times New Roman" w:hAnsi="Times New Roman"/>
        </w:rPr>
        <w:t>)(</w:t>
      </w:r>
      <w:proofErr w:type="gramEnd"/>
      <w:r>
        <w:rPr>
          <w:rFonts w:ascii="Times New Roman" w:hAnsi="Times New Roman"/>
        </w:rPr>
        <w:t xml:space="preserve">s). </w:t>
      </w:r>
    </w:p>
    <w:p w:rsidR="00A12558" w:rsidRDefault="00A12558" w:rsidP="00D11C40">
      <w:pPr>
        <w:pStyle w:val="ListParagraph"/>
        <w:numPr>
          <w:ilvl w:val="0"/>
          <w:numId w:val="7"/>
        </w:numPr>
        <w:rPr>
          <w:rFonts w:ascii="Times New Roman" w:hAnsi="Times New Roman"/>
        </w:rPr>
      </w:pPr>
      <w:r>
        <w:rPr>
          <w:rFonts w:ascii="Times New Roman" w:hAnsi="Times New Roman"/>
        </w:rPr>
        <w:t xml:space="preserve">For customer Barnett, the estimate issued on February 4, 2011, lists a total charge of $2,295 for local transportation and labor with </w:t>
      </w:r>
      <w:r w:rsidR="005D13BE">
        <w:rPr>
          <w:rFonts w:ascii="Times New Roman" w:hAnsi="Times New Roman"/>
        </w:rPr>
        <w:t xml:space="preserve">no </w:t>
      </w:r>
      <w:r>
        <w:rPr>
          <w:rFonts w:ascii="Times New Roman" w:hAnsi="Times New Roman"/>
        </w:rPr>
        <w:t>breakdown</w:t>
      </w:r>
      <w:r w:rsidR="00460D92">
        <w:rPr>
          <w:rFonts w:ascii="Times New Roman" w:hAnsi="Times New Roman"/>
        </w:rPr>
        <w:t xml:space="preserve"> for rate and hours</w:t>
      </w:r>
      <w:r>
        <w:rPr>
          <w:rFonts w:ascii="Times New Roman" w:hAnsi="Times New Roman"/>
        </w:rPr>
        <w:t>.</w:t>
      </w:r>
    </w:p>
    <w:p w:rsidR="007A3D69" w:rsidRDefault="007A3D69" w:rsidP="00E47A82">
      <w:pPr>
        <w:rPr>
          <w:rFonts w:ascii="Times New Roman" w:hAnsi="Times New Roman"/>
        </w:rPr>
      </w:pPr>
    </w:p>
    <w:p w:rsidR="00E8274B" w:rsidRDefault="00EB3569" w:rsidP="00E47A82">
      <w:pPr>
        <w:pStyle w:val="Heading2"/>
        <w:jc w:val="left"/>
        <w:rPr>
          <w:rFonts w:ascii="Times New Roman" w:hAnsi="Times New Roman"/>
        </w:rPr>
      </w:pPr>
      <w:proofErr w:type="spellStart"/>
      <w:r w:rsidRPr="0075167D">
        <w:rPr>
          <w:rFonts w:ascii="Times New Roman" w:hAnsi="Times New Roman"/>
        </w:rPr>
        <w:t>Fin</w:t>
      </w:r>
      <w:r w:rsidR="00E8274B" w:rsidRPr="0075167D">
        <w:rPr>
          <w:rFonts w:ascii="Times New Roman" w:hAnsi="Times New Roman"/>
        </w:rPr>
        <w:t>dings</w:t>
      </w:r>
      <w:proofErr w:type="spellEnd"/>
    </w:p>
    <w:p w:rsidR="00CA6AF1" w:rsidRDefault="00A12558" w:rsidP="00C13BA5">
      <w:pPr>
        <w:rPr>
          <w:rFonts w:ascii="Times New Roman" w:hAnsi="Times New Roman"/>
          <w:lang w:val="fr-FR"/>
        </w:rPr>
      </w:pPr>
      <w:r>
        <w:rPr>
          <w:rFonts w:ascii="Times New Roman" w:hAnsi="Times New Roman"/>
          <w:lang w:val="fr-FR"/>
        </w:rPr>
        <w:t xml:space="preserve">Lincoln </w:t>
      </w:r>
      <w:proofErr w:type="spellStart"/>
      <w:r>
        <w:rPr>
          <w:rFonts w:ascii="Times New Roman" w:hAnsi="Times New Roman"/>
          <w:lang w:val="fr-FR"/>
        </w:rPr>
        <w:t>Moving’s</w:t>
      </w:r>
      <w:proofErr w:type="spellEnd"/>
      <w:r>
        <w:rPr>
          <w:rFonts w:ascii="Times New Roman" w:hAnsi="Times New Roman"/>
          <w:lang w:val="fr-FR"/>
        </w:rPr>
        <w:t xml:space="preserve"> </w:t>
      </w:r>
      <w:proofErr w:type="spellStart"/>
      <w:r>
        <w:rPr>
          <w:rFonts w:ascii="Times New Roman" w:hAnsi="Times New Roman"/>
          <w:lang w:val="fr-FR"/>
        </w:rPr>
        <w:t>revised</w:t>
      </w:r>
      <w:proofErr w:type="spellEnd"/>
      <w:r>
        <w:rPr>
          <w:rFonts w:ascii="Times New Roman" w:hAnsi="Times New Roman"/>
          <w:lang w:val="fr-FR"/>
        </w:rPr>
        <w:t xml:space="preserve"> </w:t>
      </w:r>
      <w:proofErr w:type="spellStart"/>
      <w:r>
        <w:rPr>
          <w:rFonts w:ascii="Times New Roman" w:hAnsi="Times New Roman"/>
          <w:lang w:val="fr-FR"/>
        </w:rPr>
        <w:t>estimate</w:t>
      </w:r>
      <w:proofErr w:type="spellEnd"/>
      <w:r>
        <w:rPr>
          <w:rFonts w:ascii="Times New Roman" w:hAnsi="Times New Roman"/>
          <w:lang w:val="fr-FR"/>
        </w:rPr>
        <w:t xml:space="preserve"> </w:t>
      </w:r>
      <w:proofErr w:type="spellStart"/>
      <w:r>
        <w:rPr>
          <w:rFonts w:ascii="Times New Roman" w:hAnsi="Times New Roman"/>
          <w:lang w:val="fr-FR"/>
        </w:rPr>
        <w:t>form</w:t>
      </w:r>
      <w:proofErr w:type="spellEnd"/>
      <w:r>
        <w:rPr>
          <w:rFonts w:ascii="Times New Roman" w:hAnsi="Times New Roman"/>
          <w:lang w:val="fr-FR"/>
        </w:rPr>
        <w:t xml:space="preserve"> </w:t>
      </w:r>
      <w:proofErr w:type="spellStart"/>
      <w:r>
        <w:rPr>
          <w:rFonts w:ascii="Times New Roman" w:hAnsi="Times New Roman"/>
          <w:lang w:val="fr-FR"/>
        </w:rPr>
        <w:t>contains</w:t>
      </w:r>
      <w:proofErr w:type="spellEnd"/>
      <w:r>
        <w:rPr>
          <w:rFonts w:ascii="Times New Roman" w:hAnsi="Times New Roman"/>
          <w:lang w:val="fr-FR"/>
        </w:rPr>
        <w:t xml:space="preserve"> </w:t>
      </w:r>
      <w:r w:rsidR="005D13BE">
        <w:rPr>
          <w:rFonts w:ascii="Times New Roman" w:hAnsi="Times New Roman"/>
          <w:lang w:val="fr-FR"/>
        </w:rPr>
        <w:t>four</w:t>
      </w:r>
      <w:r>
        <w:rPr>
          <w:rFonts w:ascii="Times New Roman" w:hAnsi="Times New Roman"/>
          <w:lang w:val="fr-FR"/>
        </w:rPr>
        <w:t xml:space="preserve"> violations of WAC 480-15</w:t>
      </w:r>
      <w:r w:rsidR="00DE6B40">
        <w:rPr>
          <w:rFonts w:ascii="Times New Roman" w:hAnsi="Times New Roman"/>
          <w:lang w:val="fr-FR"/>
        </w:rPr>
        <w:t>-630</w:t>
      </w:r>
      <w:r>
        <w:rPr>
          <w:rFonts w:ascii="Times New Roman" w:hAnsi="Times New Roman"/>
          <w:lang w:val="fr-FR"/>
        </w:rPr>
        <w:t xml:space="preserve"> and </w:t>
      </w:r>
      <w:proofErr w:type="spellStart"/>
      <w:r>
        <w:rPr>
          <w:rFonts w:ascii="Times New Roman" w:hAnsi="Times New Roman"/>
          <w:lang w:val="fr-FR"/>
        </w:rPr>
        <w:t>Tariff</w:t>
      </w:r>
      <w:proofErr w:type="spellEnd"/>
      <w:r>
        <w:rPr>
          <w:rFonts w:ascii="Times New Roman" w:hAnsi="Times New Roman"/>
          <w:lang w:val="fr-FR"/>
        </w:rPr>
        <w:t xml:space="preserve"> 15-C</w:t>
      </w:r>
      <w:r w:rsidR="00DE6B40">
        <w:rPr>
          <w:rFonts w:ascii="Times New Roman" w:hAnsi="Times New Roman"/>
          <w:lang w:val="fr-FR"/>
        </w:rPr>
        <w:t>, Item 85</w:t>
      </w:r>
      <w:r w:rsidR="005D13BE">
        <w:rPr>
          <w:rFonts w:ascii="Times New Roman" w:hAnsi="Times New Roman"/>
          <w:lang w:val="fr-FR"/>
        </w:rPr>
        <w:t xml:space="preserve">, </w:t>
      </w:r>
      <w:proofErr w:type="spellStart"/>
      <w:r w:rsidR="005D13BE">
        <w:rPr>
          <w:rFonts w:ascii="Times New Roman" w:hAnsi="Times New Roman"/>
          <w:lang w:val="fr-FR"/>
        </w:rPr>
        <w:t>discussed</w:t>
      </w:r>
      <w:proofErr w:type="spellEnd"/>
      <w:r w:rsidR="005D13BE">
        <w:rPr>
          <w:rFonts w:ascii="Times New Roman" w:hAnsi="Times New Roman"/>
          <w:lang w:val="fr-FR"/>
        </w:rPr>
        <w:t xml:space="preserve"> </w:t>
      </w:r>
      <w:proofErr w:type="spellStart"/>
      <w:r w:rsidR="005D13BE">
        <w:rPr>
          <w:rFonts w:ascii="Times New Roman" w:hAnsi="Times New Roman"/>
          <w:lang w:val="fr-FR"/>
        </w:rPr>
        <w:t>above</w:t>
      </w:r>
      <w:proofErr w:type="spellEnd"/>
      <w:r>
        <w:rPr>
          <w:rFonts w:ascii="Times New Roman" w:hAnsi="Times New Roman"/>
          <w:lang w:val="fr-FR"/>
        </w:rPr>
        <w:t xml:space="preserve">. </w:t>
      </w:r>
      <w:r w:rsidR="00DE6B40">
        <w:rPr>
          <w:rFonts w:ascii="Times New Roman" w:hAnsi="Times New Roman"/>
          <w:lang w:val="fr-FR"/>
        </w:rPr>
        <w:t xml:space="preserve">In addition, </w:t>
      </w:r>
      <w:r>
        <w:rPr>
          <w:rFonts w:ascii="Times New Roman" w:hAnsi="Times New Roman"/>
          <w:lang w:val="fr-FR"/>
        </w:rPr>
        <w:t xml:space="preserve">Lincoln </w:t>
      </w:r>
      <w:proofErr w:type="spellStart"/>
      <w:r>
        <w:rPr>
          <w:rFonts w:ascii="Times New Roman" w:hAnsi="Times New Roman"/>
          <w:lang w:val="fr-FR"/>
        </w:rPr>
        <w:t>Moving</w:t>
      </w:r>
      <w:proofErr w:type="spellEnd"/>
      <w:r>
        <w:rPr>
          <w:rFonts w:ascii="Times New Roman" w:hAnsi="Times New Roman"/>
          <w:lang w:val="fr-FR"/>
        </w:rPr>
        <w:t xml:space="preserve"> </w:t>
      </w:r>
      <w:proofErr w:type="spellStart"/>
      <w:r>
        <w:rPr>
          <w:rFonts w:ascii="Times New Roman" w:hAnsi="Times New Roman"/>
          <w:lang w:val="fr-FR"/>
        </w:rPr>
        <w:t>failed</w:t>
      </w:r>
      <w:proofErr w:type="spellEnd"/>
      <w:r w:rsidR="00DE6B40">
        <w:rPr>
          <w:rFonts w:ascii="Times New Roman" w:hAnsi="Times New Roman"/>
          <w:lang w:val="fr-FR"/>
        </w:rPr>
        <w:t xml:space="preserve"> to </w:t>
      </w:r>
      <w:proofErr w:type="spellStart"/>
      <w:r w:rsidR="00DE6B40">
        <w:rPr>
          <w:rFonts w:ascii="Times New Roman" w:hAnsi="Times New Roman"/>
          <w:lang w:val="fr-FR"/>
        </w:rPr>
        <w:t>properly</w:t>
      </w:r>
      <w:proofErr w:type="spellEnd"/>
      <w:r w:rsidR="00DE6B40">
        <w:rPr>
          <w:rFonts w:ascii="Times New Roman" w:hAnsi="Times New Roman"/>
          <w:lang w:val="fr-FR"/>
        </w:rPr>
        <w:t xml:space="preserve"> </w:t>
      </w:r>
      <w:proofErr w:type="spellStart"/>
      <w:r w:rsidR="00DE6B40">
        <w:rPr>
          <w:rFonts w:ascii="Times New Roman" w:hAnsi="Times New Roman"/>
          <w:lang w:val="fr-FR"/>
        </w:rPr>
        <w:t>complete</w:t>
      </w:r>
      <w:proofErr w:type="spellEnd"/>
      <w:r w:rsidR="00DE6B40">
        <w:rPr>
          <w:rFonts w:ascii="Times New Roman" w:hAnsi="Times New Roman"/>
          <w:lang w:val="fr-FR"/>
        </w:rPr>
        <w:t xml:space="preserve"> </w:t>
      </w:r>
      <w:proofErr w:type="spellStart"/>
      <w:r w:rsidR="00DE6B40">
        <w:rPr>
          <w:rFonts w:ascii="Times New Roman" w:hAnsi="Times New Roman"/>
          <w:lang w:val="fr-FR"/>
        </w:rPr>
        <w:t>estimates</w:t>
      </w:r>
      <w:proofErr w:type="spellEnd"/>
      <w:r w:rsidR="00DE6B40">
        <w:rPr>
          <w:rFonts w:ascii="Times New Roman" w:hAnsi="Times New Roman"/>
          <w:lang w:val="fr-FR"/>
        </w:rPr>
        <w:t xml:space="preserve"> for 31 of the moves </w:t>
      </w:r>
      <w:proofErr w:type="spellStart"/>
      <w:r w:rsidR="00DE6B40">
        <w:rPr>
          <w:rFonts w:ascii="Times New Roman" w:hAnsi="Times New Roman"/>
          <w:lang w:val="fr-FR"/>
        </w:rPr>
        <w:t>review</w:t>
      </w:r>
      <w:r w:rsidR="005D13BE">
        <w:rPr>
          <w:rFonts w:ascii="Times New Roman" w:hAnsi="Times New Roman"/>
          <w:lang w:val="fr-FR"/>
        </w:rPr>
        <w:t>e</w:t>
      </w:r>
      <w:r w:rsidR="00DE6B40">
        <w:rPr>
          <w:rFonts w:ascii="Times New Roman" w:hAnsi="Times New Roman"/>
          <w:lang w:val="fr-FR"/>
        </w:rPr>
        <w:t>d</w:t>
      </w:r>
      <w:proofErr w:type="spellEnd"/>
      <w:r w:rsidR="00DE6B40">
        <w:rPr>
          <w:rFonts w:ascii="Times New Roman" w:hAnsi="Times New Roman"/>
          <w:lang w:val="fr-FR"/>
        </w:rPr>
        <w:t xml:space="preserve">, in violation of WAC 480-15-630 and </w:t>
      </w:r>
      <w:proofErr w:type="spellStart"/>
      <w:r w:rsidR="00DE6B40">
        <w:rPr>
          <w:rFonts w:ascii="Times New Roman" w:hAnsi="Times New Roman"/>
          <w:lang w:val="fr-FR"/>
        </w:rPr>
        <w:t>Tariff</w:t>
      </w:r>
      <w:proofErr w:type="spellEnd"/>
      <w:r w:rsidR="00DE6B40">
        <w:rPr>
          <w:rFonts w:ascii="Times New Roman" w:hAnsi="Times New Roman"/>
          <w:lang w:val="fr-FR"/>
        </w:rPr>
        <w:t xml:space="preserve"> 15-C, Item</w:t>
      </w:r>
      <w:r w:rsidR="00460D92">
        <w:rPr>
          <w:rFonts w:ascii="Times New Roman" w:hAnsi="Times New Roman"/>
          <w:lang w:val="fr-FR"/>
        </w:rPr>
        <w:t>s 80 and</w:t>
      </w:r>
      <w:r w:rsidR="00DE6B40">
        <w:rPr>
          <w:rFonts w:ascii="Times New Roman" w:hAnsi="Times New Roman"/>
          <w:lang w:val="fr-FR"/>
        </w:rPr>
        <w:t xml:space="preserve"> 85.</w:t>
      </w:r>
    </w:p>
    <w:p w:rsidR="005F5401" w:rsidRDefault="005F5401" w:rsidP="00C13BA5">
      <w:pPr>
        <w:rPr>
          <w:lang w:val="fr-FR"/>
        </w:rPr>
      </w:pPr>
    </w:p>
    <w:p w:rsidR="00C13BA5" w:rsidRPr="00C13BA5" w:rsidRDefault="00C13BA5" w:rsidP="00C13BA5">
      <w:pPr>
        <w:rPr>
          <w:rFonts w:ascii="Times New Roman" w:hAnsi="Times New Roman"/>
          <w:b/>
          <w:lang w:val="fr-FR"/>
        </w:rPr>
      </w:pPr>
      <w:r w:rsidRPr="00C13BA5">
        <w:rPr>
          <w:rFonts w:ascii="Times New Roman" w:hAnsi="Times New Roman"/>
          <w:b/>
          <w:lang w:val="fr-FR"/>
        </w:rPr>
        <w:t>Recommendation</w:t>
      </w:r>
    </w:p>
    <w:p w:rsidR="002F2A93" w:rsidRPr="00557974" w:rsidRDefault="005C34E6" w:rsidP="00533285">
      <w:pPr>
        <w:pStyle w:val="Heading2"/>
        <w:jc w:val="left"/>
        <w:rPr>
          <w:rFonts w:ascii="Times New Roman" w:hAnsi="Times New Roman"/>
          <w:b w:val="0"/>
        </w:rPr>
      </w:pPr>
      <w:r w:rsidRPr="0075167D">
        <w:rPr>
          <w:rFonts w:ascii="Times New Roman" w:hAnsi="Times New Roman"/>
          <w:b w:val="0"/>
        </w:rPr>
        <w:t xml:space="preserve">Staff </w:t>
      </w:r>
      <w:proofErr w:type="spellStart"/>
      <w:r w:rsidRPr="0075167D">
        <w:rPr>
          <w:rFonts w:ascii="Times New Roman" w:hAnsi="Times New Roman"/>
          <w:b w:val="0"/>
        </w:rPr>
        <w:t>advises</w:t>
      </w:r>
      <w:proofErr w:type="spellEnd"/>
      <w:r w:rsidRPr="0075167D">
        <w:rPr>
          <w:rFonts w:ascii="Times New Roman" w:hAnsi="Times New Roman"/>
          <w:b w:val="0"/>
        </w:rPr>
        <w:t xml:space="preserve"> </w:t>
      </w:r>
      <w:proofErr w:type="spellStart"/>
      <w:r w:rsidRPr="0075167D">
        <w:rPr>
          <w:rFonts w:ascii="Times New Roman" w:hAnsi="Times New Roman"/>
          <w:b w:val="0"/>
        </w:rPr>
        <w:t>that</w:t>
      </w:r>
      <w:proofErr w:type="spellEnd"/>
      <w:r w:rsidRPr="0075167D">
        <w:rPr>
          <w:rFonts w:ascii="Times New Roman" w:hAnsi="Times New Roman"/>
          <w:b w:val="0"/>
        </w:rPr>
        <w:t xml:space="preserve"> </w:t>
      </w:r>
      <w:r w:rsidR="00DE6B40">
        <w:rPr>
          <w:rFonts w:ascii="Times New Roman" w:hAnsi="Times New Roman"/>
          <w:b w:val="0"/>
        </w:rPr>
        <w:t>Lincoln</w:t>
      </w:r>
      <w:r w:rsidR="005F5401">
        <w:rPr>
          <w:rFonts w:ascii="Times New Roman" w:hAnsi="Times New Roman"/>
          <w:b w:val="0"/>
        </w:rPr>
        <w:t xml:space="preserve"> </w:t>
      </w:r>
      <w:proofErr w:type="spellStart"/>
      <w:r w:rsidR="005F5401">
        <w:rPr>
          <w:rFonts w:ascii="Times New Roman" w:hAnsi="Times New Roman"/>
          <w:b w:val="0"/>
        </w:rPr>
        <w:t>Moving</w:t>
      </w:r>
      <w:proofErr w:type="spellEnd"/>
      <w:r w:rsidR="00DE6B40">
        <w:rPr>
          <w:rFonts w:ascii="Times New Roman" w:hAnsi="Times New Roman"/>
          <w:b w:val="0"/>
        </w:rPr>
        <w:t xml:space="preserve"> must </w:t>
      </w:r>
      <w:proofErr w:type="spellStart"/>
      <w:r w:rsidR="00E47A82" w:rsidRPr="0075167D">
        <w:rPr>
          <w:rFonts w:ascii="Times New Roman" w:hAnsi="Times New Roman"/>
          <w:b w:val="0"/>
        </w:rPr>
        <w:t>provide</w:t>
      </w:r>
      <w:proofErr w:type="spellEnd"/>
      <w:r w:rsidR="00E47A82" w:rsidRPr="0075167D">
        <w:rPr>
          <w:rFonts w:ascii="Times New Roman" w:hAnsi="Times New Roman"/>
          <w:b w:val="0"/>
        </w:rPr>
        <w:t xml:space="preserve"> a </w:t>
      </w:r>
      <w:proofErr w:type="spellStart"/>
      <w:r w:rsidR="00E47A82" w:rsidRPr="0075167D">
        <w:rPr>
          <w:rFonts w:ascii="Times New Roman" w:hAnsi="Times New Roman"/>
          <w:b w:val="0"/>
        </w:rPr>
        <w:t>properly</w:t>
      </w:r>
      <w:proofErr w:type="spellEnd"/>
      <w:r w:rsidR="00E47A82" w:rsidRPr="0075167D">
        <w:rPr>
          <w:rFonts w:ascii="Times New Roman" w:hAnsi="Times New Roman"/>
          <w:b w:val="0"/>
        </w:rPr>
        <w:t xml:space="preserve"> </w:t>
      </w:r>
      <w:proofErr w:type="spellStart"/>
      <w:r w:rsidR="00E47A82" w:rsidRPr="0075167D">
        <w:rPr>
          <w:rFonts w:ascii="Times New Roman" w:hAnsi="Times New Roman"/>
          <w:b w:val="0"/>
        </w:rPr>
        <w:t>completed</w:t>
      </w:r>
      <w:proofErr w:type="spellEnd"/>
      <w:r w:rsidR="00E47A82" w:rsidRPr="0075167D">
        <w:rPr>
          <w:rFonts w:ascii="Times New Roman" w:hAnsi="Times New Roman"/>
          <w:b w:val="0"/>
        </w:rPr>
        <w:t xml:space="preserve"> </w:t>
      </w:r>
      <w:r w:rsidR="002F2A93" w:rsidRPr="0075167D">
        <w:rPr>
          <w:rFonts w:ascii="Times New Roman" w:hAnsi="Times New Roman"/>
          <w:b w:val="0"/>
        </w:rPr>
        <w:t xml:space="preserve">estimate to </w:t>
      </w:r>
      <w:r w:rsidR="0057645B" w:rsidRPr="0075167D">
        <w:rPr>
          <w:rFonts w:ascii="Times New Roman" w:hAnsi="Times New Roman"/>
          <w:b w:val="0"/>
        </w:rPr>
        <w:t xml:space="preserve">each </w:t>
      </w:r>
      <w:r w:rsidR="002F2A93" w:rsidRPr="0075167D">
        <w:rPr>
          <w:rFonts w:ascii="Times New Roman" w:hAnsi="Times New Roman"/>
          <w:b w:val="0"/>
        </w:rPr>
        <w:t>customer prior to moving the customer’s goods</w:t>
      </w:r>
      <w:r w:rsidR="00E47A82" w:rsidRPr="0075167D">
        <w:rPr>
          <w:rFonts w:ascii="Times New Roman" w:hAnsi="Times New Roman"/>
          <w:b w:val="0"/>
        </w:rPr>
        <w:t>. T</w:t>
      </w:r>
      <w:r w:rsidR="002F2A93" w:rsidRPr="0075167D">
        <w:rPr>
          <w:rFonts w:ascii="Times New Roman" w:hAnsi="Times New Roman"/>
          <w:b w:val="0"/>
        </w:rPr>
        <w:t xml:space="preserve">he </w:t>
      </w:r>
      <w:proofErr w:type="spellStart"/>
      <w:r w:rsidR="002F2A93" w:rsidRPr="0075167D">
        <w:rPr>
          <w:rFonts w:ascii="Times New Roman" w:hAnsi="Times New Roman"/>
          <w:b w:val="0"/>
        </w:rPr>
        <w:t>estimate</w:t>
      </w:r>
      <w:proofErr w:type="spellEnd"/>
      <w:r w:rsidR="002F2A93" w:rsidRPr="0075167D">
        <w:rPr>
          <w:rFonts w:ascii="Times New Roman" w:hAnsi="Times New Roman"/>
          <w:b w:val="0"/>
        </w:rPr>
        <w:t xml:space="preserve"> </w:t>
      </w:r>
      <w:proofErr w:type="spellStart"/>
      <w:r w:rsidR="002F2A93" w:rsidRPr="0075167D">
        <w:rPr>
          <w:rFonts w:ascii="Times New Roman" w:hAnsi="Times New Roman"/>
          <w:b w:val="0"/>
        </w:rPr>
        <w:t>form</w:t>
      </w:r>
      <w:proofErr w:type="spellEnd"/>
      <w:r w:rsidR="002F2A93" w:rsidRPr="0075167D">
        <w:rPr>
          <w:rFonts w:ascii="Times New Roman" w:hAnsi="Times New Roman"/>
          <w:b w:val="0"/>
        </w:rPr>
        <w:t xml:space="preserve"> must </w:t>
      </w:r>
      <w:proofErr w:type="spellStart"/>
      <w:r w:rsidR="002F2A93" w:rsidRPr="0075167D">
        <w:rPr>
          <w:rFonts w:ascii="Times New Roman" w:hAnsi="Times New Roman"/>
          <w:b w:val="0"/>
        </w:rPr>
        <w:t>include</w:t>
      </w:r>
      <w:proofErr w:type="spellEnd"/>
      <w:r w:rsidR="002F2A93" w:rsidRPr="0075167D">
        <w:rPr>
          <w:rFonts w:ascii="Times New Roman" w:hAnsi="Times New Roman"/>
          <w:b w:val="0"/>
        </w:rPr>
        <w:t xml:space="preserve"> all </w:t>
      </w:r>
      <w:r w:rsidR="00DE6B40">
        <w:rPr>
          <w:rFonts w:ascii="Times New Roman" w:hAnsi="Times New Roman"/>
          <w:b w:val="0"/>
        </w:rPr>
        <w:t xml:space="preserve">of the </w:t>
      </w:r>
      <w:r w:rsidRPr="0075167D">
        <w:rPr>
          <w:rFonts w:ascii="Times New Roman" w:hAnsi="Times New Roman"/>
          <w:b w:val="0"/>
        </w:rPr>
        <w:t xml:space="preserve">information </w:t>
      </w:r>
      <w:proofErr w:type="spellStart"/>
      <w:r w:rsidRPr="0075167D">
        <w:rPr>
          <w:rFonts w:ascii="Times New Roman" w:hAnsi="Times New Roman"/>
          <w:b w:val="0"/>
        </w:rPr>
        <w:t>required</w:t>
      </w:r>
      <w:proofErr w:type="spellEnd"/>
      <w:r w:rsidRPr="0075167D">
        <w:rPr>
          <w:rFonts w:ascii="Times New Roman" w:hAnsi="Times New Roman"/>
          <w:b w:val="0"/>
        </w:rPr>
        <w:t xml:space="preserve"> </w:t>
      </w:r>
      <w:r w:rsidR="00C13BA5">
        <w:rPr>
          <w:rFonts w:ascii="Times New Roman" w:hAnsi="Times New Roman"/>
          <w:b w:val="0"/>
        </w:rPr>
        <w:t>by WAC 480-15-630</w:t>
      </w:r>
      <w:r w:rsidR="002F2A93" w:rsidRPr="0075167D">
        <w:rPr>
          <w:rFonts w:ascii="Times New Roman" w:hAnsi="Times New Roman"/>
          <w:b w:val="0"/>
        </w:rPr>
        <w:t xml:space="preserve"> and </w:t>
      </w:r>
      <w:r w:rsidR="00C13BA5">
        <w:rPr>
          <w:rFonts w:ascii="Times New Roman" w:hAnsi="Times New Roman"/>
          <w:b w:val="0"/>
        </w:rPr>
        <w:t>T</w:t>
      </w:r>
      <w:r w:rsidR="002F2A93" w:rsidRPr="0075167D">
        <w:rPr>
          <w:rFonts w:ascii="Times New Roman" w:hAnsi="Times New Roman"/>
          <w:b w:val="0"/>
        </w:rPr>
        <w:t>ariff</w:t>
      </w:r>
      <w:r w:rsidR="00C13BA5">
        <w:rPr>
          <w:rFonts w:ascii="Times New Roman" w:hAnsi="Times New Roman"/>
          <w:b w:val="0"/>
        </w:rPr>
        <w:t xml:space="preserve"> 15-C</w:t>
      </w:r>
      <w:r w:rsidR="002F2A93" w:rsidRPr="0075167D">
        <w:rPr>
          <w:rFonts w:ascii="Times New Roman" w:hAnsi="Times New Roman"/>
          <w:b w:val="0"/>
        </w:rPr>
        <w:t>.</w:t>
      </w:r>
      <w:r w:rsidR="000F5A86" w:rsidRPr="0075167D">
        <w:rPr>
          <w:rFonts w:ascii="Times New Roman" w:hAnsi="Times New Roman"/>
          <w:b w:val="0"/>
        </w:rPr>
        <w:t xml:space="preserve"> </w:t>
      </w:r>
      <w:r w:rsidR="00F7383B">
        <w:rPr>
          <w:rFonts w:ascii="Times New Roman" w:hAnsi="Times New Roman"/>
          <w:b w:val="0"/>
        </w:rPr>
        <w:t>The correct</w:t>
      </w:r>
      <w:r w:rsidR="00806E30">
        <w:rPr>
          <w:rFonts w:ascii="Times New Roman" w:hAnsi="Times New Roman"/>
          <w:b w:val="0"/>
        </w:rPr>
        <w:t xml:space="preserve"> </w:t>
      </w:r>
      <w:proofErr w:type="spellStart"/>
      <w:r w:rsidR="00806E30">
        <w:rPr>
          <w:rFonts w:ascii="Times New Roman" w:hAnsi="Times New Roman"/>
          <w:b w:val="0"/>
        </w:rPr>
        <w:t>form</w:t>
      </w:r>
      <w:proofErr w:type="spellEnd"/>
      <w:r w:rsidR="00806E30">
        <w:rPr>
          <w:rFonts w:ascii="Times New Roman" w:hAnsi="Times New Roman"/>
          <w:b w:val="0"/>
        </w:rPr>
        <w:t xml:space="preserve"> </w:t>
      </w:r>
      <w:proofErr w:type="spellStart"/>
      <w:r w:rsidR="00806E30">
        <w:rPr>
          <w:rFonts w:ascii="Times New Roman" w:hAnsi="Times New Roman"/>
          <w:b w:val="0"/>
        </w:rPr>
        <w:t>is</w:t>
      </w:r>
      <w:proofErr w:type="spellEnd"/>
      <w:r w:rsidR="00806E30">
        <w:rPr>
          <w:rFonts w:ascii="Times New Roman" w:hAnsi="Times New Roman"/>
          <w:b w:val="0"/>
        </w:rPr>
        <w:t xml:space="preserve"> </w:t>
      </w:r>
      <w:proofErr w:type="spellStart"/>
      <w:r w:rsidR="00806E30">
        <w:rPr>
          <w:rFonts w:ascii="Times New Roman" w:hAnsi="Times New Roman"/>
          <w:b w:val="0"/>
        </w:rPr>
        <w:t>available</w:t>
      </w:r>
      <w:proofErr w:type="spellEnd"/>
      <w:r w:rsidR="00806E30">
        <w:rPr>
          <w:rFonts w:ascii="Times New Roman" w:hAnsi="Times New Roman"/>
          <w:b w:val="0"/>
        </w:rPr>
        <w:t xml:space="preserve"> on the commission’s website at </w:t>
      </w:r>
      <w:hyperlink r:id="rId10" w:history="1">
        <w:r w:rsidR="00806E30" w:rsidRPr="00B902E5">
          <w:rPr>
            <w:rStyle w:val="Hyperlink"/>
            <w:rFonts w:ascii="Times New Roman" w:hAnsi="Times New Roman"/>
            <w:b w:val="0"/>
          </w:rPr>
          <w:t>www.utc.wa.gov/mover</w:t>
        </w:r>
      </w:hyperlink>
      <w:r w:rsidR="00806E30">
        <w:rPr>
          <w:rFonts w:ascii="Times New Roman" w:hAnsi="Times New Roman"/>
          <w:b w:val="0"/>
        </w:rPr>
        <w:t xml:space="preserve">. </w:t>
      </w:r>
      <w:r w:rsidR="00066300" w:rsidRPr="0075167D">
        <w:rPr>
          <w:rFonts w:ascii="Times New Roman" w:hAnsi="Times New Roman"/>
          <w:b w:val="0"/>
        </w:rPr>
        <w:t xml:space="preserve">Staff </w:t>
      </w:r>
      <w:proofErr w:type="spellStart"/>
      <w:r w:rsidR="00066300" w:rsidRPr="0075167D">
        <w:rPr>
          <w:rFonts w:ascii="Times New Roman" w:hAnsi="Times New Roman"/>
          <w:b w:val="0"/>
        </w:rPr>
        <w:t>considers</w:t>
      </w:r>
      <w:proofErr w:type="spellEnd"/>
      <w:r w:rsidR="00066300" w:rsidRPr="0075167D">
        <w:rPr>
          <w:rFonts w:ascii="Times New Roman" w:hAnsi="Times New Roman"/>
          <w:b w:val="0"/>
        </w:rPr>
        <w:t xml:space="preserve"> </w:t>
      </w:r>
      <w:proofErr w:type="spellStart"/>
      <w:r w:rsidR="00066300" w:rsidRPr="0075167D">
        <w:rPr>
          <w:rFonts w:ascii="Times New Roman" w:hAnsi="Times New Roman"/>
          <w:b w:val="0"/>
        </w:rPr>
        <w:t>this</w:t>
      </w:r>
      <w:proofErr w:type="spellEnd"/>
      <w:r w:rsidR="00066300" w:rsidRPr="0075167D">
        <w:rPr>
          <w:rFonts w:ascii="Times New Roman" w:hAnsi="Times New Roman"/>
          <w:b w:val="0"/>
        </w:rPr>
        <w:t xml:space="preserve"> investigation as the company’s technical assistance</w:t>
      </w:r>
      <w:r w:rsidR="000F5A86" w:rsidRPr="0075167D">
        <w:rPr>
          <w:rFonts w:ascii="Times New Roman" w:hAnsi="Times New Roman"/>
          <w:b w:val="0"/>
        </w:rPr>
        <w:t xml:space="preserve"> </w:t>
      </w:r>
      <w:r w:rsidR="00665507" w:rsidRPr="0075167D">
        <w:rPr>
          <w:rFonts w:ascii="Times New Roman" w:hAnsi="Times New Roman"/>
          <w:b w:val="0"/>
        </w:rPr>
        <w:t>regarding</w:t>
      </w:r>
      <w:r w:rsidR="00066300" w:rsidRPr="0075167D">
        <w:rPr>
          <w:rFonts w:ascii="Times New Roman" w:hAnsi="Times New Roman"/>
          <w:b w:val="0"/>
        </w:rPr>
        <w:t xml:space="preserve"> estimate format and estimate completion. If future violations are found, </w:t>
      </w:r>
      <w:r w:rsidR="00665507" w:rsidRPr="0075167D">
        <w:rPr>
          <w:rFonts w:ascii="Times New Roman" w:hAnsi="Times New Roman"/>
          <w:b w:val="0"/>
        </w:rPr>
        <w:t xml:space="preserve">staff may recommend </w:t>
      </w:r>
      <w:r w:rsidR="00066300" w:rsidRPr="0075167D">
        <w:rPr>
          <w:rFonts w:ascii="Times New Roman" w:hAnsi="Times New Roman"/>
          <w:b w:val="0"/>
        </w:rPr>
        <w:t xml:space="preserve">penalties or </w:t>
      </w:r>
      <w:r w:rsidR="00290609" w:rsidRPr="0075167D">
        <w:rPr>
          <w:rFonts w:ascii="Times New Roman" w:hAnsi="Times New Roman"/>
          <w:b w:val="0"/>
        </w:rPr>
        <w:t>take other enforcement action</w:t>
      </w:r>
      <w:r w:rsidR="00066300" w:rsidRPr="0075167D">
        <w:rPr>
          <w:rFonts w:ascii="Times New Roman" w:hAnsi="Times New Roman"/>
          <w:b w:val="0"/>
        </w:rPr>
        <w:t>.</w:t>
      </w:r>
      <w:r w:rsidR="002F2A93" w:rsidRPr="00557974">
        <w:rPr>
          <w:rFonts w:ascii="Times New Roman" w:hAnsi="Times New Roman"/>
          <w:b w:val="0"/>
        </w:rPr>
        <w:t xml:space="preserve">  </w:t>
      </w:r>
    </w:p>
    <w:p w:rsidR="00C564DE" w:rsidRDefault="00AA7480" w:rsidP="00F7383B">
      <w:pPr>
        <w:jc w:val="center"/>
        <w:rPr>
          <w:rFonts w:ascii="Times New Roman" w:hAnsi="Times New Roman"/>
          <w:b/>
          <w:bCs/>
          <w:sz w:val="28"/>
          <w:szCs w:val="28"/>
        </w:rPr>
      </w:pPr>
      <w:r>
        <w:rPr>
          <w:b/>
          <w:bCs/>
          <w:sz w:val="28"/>
        </w:rPr>
        <w:br w:type="page"/>
      </w:r>
    </w:p>
    <w:p w:rsidR="00D33056" w:rsidRPr="006E55E4" w:rsidRDefault="00D33056">
      <w:pPr>
        <w:pStyle w:val="Heading2"/>
        <w:rPr>
          <w:rFonts w:ascii="Times New Roman" w:hAnsi="Times New Roman"/>
          <w:b w:val="0"/>
          <w:bCs w:val="0"/>
          <w:sz w:val="28"/>
          <w:szCs w:val="28"/>
        </w:rPr>
      </w:pPr>
      <w:r w:rsidRPr="006E55E4">
        <w:rPr>
          <w:rFonts w:ascii="Times New Roman" w:hAnsi="Times New Roman"/>
          <w:sz w:val="28"/>
          <w:szCs w:val="28"/>
        </w:rPr>
        <w:lastRenderedPageBreak/>
        <w:t>BILL</w:t>
      </w:r>
      <w:r w:rsidR="00795982" w:rsidRPr="006E55E4">
        <w:rPr>
          <w:rFonts w:ascii="Times New Roman" w:hAnsi="Times New Roman"/>
          <w:sz w:val="28"/>
          <w:szCs w:val="28"/>
        </w:rPr>
        <w:t>S</w:t>
      </w:r>
      <w:r w:rsidR="001D04AD" w:rsidRPr="006E55E4">
        <w:rPr>
          <w:rFonts w:ascii="Times New Roman" w:hAnsi="Times New Roman"/>
          <w:sz w:val="28"/>
          <w:szCs w:val="28"/>
        </w:rPr>
        <w:t xml:space="preserve"> OF LADING </w:t>
      </w:r>
      <w:r w:rsidR="00EA226B" w:rsidRPr="006E55E4">
        <w:t>–</w:t>
      </w:r>
      <w:r w:rsidR="001D04AD" w:rsidRPr="006E55E4">
        <w:rPr>
          <w:rFonts w:ascii="Times New Roman" w:hAnsi="Times New Roman"/>
          <w:sz w:val="28"/>
          <w:szCs w:val="28"/>
        </w:rPr>
        <w:t xml:space="preserve"> </w:t>
      </w:r>
      <w:r w:rsidR="003C2B56" w:rsidRPr="006E55E4">
        <w:rPr>
          <w:rFonts w:ascii="Times New Roman" w:hAnsi="Times New Roman"/>
          <w:sz w:val="28"/>
          <w:szCs w:val="28"/>
        </w:rPr>
        <w:t>FORMAT AND COMPLETION</w:t>
      </w:r>
    </w:p>
    <w:p w:rsidR="00851D93" w:rsidRPr="00D178A7" w:rsidRDefault="00851D93" w:rsidP="00851D93">
      <w:pPr>
        <w:pStyle w:val="Heading1"/>
        <w:jc w:val="right"/>
        <w:rPr>
          <w:b w:val="0"/>
        </w:rPr>
      </w:pPr>
    </w:p>
    <w:p w:rsidR="00D33056" w:rsidRPr="00D178A7" w:rsidRDefault="00B9017A">
      <w:pPr>
        <w:pStyle w:val="Heading2"/>
        <w:jc w:val="left"/>
        <w:rPr>
          <w:rFonts w:ascii="Times New Roman" w:hAnsi="Times New Roman"/>
        </w:rPr>
      </w:pPr>
      <w:r w:rsidRPr="00D178A7">
        <w:rPr>
          <w:rFonts w:ascii="Times New Roman" w:hAnsi="Times New Roman"/>
        </w:rPr>
        <w:t>Investigation</w:t>
      </w:r>
    </w:p>
    <w:p w:rsidR="00112DF8" w:rsidRPr="00D178A7" w:rsidRDefault="00112DF8">
      <w:pPr>
        <w:rPr>
          <w:rFonts w:ascii="Times New Roman" w:hAnsi="Times New Roman"/>
        </w:rPr>
      </w:pPr>
      <w:r w:rsidRPr="00D178A7">
        <w:rPr>
          <w:rFonts w:ascii="Times New Roman" w:hAnsi="Times New Roman"/>
        </w:rPr>
        <w:t>WAC 480-15-710</w:t>
      </w:r>
      <w:r w:rsidR="002B00EF">
        <w:rPr>
          <w:rFonts w:ascii="Times New Roman" w:hAnsi="Times New Roman"/>
        </w:rPr>
        <w:t>(3)</w:t>
      </w:r>
      <w:r w:rsidRPr="00D178A7">
        <w:rPr>
          <w:rFonts w:ascii="Times New Roman" w:hAnsi="Times New Roman"/>
        </w:rPr>
        <w:t xml:space="preserve"> requires a household goods company to issue a </w:t>
      </w:r>
      <w:r w:rsidR="003C2B56">
        <w:rPr>
          <w:rFonts w:ascii="Times New Roman" w:hAnsi="Times New Roman"/>
        </w:rPr>
        <w:t xml:space="preserve">properly completed </w:t>
      </w:r>
      <w:r w:rsidRPr="00D178A7">
        <w:rPr>
          <w:rFonts w:ascii="Times New Roman" w:hAnsi="Times New Roman"/>
        </w:rPr>
        <w:t xml:space="preserve">bill of lading for every move that includes all of the requirements listed in Tariff 15-C, Item 95. </w:t>
      </w:r>
    </w:p>
    <w:p w:rsidR="00112DF8" w:rsidRPr="00D178A7" w:rsidRDefault="00112DF8">
      <w:pPr>
        <w:rPr>
          <w:rFonts w:ascii="Times New Roman" w:hAnsi="Times New Roman"/>
        </w:rPr>
      </w:pPr>
    </w:p>
    <w:p w:rsidR="00765BB9" w:rsidRPr="00D178A7" w:rsidRDefault="00D33056">
      <w:pPr>
        <w:rPr>
          <w:rFonts w:ascii="Times New Roman" w:hAnsi="Times New Roman"/>
          <w:color w:val="000000"/>
        </w:rPr>
      </w:pPr>
      <w:r w:rsidRPr="00D178A7">
        <w:rPr>
          <w:rFonts w:ascii="Times New Roman" w:hAnsi="Times New Roman"/>
          <w:color w:val="000000"/>
        </w:rPr>
        <w:t xml:space="preserve">The bill of lading used by </w:t>
      </w:r>
      <w:r w:rsidR="00DE6B40">
        <w:rPr>
          <w:rFonts w:ascii="Times New Roman" w:hAnsi="Times New Roman"/>
          <w:color w:val="000000"/>
        </w:rPr>
        <w:t>Lincoln</w:t>
      </w:r>
      <w:r w:rsidR="002B00EF">
        <w:rPr>
          <w:rFonts w:ascii="Times New Roman" w:hAnsi="Times New Roman"/>
          <w:color w:val="000000"/>
        </w:rPr>
        <w:t xml:space="preserve"> Moving</w:t>
      </w:r>
      <w:r w:rsidR="00A47C18" w:rsidRPr="00D178A7">
        <w:rPr>
          <w:rFonts w:ascii="Times New Roman" w:hAnsi="Times New Roman"/>
          <w:color w:val="000000"/>
        </w:rPr>
        <w:t xml:space="preserve"> for </w:t>
      </w:r>
      <w:r w:rsidR="00E21876" w:rsidRPr="00D178A7">
        <w:rPr>
          <w:rFonts w:ascii="Times New Roman" w:hAnsi="Times New Roman"/>
          <w:color w:val="000000"/>
        </w:rPr>
        <w:t xml:space="preserve">the </w:t>
      </w:r>
      <w:r w:rsidR="00DE6B40">
        <w:rPr>
          <w:rFonts w:ascii="Times New Roman" w:hAnsi="Times New Roman"/>
          <w:color w:val="000000"/>
        </w:rPr>
        <w:t>4</w:t>
      </w:r>
      <w:r w:rsidR="00460D92">
        <w:rPr>
          <w:rFonts w:ascii="Times New Roman" w:hAnsi="Times New Roman"/>
          <w:color w:val="000000"/>
        </w:rPr>
        <w:t>4</w:t>
      </w:r>
      <w:r w:rsidR="00A47C18" w:rsidRPr="00D178A7">
        <w:rPr>
          <w:rFonts w:ascii="Times New Roman" w:hAnsi="Times New Roman"/>
          <w:color w:val="000000"/>
        </w:rPr>
        <w:t xml:space="preserve"> moves performed </w:t>
      </w:r>
      <w:r w:rsidR="00FD68C2" w:rsidRPr="00D178A7">
        <w:rPr>
          <w:rFonts w:ascii="Times New Roman" w:hAnsi="Times New Roman"/>
          <w:color w:val="000000"/>
        </w:rPr>
        <w:t>during the review period</w:t>
      </w:r>
      <w:r w:rsidR="00B9017A" w:rsidRPr="00D178A7">
        <w:rPr>
          <w:rFonts w:ascii="Times New Roman" w:hAnsi="Times New Roman"/>
          <w:color w:val="000000"/>
        </w:rPr>
        <w:t xml:space="preserve"> </w:t>
      </w:r>
      <w:r w:rsidR="00CA19FE" w:rsidRPr="00D178A7">
        <w:rPr>
          <w:rFonts w:ascii="Times New Roman" w:hAnsi="Times New Roman"/>
          <w:color w:val="000000"/>
        </w:rPr>
        <w:t>violated</w:t>
      </w:r>
      <w:r w:rsidR="009578DE" w:rsidRPr="00D178A7">
        <w:rPr>
          <w:rFonts w:ascii="Times New Roman" w:hAnsi="Times New Roman"/>
          <w:color w:val="000000"/>
        </w:rPr>
        <w:t xml:space="preserve"> the format </w:t>
      </w:r>
      <w:r w:rsidR="002B3547" w:rsidRPr="00D178A7">
        <w:rPr>
          <w:rFonts w:ascii="Times New Roman" w:hAnsi="Times New Roman"/>
          <w:color w:val="000000"/>
        </w:rPr>
        <w:t xml:space="preserve">requirements </w:t>
      </w:r>
      <w:r w:rsidR="001D04AD" w:rsidRPr="00D178A7">
        <w:rPr>
          <w:rFonts w:ascii="Times New Roman" w:hAnsi="Times New Roman"/>
          <w:color w:val="000000"/>
        </w:rPr>
        <w:t>of</w:t>
      </w:r>
      <w:r w:rsidR="009578DE" w:rsidRPr="00D178A7">
        <w:rPr>
          <w:rFonts w:ascii="Times New Roman" w:hAnsi="Times New Roman"/>
          <w:color w:val="000000"/>
        </w:rPr>
        <w:t xml:space="preserve"> Tariff 15-C</w:t>
      </w:r>
      <w:r w:rsidRPr="00D178A7">
        <w:rPr>
          <w:rFonts w:ascii="Times New Roman" w:hAnsi="Times New Roman"/>
          <w:color w:val="000000"/>
        </w:rPr>
        <w:t xml:space="preserve">, Item </w:t>
      </w:r>
      <w:r w:rsidR="00765BB9" w:rsidRPr="00D178A7">
        <w:rPr>
          <w:rFonts w:ascii="Times New Roman" w:hAnsi="Times New Roman"/>
          <w:color w:val="000000"/>
        </w:rPr>
        <w:t>95</w:t>
      </w:r>
      <w:r w:rsidR="00112DF8" w:rsidRPr="00D178A7">
        <w:rPr>
          <w:rFonts w:ascii="Times New Roman" w:hAnsi="Times New Roman"/>
          <w:color w:val="000000"/>
        </w:rPr>
        <w:t>, as described below</w:t>
      </w:r>
      <w:r w:rsidR="0068280D" w:rsidRPr="00D178A7">
        <w:rPr>
          <w:rFonts w:ascii="Times New Roman" w:hAnsi="Times New Roman"/>
          <w:color w:val="000000"/>
        </w:rPr>
        <w:t>:</w:t>
      </w:r>
      <w:r w:rsidR="006217C4" w:rsidRPr="00D178A7">
        <w:rPr>
          <w:rFonts w:ascii="Times New Roman" w:hAnsi="Times New Roman"/>
          <w:color w:val="000000"/>
        </w:rPr>
        <w:t xml:space="preserve"> </w:t>
      </w:r>
    </w:p>
    <w:p w:rsidR="009949F6" w:rsidRPr="00D178A7" w:rsidRDefault="009949F6" w:rsidP="009949F6">
      <w:pPr>
        <w:rPr>
          <w:rFonts w:ascii="Times New Roman" w:hAnsi="Times New Roman"/>
        </w:rPr>
      </w:pPr>
    </w:p>
    <w:p w:rsidR="00433CA4" w:rsidRPr="00D178A7" w:rsidRDefault="00433CA4" w:rsidP="00D11C40">
      <w:pPr>
        <w:pStyle w:val="ListParagraph"/>
        <w:numPr>
          <w:ilvl w:val="0"/>
          <w:numId w:val="8"/>
        </w:numPr>
        <w:rPr>
          <w:rFonts w:ascii="Times New Roman" w:hAnsi="Times New Roman"/>
        </w:rPr>
      </w:pPr>
      <w:r>
        <w:rPr>
          <w:rFonts w:ascii="Times New Roman" w:hAnsi="Times New Roman"/>
        </w:rPr>
        <w:t>Failure to include the company’s website, as a required by Item 95(1</w:t>
      </w:r>
      <w:proofErr w:type="gramStart"/>
      <w:r>
        <w:rPr>
          <w:rFonts w:ascii="Times New Roman" w:hAnsi="Times New Roman"/>
        </w:rPr>
        <w:t>)(</w:t>
      </w:r>
      <w:proofErr w:type="gramEnd"/>
      <w:r>
        <w:rPr>
          <w:rFonts w:ascii="Times New Roman" w:hAnsi="Times New Roman"/>
        </w:rPr>
        <w:t>a).</w:t>
      </w:r>
    </w:p>
    <w:p w:rsidR="00D178A7" w:rsidRPr="00D178A7" w:rsidRDefault="00D178A7" w:rsidP="00D11C40">
      <w:pPr>
        <w:pStyle w:val="ListParagraph"/>
        <w:numPr>
          <w:ilvl w:val="0"/>
          <w:numId w:val="8"/>
        </w:numPr>
        <w:rPr>
          <w:rFonts w:ascii="Times New Roman" w:hAnsi="Times New Roman"/>
        </w:rPr>
      </w:pPr>
      <w:r w:rsidRPr="00D178A7">
        <w:rPr>
          <w:rFonts w:ascii="Times New Roman" w:hAnsi="Times New Roman"/>
        </w:rPr>
        <w:t>Failure to include the company’s email address, as required by Item 95(1</w:t>
      </w:r>
      <w:proofErr w:type="gramStart"/>
      <w:r w:rsidRPr="00D178A7">
        <w:rPr>
          <w:rFonts w:ascii="Times New Roman" w:hAnsi="Times New Roman"/>
        </w:rPr>
        <w:t>)(</w:t>
      </w:r>
      <w:proofErr w:type="gramEnd"/>
      <w:r w:rsidRPr="00D178A7">
        <w:rPr>
          <w:rFonts w:ascii="Times New Roman" w:hAnsi="Times New Roman"/>
        </w:rPr>
        <w:t>a).</w:t>
      </w:r>
    </w:p>
    <w:p w:rsidR="00260EB9" w:rsidRPr="00D178A7" w:rsidRDefault="00DE6B40" w:rsidP="00D11C40">
      <w:pPr>
        <w:pStyle w:val="ListParagraph"/>
        <w:numPr>
          <w:ilvl w:val="0"/>
          <w:numId w:val="8"/>
        </w:numPr>
        <w:rPr>
          <w:rFonts w:ascii="Times New Roman" w:hAnsi="Times New Roman"/>
        </w:rPr>
      </w:pPr>
      <w:r>
        <w:rPr>
          <w:rFonts w:ascii="Times New Roman" w:hAnsi="Times New Roman"/>
        </w:rPr>
        <w:t>Inclusion of a “fuel surcharge” line item. Tariff 15-C does not permit a fuel surcharge.</w:t>
      </w:r>
    </w:p>
    <w:p w:rsidR="00260EB9" w:rsidRPr="008D3A81" w:rsidRDefault="00260EB9" w:rsidP="00CD44DE">
      <w:pPr>
        <w:tabs>
          <w:tab w:val="left" w:pos="720"/>
          <w:tab w:val="left" w:pos="1440"/>
          <w:tab w:val="right" w:pos="9900"/>
        </w:tabs>
        <w:rPr>
          <w:rFonts w:ascii="Times New Roman" w:hAnsi="Times New Roman"/>
          <w:highlight w:val="yellow"/>
        </w:rPr>
      </w:pPr>
    </w:p>
    <w:p w:rsidR="007A3D69" w:rsidRPr="008D3A81" w:rsidRDefault="007A3D69" w:rsidP="00814C7A">
      <w:pPr>
        <w:rPr>
          <w:rFonts w:ascii="Times New Roman" w:hAnsi="Times New Roman"/>
          <w:highlight w:val="yellow"/>
        </w:rPr>
      </w:pPr>
      <w:r w:rsidRPr="00433CA4">
        <w:rPr>
          <w:rFonts w:ascii="Times New Roman" w:hAnsi="Times New Roman"/>
        </w:rPr>
        <w:t xml:space="preserve">A copy of the </w:t>
      </w:r>
      <w:r w:rsidR="005D4E6F" w:rsidRPr="00433CA4">
        <w:rPr>
          <w:rFonts w:ascii="Times New Roman" w:hAnsi="Times New Roman"/>
        </w:rPr>
        <w:t>bill of lading</w:t>
      </w:r>
      <w:r w:rsidRPr="00433CA4">
        <w:rPr>
          <w:rFonts w:ascii="Times New Roman" w:hAnsi="Times New Roman"/>
        </w:rPr>
        <w:t xml:space="preserve"> form used by </w:t>
      </w:r>
      <w:r w:rsidR="00DE6B40">
        <w:rPr>
          <w:rFonts w:ascii="Times New Roman" w:hAnsi="Times New Roman"/>
        </w:rPr>
        <w:t>Lincoln</w:t>
      </w:r>
      <w:r w:rsidR="00433CA4" w:rsidRPr="00433CA4">
        <w:rPr>
          <w:rFonts w:ascii="Times New Roman" w:hAnsi="Times New Roman"/>
        </w:rPr>
        <w:t xml:space="preserve"> Moving</w:t>
      </w:r>
      <w:r w:rsidRPr="00433CA4">
        <w:rPr>
          <w:rFonts w:ascii="Times New Roman" w:hAnsi="Times New Roman"/>
        </w:rPr>
        <w:t xml:space="preserve"> </w:t>
      </w:r>
      <w:proofErr w:type="gramStart"/>
      <w:r w:rsidRPr="00433CA4">
        <w:rPr>
          <w:rFonts w:ascii="Times New Roman" w:hAnsi="Times New Roman"/>
        </w:rPr>
        <w:t>is attached</w:t>
      </w:r>
      <w:proofErr w:type="gramEnd"/>
      <w:r w:rsidRPr="00433CA4">
        <w:rPr>
          <w:rFonts w:ascii="Times New Roman" w:hAnsi="Times New Roman"/>
        </w:rPr>
        <w:t xml:space="preserve"> as </w:t>
      </w:r>
      <w:r w:rsidRPr="00CC2CB1">
        <w:rPr>
          <w:rFonts w:ascii="Times New Roman" w:hAnsi="Times New Roman"/>
        </w:rPr>
        <w:t xml:space="preserve">Appendix </w:t>
      </w:r>
      <w:r w:rsidR="00CC2CB1" w:rsidRPr="00CC2CB1">
        <w:rPr>
          <w:rFonts w:ascii="Times New Roman" w:hAnsi="Times New Roman"/>
        </w:rPr>
        <w:t>C</w:t>
      </w:r>
      <w:r w:rsidRPr="00CC2CB1">
        <w:rPr>
          <w:rFonts w:ascii="Times New Roman" w:hAnsi="Times New Roman"/>
        </w:rPr>
        <w:t>.</w:t>
      </w:r>
    </w:p>
    <w:p w:rsidR="007A3D69" w:rsidRPr="008D3A81" w:rsidRDefault="007A3D69" w:rsidP="00814C7A">
      <w:pPr>
        <w:rPr>
          <w:rFonts w:ascii="Times New Roman" w:hAnsi="Times New Roman"/>
          <w:highlight w:val="yellow"/>
        </w:rPr>
      </w:pPr>
    </w:p>
    <w:p w:rsidR="003C2B56" w:rsidRDefault="003C2B56">
      <w:pPr>
        <w:pStyle w:val="Heading1"/>
        <w:rPr>
          <w:b w:val="0"/>
        </w:rPr>
      </w:pPr>
      <w:r w:rsidRPr="003C2B56">
        <w:rPr>
          <w:b w:val="0"/>
        </w:rPr>
        <w:t>Additionally,</w:t>
      </w:r>
      <w:r>
        <w:rPr>
          <w:b w:val="0"/>
        </w:rPr>
        <w:t xml:space="preserve"> </w:t>
      </w:r>
      <w:r w:rsidR="00DE6B40">
        <w:rPr>
          <w:b w:val="0"/>
        </w:rPr>
        <w:t>Lincoln</w:t>
      </w:r>
      <w:r>
        <w:rPr>
          <w:b w:val="0"/>
        </w:rPr>
        <w:t xml:space="preserve"> Moving failed to properly complete </w:t>
      </w:r>
      <w:r w:rsidR="00DE6B40">
        <w:rPr>
          <w:b w:val="0"/>
        </w:rPr>
        <w:t>six</w:t>
      </w:r>
      <w:r>
        <w:rPr>
          <w:b w:val="0"/>
        </w:rPr>
        <w:t xml:space="preserve"> of its bills of lading as required by WAC 480-15-710(3) and Tariff 15-C, Item 95, as follows:</w:t>
      </w:r>
      <w:r>
        <w:rPr>
          <w:b w:val="0"/>
        </w:rPr>
        <w:br/>
      </w:r>
    </w:p>
    <w:p w:rsidR="00275D4D" w:rsidRPr="00275D4D" w:rsidRDefault="00275D4D" w:rsidP="00D11C40">
      <w:pPr>
        <w:pStyle w:val="ListParagraph"/>
        <w:numPr>
          <w:ilvl w:val="0"/>
          <w:numId w:val="11"/>
        </w:numPr>
        <w:rPr>
          <w:rFonts w:ascii="Times New Roman" w:hAnsi="Times New Roman"/>
        </w:rPr>
      </w:pPr>
      <w:r w:rsidRPr="00275D4D">
        <w:rPr>
          <w:rFonts w:ascii="Times New Roman" w:hAnsi="Times New Roman"/>
        </w:rPr>
        <w:t xml:space="preserve">For </w:t>
      </w:r>
      <w:r w:rsidR="00460D92">
        <w:rPr>
          <w:rFonts w:ascii="Times New Roman" w:hAnsi="Times New Roman"/>
        </w:rPr>
        <w:t>customer Hoffman, Lincoln</w:t>
      </w:r>
      <w:r w:rsidR="00460D92" w:rsidRPr="00433CA4">
        <w:rPr>
          <w:rFonts w:ascii="Times New Roman" w:hAnsi="Times New Roman"/>
        </w:rPr>
        <w:t xml:space="preserve"> Moving </w:t>
      </w:r>
      <w:r w:rsidR="00460D92">
        <w:rPr>
          <w:rFonts w:ascii="Times New Roman" w:hAnsi="Times New Roman"/>
        </w:rPr>
        <w:t>failed</w:t>
      </w:r>
      <w:r w:rsidR="00DE6B40">
        <w:rPr>
          <w:rFonts w:ascii="Times New Roman" w:hAnsi="Times New Roman"/>
        </w:rPr>
        <w:t xml:space="preserve"> to record prices for containers as required by Item 95(1</w:t>
      </w:r>
      <w:proofErr w:type="gramStart"/>
      <w:r w:rsidR="00DE6B40">
        <w:rPr>
          <w:rFonts w:ascii="Times New Roman" w:hAnsi="Times New Roman"/>
        </w:rPr>
        <w:t>)(</w:t>
      </w:r>
      <w:proofErr w:type="gramEnd"/>
      <w:r w:rsidR="00DE6B40">
        <w:rPr>
          <w:rFonts w:ascii="Times New Roman" w:hAnsi="Times New Roman"/>
        </w:rPr>
        <w:t>n).</w:t>
      </w:r>
      <w:r w:rsidR="00F00CFD">
        <w:rPr>
          <w:rFonts w:ascii="Times New Roman" w:hAnsi="Times New Roman"/>
        </w:rPr>
        <w:t xml:space="preserve"> The</w:t>
      </w:r>
      <w:r w:rsidR="00F00CFD" w:rsidRPr="00F00CFD">
        <w:rPr>
          <w:rFonts w:ascii="Times New Roman" w:hAnsi="Times New Roman"/>
        </w:rPr>
        <w:t xml:space="preserve"> containers </w:t>
      </w:r>
      <w:proofErr w:type="gramStart"/>
      <w:r w:rsidR="00F00CFD" w:rsidRPr="00F00CFD">
        <w:rPr>
          <w:rFonts w:ascii="Times New Roman" w:hAnsi="Times New Roman"/>
        </w:rPr>
        <w:t>are listed</w:t>
      </w:r>
      <w:proofErr w:type="gramEnd"/>
      <w:r w:rsidR="00F00CFD" w:rsidRPr="00F00CFD">
        <w:rPr>
          <w:rFonts w:ascii="Times New Roman" w:hAnsi="Times New Roman"/>
        </w:rPr>
        <w:t xml:space="preserve"> on the bill of lading by type and quantity with no price per container or total cost per container</w:t>
      </w:r>
      <w:r w:rsidR="00A71B83">
        <w:rPr>
          <w:rFonts w:ascii="Times New Roman" w:hAnsi="Times New Roman"/>
        </w:rPr>
        <w:t xml:space="preserve"> type</w:t>
      </w:r>
      <w:r w:rsidR="00F00CFD" w:rsidRPr="00F00CFD">
        <w:rPr>
          <w:rFonts w:ascii="Times New Roman" w:hAnsi="Times New Roman"/>
        </w:rPr>
        <w:t>. Instead, the attached invoice lists a price of $2,189 for “packing material” with no itemized breakdown.</w:t>
      </w:r>
    </w:p>
    <w:p w:rsidR="003C2B56" w:rsidRPr="00DE6B40" w:rsidRDefault="00460D92" w:rsidP="00D11C40">
      <w:pPr>
        <w:pStyle w:val="ListParagraph"/>
        <w:numPr>
          <w:ilvl w:val="0"/>
          <w:numId w:val="11"/>
        </w:numPr>
      </w:pPr>
      <w:r>
        <w:rPr>
          <w:rFonts w:ascii="Times New Roman" w:hAnsi="Times New Roman"/>
        </w:rPr>
        <w:t>For customer Hoffman, Lincoln</w:t>
      </w:r>
      <w:r w:rsidRPr="00433CA4">
        <w:rPr>
          <w:rFonts w:ascii="Times New Roman" w:hAnsi="Times New Roman"/>
        </w:rPr>
        <w:t xml:space="preserve"> Moving </w:t>
      </w:r>
      <w:r>
        <w:rPr>
          <w:rFonts w:ascii="Times New Roman" w:hAnsi="Times New Roman"/>
        </w:rPr>
        <w:t>failed</w:t>
      </w:r>
      <w:r w:rsidR="00DE6B40">
        <w:rPr>
          <w:rFonts w:ascii="Times New Roman" w:hAnsi="Times New Roman"/>
        </w:rPr>
        <w:t xml:space="preserve"> to obtain the customer’s initials next to their chosen valuation option in violation of Item 95(1</w:t>
      </w:r>
      <w:proofErr w:type="gramStart"/>
      <w:r w:rsidR="00DE6B40">
        <w:rPr>
          <w:rFonts w:ascii="Times New Roman" w:hAnsi="Times New Roman"/>
        </w:rPr>
        <w:t>)(</w:t>
      </w:r>
      <w:proofErr w:type="gramEnd"/>
      <w:r w:rsidR="00DE6B40">
        <w:rPr>
          <w:rFonts w:ascii="Times New Roman" w:hAnsi="Times New Roman"/>
        </w:rPr>
        <w:t>k).</w:t>
      </w:r>
    </w:p>
    <w:p w:rsidR="00DE6B40" w:rsidRPr="00275D4D" w:rsidRDefault="00DE6B40" w:rsidP="00D11C40">
      <w:pPr>
        <w:pStyle w:val="ListParagraph"/>
        <w:numPr>
          <w:ilvl w:val="0"/>
          <w:numId w:val="11"/>
        </w:numPr>
      </w:pPr>
      <w:r>
        <w:rPr>
          <w:rFonts w:ascii="Times New Roman" w:hAnsi="Times New Roman"/>
        </w:rPr>
        <w:t xml:space="preserve">For customer Hoffman, </w:t>
      </w:r>
      <w:r w:rsidR="00460D92">
        <w:rPr>
          <w:rFonts w:ascii="Times New Roman" w:hAnsi="Times New Roman"/>
        </w:rPr>
        <w:t>Lincoln</w:t>
      </w:r>
      <w:r w:rsidR="00460D92" w:rsidRPr="00433CA4">
        <w:rPr>
          <w:rFonts w:ascii="Times New Roman" w:hAnsi="Times New Roman"/>
        </w:rPr>
        <w:t xml:space="preserve"> Moving </w:t>
      </w:r>
      <w:r w:rsidR="00460D92">
        <w:rPr>
          <w:rFonts w:ascii="Times New Roman" w:hAnsi="Times New Roman"/>
        </w:rPr>
        <w:t xml:space="preserve">failed </w:t>
      </w:r>
      <w:r>
        <w:rPr>
          <w:rFonts w:ascii="Times New Roman" w:hAnsi="Times New Roman"/>
        </w:rPr>
        <w:t>to obtain the customer’s signature in violation of Item 95(1).</w:t>
      </w:r>
    </w:p>
    <w:p w:rsidR="00275D4D" w:rsidRPr="00275D4D" w:rsidRDefault="00275D4D" w:rsidP="00D11C40">
      <w:pPr>
        <w:pStyle w:val="ListParagraph"/>
        <w:numPr>
          <w:ilvl w:val="0"/>
          <w:numId w:val="11"/>
        </w:numPr>
      </w:pPr>
      <w:r>
        <w:rPr>
          <w:rFonts w:ascii="Times New Roman" w:hAnsi="Times New Roman"/>
        </w:rPr>
        <w:t xml:space="preserve">For </w:t>
      </w:r>
      <w:r w:rsidR="00DE6B40">
        <w:rPr>
          <w:rFonts w:ascii="Times New Roman" w:hAnsi="Times New Roman"/>
        </w:rPr>
        <w:t xml:space="preserve">customer Becker, </w:t>
      </w:r>
      <w:r w:rsidR="00460D92">
        <w:rPr>
          <w:rFonts w:ascii="Times New Roman" w:hAnsi="Times New Roman"/>
        </w:rPr>
        <w:t>Lincoln</w:t>
      </w:r>
      <w:r w:rsidR="00460D92" w:rsidRPr="00433CA4">
        <w:rPr>
          <w:rFonts w:ascii="Times New Roman" w:hAnsi="Times New Roman"/>
        </w:rPr>
        <w:t xml:space="preserve"> Moving </w:t>
      </w:r>
      <w:r w:rsidR="00460D92">
        <w:rPr>
          <w:rFonts w:ascii="Times New Roman" w:hAnsi="Times New Roman"/>
        </w:rPr>
        <w:t>failed</w:t>
      </w:r>
      <w:r w:rsidR="00DE6B40">
        <w:rPr>
          <w:rFonts w:ascii="Times New Roman" w:hAnsi="Times New Roman"/>
        </w:rPr>
        <w:t xml:space="preserve"> to record the customer’s storage selection in violation of Item 95(1</w:t>
      </w:r>
      <w:proofErr w:type="gramStart"/>
      <w:r w:rsidR="00DE6B40">
        <w:rPr>
          <w:rFonts w:ascii="Times New Roman" w:hAnsi="Times New Roman"/>
        </w:rPr>
        <w:t>)(</w:t>
      </w:r>
      <w:proofErr w:type="gramEnd"/>
      <w:r w:rsidR="00DE6B40">
        <w:rPr>
          <w:rFonts w:ascii="Times New Roman" w:hAnsi="Times New Roman"/>
        </w:rPr>
        <w:t>g).</w:t>
      </w:r>
    </w:p>
    <w:p w:rsidR="00275D4D" w:rsidRPr="00DE6B40" w:rsidRDefault="00275D4D" w:rsidP="00D11C40">
      <w:pPr>
        <w:pStyle w:val="ListParagraph"/>
        <w:numPr>
          <w:ilvl w:val="0"/>
          <w:numId w:val="11"/>
        </w:numPr>
      </w:pPr>
      <w:r>
        <w:rPr>
          <w:rFonts w:ascii="Times New Roman" w:hAnsi="Times New Roman"/>
        </w:rPr>
        <w:t xml:space="preserve">For </w:t>
      </w:r>
      <w:r w:rsidR="00DE6B40">
        <w:rPr>
          <w:rFonts w:ascii="Times New Roman" w:hAnsi="Times New Roman"/>
        </w:rPr>
        <w:t xml:space="preserve">customer </w:t>
      </w:r>
      <w:proofErr w:type="spellStart"/>
      <w:r w:rsidR="00DE6B40">
        <w:rPr>
          <w:rFonts w:ascii="Times New Roman" w:hAnsi="Times New Roman"/>
        </w:rPr>
        <w:t>Gaudette</w:t>
      </w:r>
      <w:proofErr w:type="spellEnd"/>
      <w:r w:rsidR="00DE6B40">
        <w:rPr>
          <w:rFonts w:ascii="Times New Roman" w:hAnsi="Times New Roman"/>
        </w:rPr>
        <w:t xml:space="preserve">, </w:t>
      </w:r>
      <w:r w:rsidR="00460D92">
        <w:rPr>
          <w:rFonts w:ascii="Times New Roman" w:hAnsi="Times New Roman"/>
        </w:rPr>
        <w:t>Lincoln</w:t>
      </w:r>
      <w:r w:rsidR="00460D92" w:rsidRPr="00433CA4">
        <w:rPr>
          <w:rFonts w:ascii="Times New Roman" w:hAnsi="Times New Roman"/>
        </w:rPr>
        <w:t xml:space="preserve"> Moving </w:t>
      </w:r>
      <w:r w:rsidR="00460D92">
        <w:rPr>
          <w:rFonts w:ascii="Times New Roman" w:hAnsi="Times New Roman"/>
        </w:rPr>
        <w:t>failed</w:t>
      </w:r>
      <w:r w:rsidR="00DE6B40">
        <w:rPr>
          <w:rFonts w:ascii="Times New Roman" w:hAnsi="Times New Roman"/>
        </w:rPr>
        <w:t xml:space="preserve"> to record the carrier’s arrival time in violation of Item 95(1</w:t>
      </w:r>
      <w:proofErr w:type="gramStart"/>
      <w:r w:rsidR="00DE6B40">
        <w:rPr>
          <w:rFonts w:ascii="Times New Roman" w:hAnsi="Times New Roman"/>
        </w:rPr>
        <w:t>)(</w:t>
      </w:r>
      <w:proofErr w:type="gramEnd"/>
      <w:r w:rsidR="00DE6B40">
        <w:rPr>
          <w:rFonts w:ascii="Times New Roman" w:hAnsi="Times New Roman"/>
        </w:rPr>
        <w:t>m).</w:t>
      </w:r>
    </w:p>
    <w:p w:rsidR="00DE6B40" w:rsidRPr="00843B61" w:rsidRDefault="00DE6B40" w:rsidP="00D11C40">
      <w:pPr>
        <w:pStyle w:val="ListParagraph"/>
        <w:numPr>
          <w:ilvl w:val="0"/>
          <w:numId w:val="11"/>
        </w:numPr>
      </w:pPr>
      <w:r>
        <w:rPr>
          <w:rFonts w:ascii="Times New Roman" w:hAnsi="Times New Roman"/>
        </w:rPr>
        <w:t xml:space="preserve">For customer </w:t>
      </w:r>
      <w:proofErr w:type="spellStart"/>
      <w:r>
        <w:rPr>
          <w:rFonts w:ascii="Times New Roman" w:hAnsi="Times New Roman"/>
        </w:rPr>
        <w:t>Gaudette</w:t>
      </w:r>
      <w:proofErr w:type="spellEnd"/>
      <w:r>
        <w:rPr>
          <w:rFonts w:ascii="Times New Roman" w:hAnsi="Times New Roman"/>
        </w:rPr>
        <w:t xml:space="preserve">, </w:t>
      </w:r>
      <w:r w:rsidR="00460D92">
        <w:rPr>
          <w:rFonts w:ascii="Times New Roman" w:hAnsi="Times New Roman"/>
        </w:rPr>
        <w:t>Lincoln</w:t>
      </w:r>
      <w:r w:rsidR="00460D92" w:rsidRPr="00433CA4">
        <w:rPr>
          <w:rFonts w:ascii="Times New Roman" w:hAnsi="Times New Roman"/>
        </w:rPr>
        <w:t xml:space="preserve"> Moving </w:t>
      </w:r>
      <w:r w:rsidR="00460D92">
        <w:rPr>
          <w:rFonts w:ascii="Times New Roman" w:hAnsi="Times New Roman"/>
        </w:rPr>
        <w:t>failed</w:t>
      </w:r>
      <w:r>
        <w:rPr>
          <w:rFonts w:ascii="Times New Roman" w:hAnsi="Times New Roman"/>
        </w:rPr>
        <w:t xml:space="preserve"> to record the exact destination address in violation of Item 95(1</w:t>
      </w:r>
      <w:proofErr w:type="gramStart"/>
      <w:r>
        <w:rPr>
          <w:rFonts w:ascii="Times New Roman" w:hAnsi="Times New Roman"/>
        </w:rPr>
        <w:t>)(</w:t>
      </w:r>
      <w:proofErr w:type="gramEnd"/>
      <w:r>
        <w:rPr>
          <w:rFonts w:ascii="Times New Roman" w:hAnsi="Times New Roman"/>
        </w:rPr>
        <w:t xml:space="preserve">e). </w:t>
      </w:r>
    </w:p>
    <w:p w:rsidR="00843B61" w:rsidRPr="00843B61" w:rsidRDefault="00843B61" w:rsidP="00D11C40">
      <w:pPr>
        <w:pStyle w:val="ListParagraph"/>
        <w:numPr>
          <w:ilvl w:val="0"/>
          <w:numId w:val="11"/>
        </w:numPr>
      </w:pPr>
      <w:r>
        <w:rPr>
          <w:rFonts w:ascii="Times New Roman" w:hAnsi="Times New Roman"/>
        </w:rPr>
        <w:t xml:space="preserve">For customers </w:t>
      </w:r>
      <w:proofErr w:type="spellStart"/>
      <w:r>
        <w:rPr>
          <w:rFonts w:ascii="Times New Roman" w:hAnsi="Times New Roman"/>
        </w:rPr>
        <w:t>Defeo</w:t>
      </w:r>
      <w:proofErr w:type="spellEnd"/>
      <w:r>
        <w:rPr>
          <w:rFonts w:ascii="Times New Roman" w:hAnsi="Times New Roman"/>
        </w:rPr>
        <w:t xml:space="preserve"> and </w:t>
      </w:r>
      <w:proofErr w:type="spellStart"/>
      <w:r>
        <w:rPr>
          <w:rFonts w:ascii="Times New Roman" w:hAnsi="Times New Roman"/>
        </w:rPr>
        <w:t>Henrickson</w:t>
      </w:r>
      <w:proofErr w:type="spellEnd"/>
      <w:r>
        <w:rPr>
          <w:rFonts w:ascii="Times New Roman" w:hAnsi="Times New Roman"/>
        </w:rPr>
        <w:t xml:space="preserve">, </w:t>
      </w:r>
      <w:r w:rsidR="00460D92">
        <w:rPr>
          <w:rFonts w:ascii="Times New Roman" w:hAnsi="Times New Roman"/>
        </w:rPr>
        <w:t>Lincoln</w:t>
      </w:r>
      <w:r w:rsidR="00460D92" w:rsidRPr="00433CA4">
        <w:rPr>
          <w:rFonts w:ascii="Times New Roman" w:hAnsi="Times New Roman"/>
        </w:rPr>
        <w:t xml:space="preserve"> Moving </w:t>
      </w:r>
      <w:r w:rsidR="00460D92">
        <w:rPr>
          <w:rFonts w:ascii="Times New Roman" w:hAnsi="Times New Roman"/>
        </w:rPr>
        <w:t>failed</w:t>
      </w:r>
      <w:r>
        <w:rPr>
          <w:rFonts w:ascii="Times New Roman" w:hAnsi="Times New Roman"/>
        </w:rPr>
        <w:t xml:space="preserve"> to obtain the customer’s initials next to their estimate selection in violation of Item 95(1</w:t>
      </w:r>
      <w:proofErr w:type="gramStart"/>
      <w:r>
        <w:rPr>
          <w:rFonts w:ascii="Times New Roman" w:hAnsi="Times New Roman"/>
        </w:rPr>
        <w:t>)(</w:t>
      </w:r>
      <w:proofErr w:type="gramEnd"/>
      <w:r>
        <w:rPr>
          <w:rFonts w:ascii="Times New Roman" w:hAnsi="Times New Roman"/>
        </w:rPr>
        <w:t>h).</w:t>
      </w:r>
    </w:p>
    <w:p w:rsidR="00843B61" w:rsidRPr="00843B61" w:rsidRDefault="00843B61" w:rsidP="00D11C40">
      <w:pPr>
        <w:pStyle w:val="ListParagraph"/>
        <w:numPr>
          <w:ilvl w:val="0"/>
          <w:numId w:val="11"/>
        </w:numPr>
      </w:pPr>
      <w:r>
        <w:rPr>
          <w:rFonts w:ascii="Times New Roman" w:hAnsi="Times New Roman"/>
        </w:rPr>
        <w:t xml:space="preserve">For customers </w:t>
      </w:r>
      <w:proofErr w:type="spellStart"/>
      <w:r>
        <w:rPr>
          <w:rFonts w:ascii="Times New Roman" w:hAnsi="Times New Roman"/>
        </w:rPr>
        <w:t>Henrickson</w:t>
      </w:r>
      <w:proofErr w:type="spellEnd"/>
      <w:r>
        <w:rPr>
          <w:rFonts w:ascii="Times New Roman" w:hAnsi="Times New Roman"/>
        </w:rPr>
        <w:t xml:space="preserve"> and </w:t>
      </w:r>
      <w:proofErr w:type="spellStart"/>
      <w:r>
        <w:rPr>
          <w:rFonts w:ascii="Times New Roman" w:hAnsi="Times New Roman"/>
        </w:rPr>
        <w:t>Klimes</w:t>
      </w:r>
      <w:proofErr w:type="spellEnd"/>
      <w:r>
        <w:rPr>
          <w:rFonts w:ascii="Times New Roman" w:hAnsi="Times New Roman"/>
        </w:rPr>
        <w:t xml:space="preserve">, </w:t>
      </w:r>
      <w:r w:rsidR="00460D92">
        <w:rPr>
          <w:rFonts w:ascii="Times New Roman" w:hAnsi="Times New Roman"/>
        </w:rPr>
        <w:t>Lincoln</w:t>
      </w:r>
      <w:r w:rsidR="00460D92" w:rsidRPr="00433CA4">
        <w:rPr>
          <w:rFonts w:ascii="Times New Roman" w:hAnsi="Times New Roman"/>
        </w:rPr>
        <w:t xml:space="preserve"> Moving </w:t>
      </w:r>
      <w:r w:rsidR="00460D92">
        <w:rPr>
          <w:rFonts w:ascii="Times New Roman" w:hAnsi="Times New Roman"/>
        </w:rPr>
        <w:t>failed</w:t>
      </w:r>
      <w:r>
        <w:rPr>
          <w:rFonts w:ascii="Times New Roman" w:hAnsi="Times New Roman"/>
        </w:rPr>
        <w:t xml:space="preserve"> to obtain the customer’s initials next to the chosen valuation selection. Instead, the selection is marked with an “x” in violation of Item 95(1</w:t>
      </w:r>
      <w:proofErr w:type="gramStart"/>
      <w:r>
        <w:rPr>
          <w:rFonts w:ascii="Times New Roman" w:hAnsi="Times New Roman"/>
        </w:rPr>
        <w:t>)(</w:t>
      </w:r>
      <w:proofErr w:type="gramEnd"/>
      <w:r>
        <w:rPr>
          <w:rFonts w:ascii="Times New Roman" w:hAnsi="Times New Roman"/>
        </w:rPr>
        <w:t>k).</w:t>
      </w:r>
    </w:p>
    <w:p w:rsidR="003C2B56" w:rsidRDefault="003C2B56">
      <w:pPr>
        <w:pStyle w:val="Heading1"/>
      </w:pPr>
    </w:p>
    <w:p w:rsidR="00D33056" w:rsidRPr="00433CA4" w:rsidRDefault="00D33056">
      <w:pPr>
        <w:pStyle w:val="Heading1"/>
      </w:pPr>
      <w:r w:rsidRPr="00433CA4">
        <w:t>Findings</w:t>
      </w:r>
    </w:p>
    <w:p w:rsidR="00D33056" w:rsidRPr="00433CA4" w:rsidRDefault="00843B61">
      <w:pPr>
        <w:rPr>
          <w:rFonts w:ascii="Times New Roman" w:hAnsi="Times New Roman"/>
        </w:rPr>
      </w:pPr>
      <w:r>
        <w:rPr>
          <w:rFonts w:ascii="Times New Roman" w:hAnsi="Times New Roman"/>
        </w:rPr>
        <w:t xml:space="preserve">Lincoln </w:t>
      </w:r>
      <w:r w:rsidR="00433CA4" w:rsidRPr="00433CA4">
        <w:rPr>
          <w:rFonts w:ascii="Times New Roman" w:hAnsi="Times New Roman"/>
        </w:rPr>
        <w:t>Moving</w:t>
      </w:r>
      <w:r w:rsidR="005543AE" w:rsidRPr="00433CA4">
        <w:rPr>
          <w:rFonts w:ascii="Times New Roman" w:hAnsi="Times New Roman"/>
        </w:rPr>
        <w:t xml:space="preserve"> </w:t>
      </w:r>
      <w:r w:rsidR="002779F8" w:rsidRPr="00433CA4">
        <w:rPr>
          <w:rFonts w:ascii="Times New Roman" w:hAnsi="Times New Roman"/>
        </w:rPr>
        <w:t>violate</w:t>
      </w:r>
      <w:r w:rsidR="009F2595" w:rsidRPr="00433CA4">
        <w:rPr>
          <w:rFonts w:ascii="Times New Roman" w:hAnsi="Times New Roman"/>
        </w:rPr>
        <w:t>d WAC 480-15-710</w:t>
      </w:r>
      <w:r w:rsidR="002B00EF">
        <w:rPr>
          <w:rFonts w:ascii="Times New Roman" w:hAnsi="Times New Roman"/>
        </w:rPr>
        <w:t>(3)</w:t>
      </w:r>
      <w:r w:rsidR="009F2595" w:rsidRPr="00433CA4">
        <w:rPr>
          <w:rFonts w:ascii="Times New Roman" w:hAnsi="Times New Roman"/>
        </w:rPr>
        <w:t xml:space="preserve"> and </w:t>
      </w:r>
      <w:r w:rsidR="00322DB6" w:rsidRPr="00433CA4">
        <w:rPr>
          <w:rFonts w:ascii="Times New Roman" w:hAnsi="Times New Roman"/>
          <w:color w:val="000000"/>
        </w:rPr>
        <w:t>Tariff 15-C,</w:t>
      </w:r>
      <w:r w:rsidR="0068280D" w:rsidRPr="00433CA4">
        <w:rPr>
          <w:rFonts w:ascii="Times New Roman" w:hAnsi="Times New Roman"/>
          <w:color w:val="000000"/>
        </w:rPr>
        <w:t xml:space="preserve"> Item 95</w:t>
      </w:r>
      <w:r w:rsidR="009F2595" w:rsidRPr="00433CA4">
        <w:rPr>
          <w:rFonts w:ascii="Times New Roman" w:hAnsi="Times New Roman"/>
          <w:color w:val="000000"/>
        </w:rPr>
        <w:t xml:space="preserve"> when it issued improper bills of lading for </w:t>
      </w:r>
      <w:r w:rsidR="00433CA4" w:rsidRPr="00433CA4">
        <w:rPr>
          <w:rFonts w:ascii="Times New Roman" w:hAnsi="Times New Roman"/>
          <w:color w:val="000000"/>
        </w:rPr>
        <w:t xml:space="preserve">each of the </w:t>
      </w:r>
      <w:r>
        <w:rPr>
          <w:rFonts w:ascii="Times New Roman" w:hAnsi="Times New Roman"/>
          <w:color w:val="000000"/>
        </w:rPr>
        <w:t>44</w:t>
      </w:r>
      <w:r w:rsidR="00D73587" w:rsidRPr="00433CA4">
        <w:rPr>
          <w:rFonts w:ascii="Times New Roman" w:hAnsi="Times New Roman"/>
          <w:color w:val="000000"/>
        </w:rPr>
        <w:t xml:space="preserve"> </w:t>
      </w:r>
      <w:r w:rsidR="009F2595" w:rsidRPr="00433CA4">
        <w:rPr>
          <w:rFonts w:ascii="Times New Roman" w:hAnsi="Times New Roman"/>
          <w:color w:val="000000"/>
        </w:rPr>
        <w:t xml:space="preserve">moves performed </w:t>
      </w:r>
      <w:r w:rsidR="00C81486" w:rsidRPr="00433CA4">
        <w:rPr>
          <w:rFonts w:ascii="Times New Roman" w:hAnsi="Times New Roman"/>
          <w:color w:val="000000"/>
        </w:rPr>
        <w:t>during the review period</w:t>
      </w:r>
      <w:r w:rsidR="00275D4D">
        <w:rPr>
          <w:rFonts w:ascii="Times New Roman" w:hAnsi="Times New Roman"/>
          <w:color w:val="000000"/>
        </w:rPr>
        <w:t xml:space="preserve">, and failed to properly complete bills of lading for </w:t>
      </w:r>
      <w:r>
        <w:rPr>
          <w:rFonts w:ascii="Times New Roman" w:hAnsi="Times New Roman"/>
          <w:color w:val="000000"/>
        </w:rPr>
        <w:t>six</w:t>
      </w:r>
      <w:r w:rsidR="00275D4D">
        <w:rPr>
          <w:rFonts w:ascii="Times New Roman" w:hAnsi="Times New Roman"/>
          <w:color w:val="000000"/>
        </w:rPr>
        <w:t xml:space="preserve"> </w:t>
      </w:r>
      <w:r w:rsidR="009E2C79">
        <w:rPr>
          <w:rFonts w:ascii="Times New Roman" w:hAnsi="Times New Roman"/>
          <w:color w:val="000000"/>
        </w:rPr>
        <w:t xml:space="preserve">of those </w:t>
      </w:r>
      <w:r w:rsidR="00275D4D">
        <w:rPr>
          <w:rFonts w:ascii="Times New Roman" w:hAnsi="Times New Roman"/>
          <w:color w:val="000000"/>
        </w:rPr>
        <w:t>moves.</w:t>
      </w:r>
    </w:p>
    <w:p w:rsidR="00BE5E19" w:rsidRPr="008D3A81" w:rsidRDefault="00BE5E19">
      <w:pPr>
        <w:rPr>
          <w:rFonts w:ascii="Times New Roman" w:hAnsi="Times New Roman"/>
          <w:highlight w:val="yellow"/>
        </w:rPr>
      </w:pPr>
    </w:p>
    <w:p w:rsidR="00BE5E19" w:rsidRPr="00433CA4" w:rsidRDefault="00BE5E19" w:rsidP="00BE5E19">
      <w:pPr>
        <w:pStyle w:val="Heading3"/>
        <w:rPr>
          <w:rFonts w:ascii="Times New Roman" w:hAnsi="Times New Roman"/>
          <w:b/>
          <w:bCs/>
          <w:u w:val="none"/>
        </w:rPr>
      </w:pPr>
      <w:r w:rsidRPr="00433CA4">
        <w:rPr>
          <w:rFonts w:ascii="Times New Roman" w:hAnsi="Times New Roman"/>
          <w:b/>
          <w:bCs/>
          <w:u w:val="none"/>
        </w:rPr>
        <w:lastRenderedPageBreak/>
        <w:t>Recommendation</w:t>
      </w:r>
    </w:p>
    <w:p w:rsidR="00BE5E19" w:rsidRDefault="007A3D69">
      <w:pPr>
        <w:rPr>
          <w:rFonts w:ascii="Times New Roman" w:hAnsi="Times New Roman"/>
        </w:rPr>
      </w:pPr>
      <w:r w:rsidRPr="00433CA4">
        <w:rPr>
          <w:rFonts w:ascii="Times New Roman" w:hAnsi="Times New Roman"/>
        </w:rPr>
        <w:t xml:space="preserve">Staff advises that </w:t>
      </w:r>
      <w:r w:rsidR="00843B61">
        <w:rPr>
          <w:rFonts w:ascii="Times New Roman" w:hAnsi="Times New Roman"/>
        </w:rPr>
        <w:t>Lincoln Moving</w:t>
      </w:r>
      <w:r w:rsidRPr="00433CA4">
        <w:rPr>
          <w:rFonts w:ascii="Times New Roman" w:hAnsi="Times New Roman"/>
        </w:rPr>
        <w:t xml:space="preserve"> must provide a properly </w:t>
      </w:r>
      <w:r w:rsidR="00C03FA8" w:rsidRPr="00433CA4">
        <w:rPr>
          <w:rFonts w:ascii="Times New Roman" w:hAnsi="Times New Roman"/>
        </w:rPr>
        <w:t>formatted</w:t>
      </w:r>
      <w:r w:rsidRPr="00433CA4">
        <w:rPr>
          <w:rFonts w:ascii="Times New Roman" w:hAnsi="Times New Roman"/>
        </w:rPr>
        <w:t xml:space="preserve"> </w:t>
      </w:r>
      <w:r w:rsidR="00C03FA8" w:rsidRPr="00433CA4">
        <w:rPr>
          <w:rFonts w:ascii="Times New Roman" w:hAnsi="Times New Roman"/>
        </w:rPr>
        <w:t>bill of lading</w:t>
      </w:r>
      <w:r w:rsidRPr="00433CA4">
        <w:rPr>
          <w:rFonts w:ascii="Times New Roman" w:hAnsi="Times New Roman"/>
        </w:rPr>
        <w:t xml:space="preserve"> </w:t>
      </w:r>
      <w:r w:rsidR="00C03FA8" w:rsidRPr="00433CA4">
        <w:rPr>
          <w:rFonts w:ascii="Times New Roman" w:hAnsi="Times New Roman"/>
        </w:rPr>
        <w:t>for every move</w:t>
      </w:r>
      <w:r w:rsidRPr="00433CA4">
        <w:rPr>
          <w:rFonts w:ascii="Times New Roman" w:hAnsi="Times New Roman"/>
        </w:rPr>
        <w:t xml:space="preserve">. </w:t>
      </w:r>
      <w:r w:rsidR="00843B61">
        <w:rPr>
          <w:rFonts w:ascii="Times New Roman" w:hAnsi="Times New Roman"/>
        </w:rPr>
        <w:t xml:space="preserve">Lincoln Moving </w:t>
      </w:r>
      <w:r w:rsidR="00275D4D" w:rsidRPr="00275D4D">
        <w:rPr>
          <w:rFonts w:ascii="Times New Roman" w:hAnsi="Times New Roman"/>
        </w:rPr>
        <w:t xml:space="preserve">must also properly complete </w:t>
      </w:r>
      <w:r w:rsidR="008A1A93">
        <w:rPr>
          <w:rFonts w:ascii="Times New Roman" w:hAnsi="Times New Roman"/>
        </w:rPr>
        <w:t>its</w:t>
      </w:r>
      <w:r w:rsidR="00275D4D">
        <w:rPr>
          <w:rFonts w:ascii="Times New Roman" w:hAnsi="Times New Roman"/>
        </w:rPr>
        <w:t xml:space="preserve"> </w:t>
      </w:r>
      <w:r w:rsidR="00275D4D" w:rsidRPr="00275D4D">
        <w:rPr>
          <w:rFonts w:ascii="Times New Roman" w:hAnsi="Times New Roman"/>
        </w:rPr>
        <w:t>bil</w:t>
      </w:r>
      <w:r w:rsidR="008A1A93">
        <w:rPr>
          <w:rFonts w:ascii="Times New Roman" w:hAnsi="Times New Roman"/>
        </w:rPr>
        <w:t xml:space="preserve">ls </w:t>
      </w:r>
      <w:r w:rsidR="00275D4D" w:rsidRPr="00275D4D">
        <w:rPr>
          <w:rFonts w:ascii="Times New Roman" w:hAnsi="Times New Roman"/>
        </w:rPr>
        <w:t>of lading for every move</w:t>
      </w:r>
      <w:r w:rsidR="00275D4D">
        <w:rPr>
          <w:rFonts w:ascii="Times New Roman" w:hAnsi="Times New Roman"/>
        </w:rPr>
        <w:t>.</w:t>
      </w:r>
      <w:r w:rsidR="00275D4D" w:rsidRPr="00433CA4">
        <w:rPr>
          <w:rFonts w:ascii="Times New Roman" w:hAnsi="Times New Roman"/>
        </w:rPr>
        <w:t xml:space="preserve"> </w:t>
      </w:r>
      <w:r w:rsidRPr="00433CA4">
        <w:rPr>
          <w:rFonts w:ascii="Times New Roman" w:hAnsi="Times New Roman"/>
        </w:rPr>
        <w:t xml:space="preserve">The </w:t>
      </w:r>
      <w:r w:rsidR="00C03FA8" w:rsidRPr="00433CA4">
        <w:rPr>
          <w:rFonts w:ascii="Times New Roman" w:hAnsi="Times New Roman"/>
        </w:rPr>
        <w:t>bill of lading</w:t>
      </w:r>
      <w:r w:rsidRPr="00433CA4">
        <w:rPr>
          <w:rFonts w:ascii="Times New Roman" w:hAnsi="Times New Roman"/>
        </w:rPr>
        <w:t xml:space="preserve"> form must include all </w:t>
      </w:r>
      <w:r w:rsidR="008A1A93">
        <w:rPr>
          <w:rFonts w:ascii="Times New Roman" w:hAnsi="Times New Roman"/>
        </w:rPr>
        <w:t xml:space="preserve">of the </w:t>
      </w:r>
      <w:r w:rsidRPr="00433CA4">
        <w:rPr>
          <w:rFonts w:ascii="Times New Roman" w:hAnsi="Times New Roman"/>
        </w:rPr>
        <w:t xml:space="preserve">information required </w:t>
      </w:r>
      <w:r w:rsidR="0068280D" w:rsidRPr="00433CA4">
        <w:rPr>
          <w:rFonts w:ascii="Times New Roman" w:hAnsi="Times New Roman"/>
        </w:rPr>
        <w:t>by T</w:t>
      </w:r>
      <w:r w:rsidRPr="00433CA4">
        <w:rPr>
          <w:rFonts w:ascii="Times New Roman" w:hAnsi="Times New Roman"/>
        </w:rPr>
        <w:t>ariff</w:t>
      </w:r>
      <w:r w:rsidR="0068280D" w:rsidRPr="00433CA4">
        <w:rPr>
          <w:rFonts w:ascii="Times New Roman" w:hAnsi="Times New Roman"/>
        </w:rPr>
        <w:t xml:space="preserve"> 15-C, Item 95</w:t>
      </w:r>
      <w:r w:rsidR="00A71B83">
        <w:rPr>
          <w:rFonts w:ascii="Times New Roman" w:hAnsi="Times New Roman"/>
        </w:rPr>
        <w:t>, and must not include information that is not expressly authorized</w:t>
      </w:r>
      <w:r w:rsidRPr="00433CA4">
        <w:rPr>
          <w:rFonts w:ascii="Times New Roman" w:hAnsi="Times New Roman"/>
        </w:rPr>
        <w:t xml:space="preserve">. </w:t>
      </w:r>
      <w:r w:rsidR="00DF658D" w:rsidRPr="00433CA4">
        <w:rPr>
          <w:rFonts w:ascii="Times New Roman" w:hAnsi="Times New Roman"/>
        </w:rPr>
        <w:t xml:space="preserve">A commission-approved bill of lading </w:t>
      </w:r>
      <w:proofErr w:type="gramStart"/>
      <w:r w:rsidR="00DF658D" w:rsidRPr="00433CA4">
        <w:rPr>
          <w:rFonts w:ascii="Times New Roman" w:hAnsi="Times New Roman"/>
        </w:rPr>
        <w:t>can be found</w:t>
      </w:r>
      <w:proofErr w:type="gramEnd"/>
      <w:r w:rsidR="00DF658D" w:rsidRPr="00433CA4">
        <w:rPr>
          <w:rFonts w:ascii="Times New Roman" w:hAnsi="Times New Roman"/>
        </w:rPr>
        <w:t xml:space="preserve"> on the commission’s website at </w:t>
      </w:r>
      <w:hyperlink r:id="rId11" w:history="1">
        <w:r w:rsidR="00DF658D" w:rsidRPr="00433CA4">
          <w:rPr>
            <w:rStyle w:val="Hyperlink"/>
            <w:rFonts w:ascii="Times New Roman" w:hAnsi="Times New Roman"/>
          </w:rPr>
          <w:t>www.utc.wa.gov/mover</w:t>
        </w:r>
      </w:hyperlink>
      <w:r w:rsidR="00DF658D" w:rsidRPr="00433CA4">
        <w:rPr>
          <w:rFonts w:ascii="Times New Roman" w:hAnsi="Times New Roman"/>
        </w:rPr>
        <w:t xml:space="preserve">. </w:t>
      </w:r>
      <w:r w:rsidRPr="00433CA4">
        <w:rPr>
          <w:rFonts w:ascii="Times New Roman" w:hAnsi="Times New Roman"/>
        </w:rPr>
        <w:t xml:space="preserve">Staff considers this investigation as the company’s technical assistance regarding </w:t>
      </w:r>
      <w:r w:rsidR="00C03FA8" w:rsidRPr="00433CA4">
        <w:rPr>
          <w:rFonts w:ascii="Times New Roman" w:hAnsi="Times New Roman"/>
        </w:rPr>
        <w:t>bill of lading</w:t>
      </w:r>
      <w:r w:rsidRPr="00433CA4">
        <w:rPr>
          <w:rFonts w:ascii="Times New Roman" w:hAnsi="Times New Roman"/>
        </w:rPr>
        <w:t xml:space="preserve"> format</w:t>
      </w:r>
      <w:r w:rsidR="009E2C79">
        <w:rPr>
          <w:rFonts w:ascii="Times New Roman" w:hAnsi="Times New Roman"/>
        </w:rPr>
        <w:t xml:space="preserve"> and completion</w:t>
      </w:r>
      <w:r w:rsidRPr="00433CA4">
        <w:rPr>
          <w:rFonts w:ascii="Times New Roman" w:hAnsi="Times New Roman"/>
        </w:rPr>
        <w:t xml:space="preserve">. If future violations </w:t>
      </w:r>
      <w:proofErr w:type="gramStart"/>
      <w:r w:rsidRPr="00433CA4">
        <w:rPr>
          <w:rFonts w:ascii="Times New Roman" w:hAnsi="Times New Roman"/>
        </w:rPr>
        <w:t>are found</w:t>
      </w:r>
      <w:proofErr w:type="gramEnd"/>
      <w:r w:rsidRPr="00433CA4">
        <w:rPr>
          <w:rFonts w:ascii="Times New Roman" w:hAnsi="Times New Roman"/>
        </w:rPr>
        <w:t xml:space="preserve">, staff may recommend penalties or </w:t>
      </w:r>
      <w:r w:rsidR="00E24C4C" w:rsidRPr="00433CA4">
        <w:rPr>
          <w:rFonts w:ascii="Times New Roman" w:hAnsi="Times New Roman"/>
        </w:rPr>
        <w:t>take other enforcement action.</w:t>
      </w:r>
    </w:p>
    <w:p w:rsidR="00D73587" w:rsidRDefault="00D73587">
      <w:pPr>
        <w:rPr>
          <w:rFonts w:ascii="Times New Roman" w:hAnsi="Times New Roman"/>
        </w:rPr>
      </w:pPr>
      <w:r>
        <w:rPr>
          <w:rFonts w:ascii="Times New Roman" w:hAnsi="Times New Roman"/>
        </w:rPr>
        <w:br w:type="page"/>
      </w:r>
    </w:p>
    <w:p w:rsidR="00AD444C" w:rsidRPr="00142BE6" w:rsidRDefault="006F51DC" w:rsidP="00DF3E6A">
      <w:pPr>
        <w:jc w:val="center"/>
        <w:rPr>
          <w:rFonts w:ascii="Times New Roman" w:hAnsi="Times New Roman"/>
          <w:b/>
          <w:sz w:val="28"/>
          <w:szCs w:val="28"/>
        </w:rPr>
      </w:pPr>
      <w:r w:rsidRPr="00142BE6">
        <w:rPr>
          <w:rFonts w:ascii="Times New Roman" w:hAnsi="Times New Roman"/>
          <w:b/>
          <w:sz w:val="28"/>
          <w:szCs w:val="28"/>
        </w:rPr>
        <w:lastRenderedPageBreak/>
        <w:t>TARIFF RATES AND CHARGES</w:t>
      </w:r>
    </w:p>
    <w:p w:rsidR="00914924" w:rsidRPr="008D3A81" w:rsidRDefault="00914924" w:rsidP="00830ACC">
      <w:pPr>
        <w:rPr>
          <w:rFonts w:ascii="Times New Roman" w:hAnsi="Times New Roman"/>
          <w:highlight w:val="yellow"/>
        </w:rPr>
      </w:pPr>
    </w:p>
    <w:p w:rsidR="00142BE6" w:rsidRDefault="00142BE6" w:rsidP="00142BE6">
      <w:pPr>
        <w:pStyle w:val="BodyTextIndent"/>
        <w:ind w:left="0"/>
        <w:rPr>
          <w:b/>
        </w:rPr>
      </w:pPr>
      <w:r>
        <w:rPr>
          <w:b/>
        </w:rPr>
        <w:t>Investigation</w:t>
      </w:r>
    </w:p>
    <w:p w:rsidR="00460D92" w:rsidRDefault="00142BE6" w:rsidP="00142BE6">
      <w:pPr>
        <w:pStyle w:val="BodyTextIndent"/>
        <w:ind w:left="0"/>
      </w:pPr>
      <w:r>
        <w:t xml:space="preserve">WAC 480-15-490 requires a household goods company to bill charges according to the tariff. </w:t>
      </w:r>
    </w:p>
    <w:p w:rsidR="00460D92" w:rsidRDefault="00460D92" w:rsidP="00142BE6">
      <w:pPr>
        <w:pStyle w:val="BodyTextIndent"/>
        <w:ind w:left="0"/>
      </w:pPr>
      <w:r>
        <w:t xml:space="preserve">Tariff 15-C governs rates and charges </w:t>
      </w:r>
      <w:r w:rsidR="00A71B83">
        <w:t>in the following areas</w:t>
      </w:r>
      <w:r>
        <w:t>:</w:t>
      </w:r>
      <w:r>
        <w:br/>
      </w:r>
    </w:p>
    <w:p w:rsidR="008A1A93" w:rsidRDefault="00142BE6" w:rsidP="00460D92">
      <w:pPr>
        <w:pStyle w:val="BodyTextIndent"/>
        <w:numPr>
          <w:ilvl w:val="0"/>
          <w:numId w:val="19"/>
        </w:numPr>
      </w:pPr>
      <w:r>
        <w:t>Item 230</w:t>
      </w:r>
      <w:r w:rsidR="00D14828">
        <w:t>(7)</w:t>
      </w:r>
      <w:r>
        <w:t xml:space="preserve"> requires minimum charges for hourly rated moves</w:t>
      </w:r>
      <w:r w:rsidR="000C0FC3">
        <w:t>.</w:t>
      </w:r>
      <w:r>
        <w:t xml:space="preserve"> </w:t>
      </w:r>
    </w:p>
    <w:p w:rsidR="00460D92" w:rsidRDefault="00460D92" w:rsidP="00460D92">
      <w:pPr>
        <w:pStyle w:val="BodyTextIndent"/>
        <w:numPr>
          <w:ilvl w:val="0"/>
          <w:numId w:val="19"/>
        </w:numPr>
      </w:pPr>
      <w:r>
        <w:t xml:space="preserve">Item 225 prescribes rate ranges for containers. </w:t>
      </w:r>
    </w:p>
    <w:p w:rsidR="00460D92" w:rsidRDefault="00460D92" w:rsidP="00460D92">
      <w:pPr>
        <w:pStyle w:val="BodyTextIndent"/>
        <w:numPr>
          <w:ilvl w:val="0"/>
          <w:numId w:val="19"/>
        </w:numPr>
      </w:pPr>
      <w:r>
        <w:t>Item 55 governs the provision of misce</w:t>
      </w:r>
      <w:r w:rsidR="000C0FC3">
        <w:t>llaneous services, specifically third party service charges</w:t>
      </w:r>
      <w:r>
        <w:t xml:space="preserve"> incurred on a customer’s behalf.</w:t>
      </w:r>
    </w:p>
    <w:p w:rsidR="008A1A93" w:rsidRDefault="008A1A93" w:rsidP="00142BE6">
      <w:pPr>
        <w:pStyle w:val="BodyTextIndent"/>
        <w:ind w:left="0"/>
      </w:pPr>
    </w:p>
    <w:p w:rsidR="008A1A93" w:rsidRDefault="008A1A93" w:rsidP="00142BE6">
      <w:pPr>
        <w:pStyle w:val="BodyTextIndent"/>
        <w:ind w:left="0"/>
      </w:pPr>
    </w:p>
    <w:p w:rsidR="0005143E" w:rsidRPr="000C0FC3" w:rsidRDefault="000C0FC3" w:rsidP="0005143E">
      <w:pPr>
        <w:pStyle w:val="BodyTextIndent"/>
        <w:ind w:left="0"/>
        <w:rPr>
          <w:b/>
        </w:rPr>
      </w:pPr>
      <w:r w:rsidRPr="000C0FC3">
        <w:rPr>
          <w:b/>
        </w:rPr>
        <w:t>Hourly Rates</w:t>
      </w:r>
    </w:p>
    <w:p w:rsidR="000C0FC3" w:rsidRDefault="000C0FC3" w:rsidP="000C0FC3">
      <w:pPr>
        <w:pStyle w:val="BodyTextIndent"/>
        <w:ind w:left="0"/>
      </w:pPr>
      <w:r>
        <w:t xml:space="preserve">Tariff 15-C, Item 230(7) requires minimum charges for hourly rated moves, including a minimum of one hour for moves performed Monday through Friday between 8:00 a.m. and 5:00 p.m., and four hours for moves performed on a Saturday or Sunday at the customer’s request. </w:t>
      </w:r>
      <w:r>
        <w:br/>
      </w:r>
    </w:p>
    <w:p w:rsidR="000C0FC3" w:rsidRDefault="00A71B83" w:rsidP="000C0FC3">
      <w:pPr>
        <w:pStyle w:val="BodyTextIndent"/>
        <w:ind w:left="0"/>
      </w:pPr>
      <w:r>
        <w:t xml:space="preserve">Customer Johnson was charged a four hour minimum during normal business hours on Monday, January 31, 2011, in violation of WAC 480-15-490(3) and Tariff 15-C, Item 230(7). </w:t>
      </w:r>
      <w:r w:rsidR="000C0FC3">
        <w:t xml:space="preserve">Customer Lander </w:t>
      </w:r>
      <w:r w:rsidR="003E6D57">
        <w:t xml:space="preserve">was charged a four hour minimum during normal business hours </w:t>
      </w:r>
      <w:r w:rsidR="000C0FC3">
        <w:t>on Thursday, March 10, 2011, in violation of WAC 480-15-490(3) and Tariff 15-C, Item 230(7).</w:t>
      </w:r>
    </w:p>
    <w:p w:rsidR="000C0FC3" w:rsidRDefault="000C0FC3" w:rsidP="000C0FC3">
      <w:pPr>
        <w:pStyle w:val="BodyTextIndent"/>
        <w:ind w:left="0"/>
      </w:pPr>
    </w:p>
    <w:p w:rsidR="000C0FC3" w:rsidRDefault="000C0FC3" w:rsidP="000C0FC3">
      <w:pPr>
        <w:pStyle w:val="BodyTextIndent"/>
        <w:ind w:left="0"/>
        <w:rPr>
          <w:b/>
        </w:rPr>
      </w:pPr>
      <w:r>
        <w:rPr>
          <w:b/>
        </w:rPr>
        <w:t>Containers</w:t>
      </w:r>
    </w:p>
    <w:p w:rsidR="000C0FC3" w:rsidRDefault="000C0FC3" w:rsidP="000C0FC3">
      <w:pPr>
        <w:pStyle w:val="BodyTextIndent"/>
        <w:ind w:left="0"/>
      </w:pPr>
      <w:r>
        <w:t xml:space="preserve">Tariff 15-C, Item 225 </w:t>
      </w:r>
      <w:r w:rsidR="00263884">
        <w:t>sets prices for containers and authorizes companies to assess minimum and maximum charges per container.</w:t>
      </w:r>
    </w:p>
    <w:p w:rsidR="00263884" w:rsidRDefault="00263884" w:rsidP="000C0FC3">
      <w:pPr>
        <w:pStyle w:val="BodyTextIndent"/>
        <w:ind w:left="0"/>
      </w:pPr>
    </w:p>
    <w:p w:rsidR="00263884" w:rsidRDefault="00263884" w:rsidP="000C0FC3">
      <w:pPr>
        <w:pStyle w:val="BodyTextIndent"/>
        <w:ind w:left="0"/>
      </w:pPr>
      <w:r>
        <w:rPr>
          <w:b/>
          <w:u w:val="single"/>
        </w:rPr>
        <w:t>Technical Assistance:</w:t>
      </w:r>
      <w:r>
        <w:t xml:space="preserve"> Lincoln </w:t>
      </w:r>
      <w:proofErr w:type="gramStart"/>
      <w:r>
        <w:t>Moving</w:t>
      </w:r>
      <w:proofErr w:type="gramEnd"/>
      <w:r>
        <w:t xml:space="preserve"> received technical assistance regarding charges for containers in Consumer Complaints 85561, 95726, and 111001, as follows:</w:t>
      </w:r>
    </w:p>
    <w:p w:rsidR="00A71B83" w:rsidRDefault="00A71B83" w:rsidP="000C0FC3">
      <w:pPr>
        <w:pStyle w:val="BodyTextIndent"/>
        <w:ind w:left="0"/>
      </w:pPr>
    </w:p>
    <w:p w:rsidR="00263884" w:rsidRDefault="00263884" w:rsidP="000C0FC3">
      <w:pPr>
        <w:pStyle w:val="BodyTextIndent"/>
        <w:ind w:left="0"/>
      </w:pPr>
    </w:p>
    <w:tbl>
      <w:tblPr>
        <w:tblStyle w:val="TableGrid"/>
        <w:tblW w:w="0" w:type="auto"/>
        <w:tblLook w:val="04A0" w:firstRow="1" w:lastRow="0" w:firstColumn="1" w:lastColumn="0" w:noHBand="0" w:noVBand="1"/>
      </w:tblPr>
      <w:tblGrid>
        <w:gridCol w:w="2322"/>
        <w:gridCol w:w="1070"/>
        <w:gridCol w:w="5824"/>
      </w:tblGrid>
      <w:tr w:rsidR="007F41D9" w:rsidRPr="007F41D9" w:rsidTr="00B40A60">
        <w:tc>
          <w:tcPr>
            <w:tcW w:w="2322" w:type="dxa"/>
          </w:tcPr>
          <w:p w:rsidR="007F41D9" w:rsidRPr="007F41D9" w:rsidRDefault="007F41D9" w:rsidP="000C0FC3">
            <w:pPr>
              <w:pStyle w:val="BodyTextIndent"/>
              <w:ind w:left="0"/>
              <w:rPr>
                <w:b/>
              </w:rPr>
            </w:pPr>
            <w:r w:rsidRPr="007F41D9">
              <w:rPr>
                <w:b/>
              </w:rPr>
              <w:t>Complaint Number</w:t>
            </w:r>
          </w:p>
        </w:tc>
        <w:tc>
          <w:tcPr>
            <w:tcW w:w="1070" w:type="dxa"/>
          </w:tcPr>
          <w:p w:rsidR="007F41D9" w:rsidRPr="007F41D9" w:rsidRDefault="007F41D9" w:rsidP="000C0FC3">
            <w:pPr>
              <w:pStyle w:val="BodyTextIndent"/>
              <w:ind w:left="0"/>
              <w:rPr>
                <w:b/>
              </w:rPr>
            </w:pPr>
            <w:r w:rsidRPr="007F41D9">
              <w:rPr>
                <w:b/>
              </w:rPr>
              <w:t>Date</w:t>
            </w:r>
          </w:p>
        </w:tc>
        <w:tc>
          <w:tcPr>
            <w:tcW w:w="5824" w:type="dxa"/>
          </w:tcPr>
          <w:p w:rsidR="007F41D9" w:rsidRPr="007F41D9" w:rsidRDefault="007F41D9" w:rsidP="000C0FC3">
            <w:pPr>
              <w:pStyle w:val="BodyTextIndent"/>
              <w:ind w:left="0"/>
              <w:rPr>
                <w:b/>
              </w:rPr>
            </w:pPr>
            <w:r w:rsidRPr="007F41D9">
              <w:rPr>
                <w:b/>
              </w:rPr>
              <w:t>Technical Assistance Received</w:t>
            </w:r>
          </w:p>
        </w:tc>
      </w:tr>
      <w:tr w:rsidR="007F41D9" w:rsidTr="00B40A60">
        <w:tc>
          <w:tcPr>
            <w:tcW w:w="2322" w:type="dxa"/>
          </w:tcPr>
          <w:p w:rsidR="007F41D9" w:rsidRDefault="007F41D9" w:rsidP="000C0FC3">
            <w:pPr>
              <w:pStyle w:val="BodyTextIndent"/>
              <w:ind w:left="0"/>
            </w:pPr>
            <w:r>
              <w:t>85561</w:t>
            </w:r>
          </w:p>
        </w:tc>
        <w:tc>
          <w:tcPr>
            <w:tcW w:w="1070" w:type="dxa"/>
          </w:tcPr>
          <w:p w:rsidR="007F41D9" w:rsidRDefault="007F41D9" w:rsidP="000C0FC3">
            <w:pPr>
              <w:pStyle w:val="BodyTextIndent"/>
              <w:ind w:left="0"/>
            </w:pPr>
            <w:r>
              <w:t>09/17/03</w:t>
            </w:r>
          </w:p>
        </w:tc>
        <w:tc>
          <w:tcPr>
            <w:tcW w:w="5824" w:type="dxa"/>
          </w:tcPr>
          <w:p w:rsidR="007F41D9" w:rsidRDefault="007F41D9" w:rsidP="000C0FC3">
            <w:pPr>
              <w:pStyle w:val="BodyTextIndent"/>
              <w:ind w:left="0"/>
            </w:pPr>
            <w:r>
              <w:t xml:space="preserve">Lincoln Moving failed to charge the customer for boxes. Staff cited one violation of </w:t>
            </w:r>
            <w:r w:rsidR="00B40A60">
              <w:t>Tariff 15-A, Item 225 and advised that failing to charge tariff rates for containers is unlawful.</w:t>
            </w:r>
          </w:p>
        </w:tc>
      </w:tr>
      <w:tr w:rsidR="007F41D9" w:rsidTr="00B40A60">
        <w:tc>
          <w:tcPr>
            <w:tcW w:w="2322" w:type="dxa"/>
          </w:tcPr>
          <w:p w:rsidR="007F41D9" w:rsidRDefault="007F41D9" w:rsidP="000C0FC3">
            <w:pPr>
              <w:pStyle w:val="BodyTextIndent"/>
              <w:ind w:left="0"/>
            </w:pPr>
            <w:r>
              <w:t>95726</w:t>
            </w:r>
          </w:p>
        </w:tc>
        <w:tc>
          <w:tcPr>
            <w:tcW w:w="1070" w:type="dxa"/>
          </w:tcPr>
          <w:p w:rsidR="007F41D9" w:rsidRDefault="007F41D9" w:rsidP="000C0FC3">
            <w:pPr>
              <w:pStyle w:val="BodyTextIndent"/>
              <w:ind w:left="0"/>
            </w:pPr>
            <w:r>
              <w:t>12/14/05</w:t>
            </w:r>
          </w:p>
        </w:tc>
        <w:tc>
          <w:tcPr>
            <w:tcW w:w="5824" w:type="dxa"/>
          </w:tcPr>
          <w:p w:rsidR="007F41D9" w:rsidRDefault="00B40A60" w:rsidP="000C0FC3">
            <w:pPr>
              <w:pStyle w:val="BodyTextIndent"/>
              <w:ind w:left="0"/>
            </w:pPr>
            <w:r>
              <w:t>Lincoln Moving failed to charge tariff container rates as follows:</w:t>
            </w:r>
          </w:p>
          <w:p w:rsidR="00B40A60" w:rsidRDefault="00B40A60" w:rsidP="00B40A60">
            <w:pPr>
              <w:pStyle w:val="BodyTextIndent"/>
              <w:numPr>
                <w:ilvl w:val="0"/>
                <w:numId w:val="20"/>
              </w:numPr>
            </w:pPr>
            <w:r>
              <w:t>Lincoln Moving charged $1.50 each for 50 containers measuring less than three cubic feet. The rate range for these containers was $2.03 to $3.39 per container.</w:t>
            </w:r>
          </w:p>
          <w:p w:rsidR="00B40A60" w:rsidRDefault="00B40A60" w:rsidP="00B40A60">
            <w:pPr>
              <w:pStyle w:val="BodyTextIndent"/>
            </w:pPr>
          </w:p>
          <w:p w:rsidR="00A71B83" w:rsidRDefault="00A71B83" w:rsidP="00B40A60">
            <w:pPr>
              <w:pStyle w:val="BodyTextIndent"/>
            </w:pPr>
          </w:p>
          <w:p w:rsidR="00B40A60" w:rsidRDefault="00B40A60" w:rsidP="00B40A60">
            <w:pPr>
              <w:pStyle w:val="BodyTextIndent"/>
            </w:pPr>
          </w:p>
        </w:tc>
      </w:tr>
      <w:tr w:rsidR="00B40A60" w:rsidRPr="007F41D9" w:rsidTr="00B40A60">
        <w:tc>
          <w:tcPr>
            <w:tcW w:w="2322" w:type="dxa"/>
          </w:tcPr>
          <w:p w:rsidR="00B40A60" w:rsidRPr="007F41D9" w:rsidRDefault="00B40A60" w:rsidP="00604048">
            <w:pPr>
              <w:pStyle w:val="BodyTextIndent"/>
              <w:ind w:left="0"/>
              <w:rPr>
                <w:b/>
              </w:rPr>
            </w:pPr>
            <w:r w:rsidRPr="007F41D9">
              <w:rPr>
                <w:b/>
              </w:rPr>
              <w:lastRenderedPageBreak/>
              <w:t>Complaint Number</w:t>
            </w:r>
          </w:p>
        </w:tc>
        <w:tc>
          <w:tcPr>
            <w:tcW w:w="1070" w:type="dxa"/>
          </w:tcPr>
          <w:p w:rsidR="00B40A60" w:rsidRPr="007F41D9" w:rsidRDefault="00B40A60" w:rsidP="00604048">
            <w:pPr>
              <w:pStyle w:val="BodyTextIndent"/>
              <w:ind w:left="0"/>
              <w:rPr>
                <w:b/>
              </w:rPr>
            </w:pPr>
            <w:r w:rsidRPr="007F41D9">
              <w:rPr>
                <w:b/>
              </w:rPr>
              <w:t>Date</w:t>
            </w:r>
          </w:p>
        </w:tc>
        <w:tc>
          <w:tcPr>
            <w:tcW w:w="5824" w:type="dxa"/>
          </w:tcPr>
          <w:p w:rsidR="00B40A60" w:rsidRPr="007F41D9" w:rsidRDefault="00B40A60" w:rsidP="00604048">
            <w:pPr>
              <w:pStyle w:val="BodyTextIndent"/>
              <w:ind w:left="0"/>
              <w:rPr>
                <w:b/>
              </w:rPr>
            </w:pPr>
            <w:r w:rsidRPr="007F41D9">
              <w:rPr>
                <w:b/>
              </w:rPr>
              <w:t>Technical Assistance Received</w:t>
            </w:r>
          </w:p>
        </w:tc>
      </w:tr>
      <w:tr w:rsidR="00B40A60" w:rsidTr="00B40A60">
        <w:tc>
          <w:tcPr>
            <w:tcW w:w="2322" w:type="dxa"/>
          </w:tcPr>
          <w:p w:rsidR="00B40A60" w:rsidRDefault="00B40A60" w:rsidP="000C0FC3">
            <w:pPr>
              <w:pStyle w:val="BodyTextIndent"/>
              <w:ind w:left="0"/>
            </w:pPr>
          </w:p>
        </w:tc>
        <w:tc>
          <w:tcPr>
            <w:tcW w:w="1070" w:type="dxa"/>
          </w:tcPr>
          <w:p w:rsidR="00B40A60" w:rsidRDefault="00B40A60" w:rsidP="000C0FC3">
            <w:pPr>
              <w:pStyle w:val="BodyTextIndent"/>
              <w:ind w:left="0"/>
            </w:pPr>
          </w:p>
        </w:tc>
        <w:tc>
          <w:tcPr>
            <w:tcW w:w="5824" w:type="dxa"/>
          </w:tcPr>
          <w:p w:rsidR="00B40A60" w:rsidRDefault="00B40A60" w:rsidP="00B40A60">
            <w:pPr>
              <w:pStyle w:val="BodyTextIndent"/>
              <w:numPr>
                <w:ilvl w:val="0"/>
                <w:numId w:val="20"/>
              </w:numPr>
            </w:pPr>
            <w:r>
              <w:t>Lincoln Moving charged $2.00 each for 20 containers measuring three cubic feet. The rate range for these containers was $3.02 to $5.03.</w:t>
            </w:r>
          </w:p>
          <w:p w:rsidR="00B40A60" w:rsidRDefault="00B40A60" w:rsidP="00B40A60">
            <w:pPr>
              <w:pStyle w:val="BodyTextIndent"/>
              <w:ind w:left="0"/>
            </w:pPr>
            <w:r>
              <w:t>Staff cited multiple violations of Tariff 15-A, Item 225.</w:t>
            </w:r>
          </w:p>
        </w:tc>
      </w:tr>
      <w:tr w:rsidR="007F41D9" w:rsidTr="00B40A60">
        <w:tc>
          <w:tcPr>
            <w:tcW w:w="2322" w:type="dxa"/>
          </w:tcPr>
          <w:p w:rsidR="007F41D9" w:rsidRDefault="007F41D9" w:rsidP="000C0FC3">
            <w:pPr>
              <w:pStyle w:val="BodyTextIndent"/>
              <w:ind w:left="0"/>
            </w:pPr>
            <w:r>
              <w:t>111001</w:t>
            </w:r>
          </w:p>
        </w:tc>
        <w:tc>
          <w:tcPr>
            <w:tcW w:w="1070" w:type="dxa"/>
          </w:tcPr>
          <w:p w:rsidR="007F41D9" w:rsidRDefault="007F41D9" w:rsidP="000C0FC3">
            <w:pPr>
              <w:pStyle w:val="BodyTextIndent"/>
              <w:ind w:left="0"/>
            </w:pPr>
            <w:r>
              <w:t>03/18/11</w:t>
            </w:r>
          </w:p>
        </w:tc>
        <w:tc>
          <w:tcPr>
            <w:tcW w:w="5824" w:type="dxa"/>
          </w:tcPr>
          <w:p w:rsidR="007F41D9" w:rsidRDefault="00B40A60" w:rsidP="000C0FC3">
            <w:pPr>
              <w:pStyle w:val="BodyTextIndent"/>
              <w:ind w:left="0"/>
            </w:pPr>
            <w:r>
              <w:t>Lincoln Moving failed to charge tariff container rates as follows:</w:t>
            </w:r>
          </w:p>
          <w:p w:rsidR="00B40A60" w:rsidRDefault="00FE199F" w:rsidP="00B40A60">
            <w:pPr>
              <w:pStyle w:val="BodyTextIndent"/>
              <w:numPr>
                <w:ilvl w:val="0"/>
                <w:numId w:val="20"/>
              </w:numPr>
            </w:pPr>
            <w:r>
              <w:t>Lincoln Moving charged $16.50 each for three single-use mattress covers. Tariff 15-C allows rates between $7.80 and $13.00 for a queen mattress single-use cover, and between $8.25 and $13.75 for a king single-use mattress cover. Staff cited three violations of Item 225.</w:t>
            </w:r>
          </w:p>
          <w:p w:rsidR="00FE199F" w:rsidRDefault="00FE199F" w:rsidP="00FE199F">
            <w:pPr>
              <w:pStyle w:val="BodyTextIndent"/>
              <w:numPr>
                <w:ilvl w:val="0"/>
                <w:numId w:val="20"/>
              </w:numPr>
            </w:pPr>
            <w:r>
              <w:t xml:space="preserve">Lincoln Moving charged $66 for a .92 cubic foot container for a glass tabletop. Tariff 15-C allows rates between $1.86 and $3.88 per cubic foot, or a minimum charge of $6.35 and a maximum charge of $13.24. The maximum Lincoln Moving </w:t>
            </w:r>
            <w:proofErr w:type="gramStart"/>
            <w:r>
              <w:t>was allowed</w:t>
            </w:r>
            <w:proofErr w:type="gramEnd"/>
            <w:r>
              <w:t xml:space="preserve"> to charge for this container was $13.24. Staff cited one violation of Item 225.</w:t>
            </w:r>
          </w:p>
        </w:tc>
      </w:tr>
    </w:tbl>
    <w:p w:rsidR="00263884" w:rsidRPr="00263884" w:rsidRDefault="00263884" w:rsidP="000C0FC3">
      <w:pPr>
        <w:pStyle w:val="BodyTextIndent"/>
        <w:ind w:left="0"/>
      </w:pPr>
    </w:p>
    <w:p w:rsidR="000C0FC3" w:rsidRDefault="00FE199F" w:rsidP="0005143E">
      <w:pPr>
        <w:pStyle w:val="BodyTextIndent"/>
        <w:ind w:left="0"/>
      </w:pPr>
      <w:r w:rsidRPr="00FE199F">
        <w:t xml:space="preserve">During the course of this investigation, </w:t>
      </w:r>
      <w:r>
        <w:t>staff found the following violations of Tariff 15-C, Item 225:</w:t>
      </w:r>
    </w:p>
    <w:p w:rsidR="00FE199F" w:rsidRDefault="00FE199F" w:rsidP="0005143E">
      <w:pPr>
        <w:pStyle w:val="BodyTextIndent"/>
        <w:ind w:left="0"/>
      </w:pPr>
    </w:p>
    <w:tbl>
      <w:tblPr>
        <w:tblStyle w:val="TableGrid"/>
        <w:tblW w:w="0" w:type="auto"/>
        <w:tblLook w:val="04A0" w:firstRow="1" w:lastRow="0" w:firstColumn="1" w:lastColumn="0" w:noHBand="0" w:noVBand="1"/>
      </w:tblPr>
      <w:tblGrid>
        <w:gridCol w:w="1677"/>
        <w:gridCol w:w="2148"/>
        <w:gridCol w:w="1899"/>
        <w:gridCol w:w="1923"/>
        <w:gridCol w:w="1569"/>
      </w:tblGrid>
      <w:tr w:rsidR="00C15D49" w:rsidRPr="00FE199F" w:rsidTr="00C15D49">
        <w:tc>
          <w:tcPr>
            <w:tcW w:w="1677" w:type="dxa"/>
          </w:tcPr>
          <w:p w:rsidR="00C15D49" w:rsidRPr="00FE199F" w:rsidRDefault="00C15D49" w:rsidP="00C15D49">
            <w:pPr>
              <w:pStyle w:val="BodyTextIndent"/>
              <w:ind w:left="0"/>
              <w:rPr>
                <w:b/>
              </w:rPr>
            </w:pPr>
            <w:r w:rsidRPr="00FE199F">
              <w:rPr>
                <w:b/>
              </w:rPr>
              <w:t xml:space="preserve">Customer </w:t>
            </w:r>
          </w:p>
        </w:tc>
        <w:tc>
          <w:tcPr>
            <w:tcW w:w="2148" w:type="dxa"/>
          </w:tcPr>
          <w:p w:rsidR="00C15D49" w:rsidRPr="00FE199F" w:rsidRDefault="00C15D49" w:rsidP="00C15D49">
            <w:pPr>
              <w:pStyle w:val="BodyTextIndent"/>
              <w:ind w:left="0"/>
              <w:rPr>
                <w:b/>
              </w:rPr>
            </w:pPr>
            <w:r w:rsidRPr="00FE199F">
              <w:rPr>
                <w:b/>
              </w:rPr>
              <w:t xml:space="preserve">Container </w:t>
            </w:r>
          </w:p>
        </w:tc>
        <w:tc>
          <w:tcPr>
            <w:tcW w:w="1899" w:type="dxa"/>
          </w:tcPr>
          <w:p w:rsidR="00C15D49" w:rsidRPr="00FE199F" w:rsidRDefault="00C15D49" w:rsidP="00FE199F">
            <w:pPr>
              <w:pStyle w:val="BodyTextIndent"/>
              <w:ind w:left="0"/>
              <w:rPr>
                <w:b/>
              </w:rPr>
            </w:pPr>
            <w:r>
              <w:rPr>
                <w:b/>
              </w:rPr>
              <w:t>Charge</w:t>
            </w:r>
          </w:p>
        </w:tc>
        <w:tc>
          <w:tcPr>
            <w:tcW w:w="1923" w:type="dxa"/>
          </w:tcPr>
          <w:p w:rsidR="00C15D49" w:rsidRPr="00FE199F" w:rsidRDefault="00C15D49" w:rsidP="00FE199F">
            <w:pPr>
              <w:pStyle w:val="BodyTextIndent"/>
              <w:ind w:left="0"/>
              <w:rPr>
                <w:b/>
              </w:rPr>
            </w:pPr>
            <w:r>
              <w:rPr>
                <w:b/>
              </w:rPr>
              <w:t>Item 225 Rate</w:t>
            </w:r>
          </w:p>
        </w:tc>
        <w:tc>
          <w:tcPr>
            <w:tcW w:w="1569" w:type="dxa"/>
          </w:tcPr>
          <w:p w:rsidR="00C15D49" w:rsidRDefault="00C15D49" w:rsidP="00FE199F">
            <w:pPr>
              <w:pStyle w:val="BodyTextIndent"/>
              <w:ind w:left="0"/>
              <w:rPr>
                <w:b/>
              </w:rPr>
            </w:pPr>
            <w:r>
              <w:rPr>
                <w:b/>
              </w:rPr>
              <w:t>Violations</w:t>
            </w:r>
          </w:p>
        </w:tc>
      </w:tr>
      <w:tr w:rsidR="00C15D49" w:rsidTr="00C15D49">
        <w:tc>
          <w:tcPr>
            <w:tcW w:w="1677" w:type="dxa"/>
          </w:tcPr>
          <w:p w:rsidR="00C15D49" w:rsidRDefault="00C15D49" w:rsidP="0005143E">
            <w:pPr>
              <w:pStyle w:val="BodyTextIndent"/>
              <w:ind w:left="0"/>
            </w:pPr>
            <w:proofErr w:type="spellStart"/>
            <w:r>
              <w:t>Hoell</w:t>
            </w:r>
            <w:proofErr w:type="spellEnd"/>
          </w:p>
        </w:tc>
        <w:tc>
          <w:tcPr>
            <w:tcW w:w="2148" w:type="dxa"/>
          </w:tcPr>
          <w:p w:rsidR="00C15D49" w:rsidRDefault="00C15D49" w:rsidP="00C15D49">
            <w:pPr>
              <w:pStyle w:val="BodyTextIndent"/>
              <w:ind w:left="0"/>
            </w:pPr>
            <w:r>
              <w:t xml:space="preserve">10 dish packs </w:t>
            </w:r>
          </w:p>
        </w:tc>
        <w:tc>
          <w:tcPr>
            <w:tcW w:w="1899" w:type="dxa"/>
          </w:tcPr>
          <w:p w:rsidR="00C15D49" w:rsidRDefault="00C15D49" w:rsidP="00C15D49">
            <w:pPr>
              <w:pStyle w:val="BodyTextIndent"/>
              <w:ind w:left="0"/>
            </w:pPr>
            <w:r>
              <w:t>$10</w:t>
            </w:r>
          </w:p>
        </w:tc>
        <w:tc>
          <w:tcPr>
            <w:tcW w:w="1923" w:type="dxa"/>
          </w:tcPr>
          <w:p w:rsidR="00C15D49" w:rsidRDefault="00C15D49" w:rsidP="00604048">
            <w:pPr>
              <w:pStyle w:val="BodyTextIndent"/>
              <w:ind w:left="0"/>
            </w:pPr>
            <w:r>
              <w:t>$10.03 to $20.93</w:t>
            </w:r>
          </w:p>
        </w:tc>
        <w:tc>
          <w:tcPr>
            <w:tcW w:w="1569" w:type="dxa"/>
          </w:tcPr>
          <w:p w:rsidR="00C15D49" w:rsidRDefault="00C15D49" w:rsidP="0005143E">
            <w:pPr>
              <w:pStyle w:val="BodyTextIndent"/>
              <w:ind w:left="0"/>
            </w:pPr>
            <w:r>
              <w:t>10</w:t>
            </w:r>
          </w:p>
        </w:tc>
      </w:tr>
      <w:tr w:rsidR="00C15D49" w:rsidTr="00C15D49">
        <w:tc>
          <w:tcPr>
            <w:tcW w:w="1677" w:type="dxa"/>
          </w:tcPr>
          <w:p w:rsidR="00C15D49" w:rsidRDefault="00C15D49" w:rsidP="0005143E">
            <w:pPr>
              <w:pStyle w:val="BodyTextIndent"/>
              <w:ind w:left="0"/>
            </w:pPr>
            <w:proofErr w:type="spellStart"/>
            <w:r>
              <w:t>Hoell</w:t>
            </w:r>
            <w:proofErr w:type="spellEnd"/>
          </w:p>
        </w:tc>
        <w:tc>
          <w:tcPr>
            <w:tcW w:w="2148" w:type="dxa"/>
          </w:tcPr>
          <w:p w:rsidR="00C15D49" w:rsidRDefault="00C15D49" w:rsidP="00C15D49">
            <w:pPr>
              <w:pStyle w:val="BodyTextIndent"/>
              <w:ind w:left="0"/>
            </w:pPr>
            <w:r>
              <w:t>40 boxes, &lt; 3 c.f.</w:t>
            </w:r>
            <w:r w:rsidR="00604048">
              <w:rPr>
                <w:rStyle w:val="FootnoteReference"/>
              </w:rPr>
              <w:footnoteReference w:id="1"/>
            </w:r>
          </w:p>
        </w:tc>
        <w:tc>
          <w:tcPr>
            <w:tcW w:w="1899" w:type="dxa"/>
          </w:tcPr>
          <w:p w:rsidR="00C15D49" w:rsidRDefault="00C15D49" w:rsidP="00C15D49">
            <w:pPr>
              <w:pStyle w:val="BodyTextIndent"/>
              <w:ind w:left="0"/>
            </w:pPr>
            <w:r>
              <w:t>$2</w:t>
            </w:r>
          </w:p>
        </w:tc>
        <w:tc>
          <w:tcPr>
            <w:tcW w:w="1923" w:type="dxa"/>
          </w:tcPr>
          <w:p w:rsidR="00C15D49" w:rsidRDefault="00C15D49" w:rsidP="0005143E">
            <w:pPr>
              <w:pStyle w:val="BodyTextIndent"/>
              <w:ind w:left="0"/>
            </w:pPr>
            <w:r>
              <w:t>$2.08 to $4.35</w:t>
            </w:r>
          </w:p>
        </w:tc>
        <w:tc>
          <w:tcPr>
            <w:tcW w:w="1569" w:type="dxa"/>
          </w:tcPr>
          <w:p w:rsidR="00C15D49" w:rsidRDefault="00C15D49" w:rsidP="0005143E">
            <w:pPr>
              <w:pStyle w:val="BodyTextIndent"/>
              <w:ind w:left="0"/>
            </w:pPr>
            <w:r>
              <w:t>40</w:t>
            </w:r>
          </w:p>
        </w:tc>
      </w:tr>
      <w:tr w:rsidR="00C15D49" w:rsidTr="00C15D49">
        <w:tc>
          <w:tcPr>
            <w:tcW w:w="1677" w:type="dxa"/>
          </w:tcPr>
          <w:p w:rsidR="00C15D49" w:rsidRDefault="00C15D49" w:rsidP="0005143E">
            <w:pPr>
              <w:pStyle w:val="BodyTextIndent"/>
              <w:ind w:left="0"/>
            </w:pPr>
            <w:proofErr w:type="spellStart"/>
            <w:r>
              <w:t>Hoell</w:t>
            </w:r>
            <w:proofErr w:type="spellEnd"/>
          </w:p>
        </w:tc>
        <w:tc>
          <w:tcPr>
            <w:tcW w:w="2148" w:type="dxa"/>
          </w:tcPr>
          <w:p w:rsidR="00C15D49" w:rsidRDefault="00C15D49" w:rsidP="0005143E">
            <w:pPr>
              <w:pStyle w:val="BodyTextIndent"/>
              <w:ind w:left="0"/>
            </w:pPr>
            <w:r>
              <w:t xml:space="preserve">9 boxes, </w:t>
            </w:r>
            <w:proofErr w:type="gramStart"/>
            <w:r>
              <w:t>3 c.f</w:t>
            </w:r>
            <w:proofErr w:type="gramEnd"/>
            <w:r>
              <w:t>.</w:t>
            </w:r>
            <w:r w:rsidR="00604048">
              <w:rPr>
                <w:rStyle w:val="FootnoteReference"/>
              </w:rPr>
              <w:footnoteReference w:id="2"/>
            </w:r>
          </w:p>
        </w:tc>
        <w:tc>
          <w:tcPr>
            <w:tcW w:w="1899" w:type="dxa"/>
          </w:tcPr>
          <w:p w:rsidR="00C15D49" w:rsidRDefault="00C15D49" w:rsidP="00C15D49">
            <w:pPr>
              <w:pStyle w:val="BodyTextIndent"/>
              <w:ind w:left="0"/>
            </w:pPr>
            <w:r>
              <w:t>$3</w:t>
            </w:r>
          </w:p>
        </w:tc>
        <w:tc>
          <w:tcPr>
            <w:tcW w:w="1923" w:type="dxa"/>
          </w:tcPr>
          <w:p w:rsidR="00C15D49" w:rsidRDefault="00C15D49" w:rsidP="0005143E">
            <w:pPr>
              <w:pStyle w:val="BodyTextIndent"/>
              <w:ind w:left="0"/>
            </w:pPr>
            <w:r>
              <w:t>$3.10 to $6.46</w:t>
            </w:r>
          </w:p>
        </w:tc>
        <w:tc>
          <w:tcPr>
            <w:tcW w:w="1569" w:type="dxa"/>
          </w:tcPr>
          <w:p w:rsidR="00C15D49" w:rsidRDefault="00C15D49" w:rsidP="0005143E">
            <w:pPr>
              <w:pStyle w:val="BodyTextIndent"/>
              <w:ind w:left="0"/>
            </w:pPr>
            <w:r>
              <w:t>9</w:t>
            </w:r>
          </w:p>
        </w:tc>
      </w:tr>
      <w:tr w:rsidR="00C15D49" w:rsidTr="00C15D49">
        <w:tc>
          <w:tcPr>
            <w:tcW w:w="1677" w:type="dxa"/>
          </w:tcPr>
          <w:p w:rsidR="00C15D49" w:rsidRDefault="00C15D49" w:rsidP="0005143E">
            <w:pPr>
              <w:pStyle w:val="BodyTextIndent"/>
              <w:ind w:left="0"/>
            </w:pPr>
            <w:r>
              <w:t>Sharma</w:t>
            </w:r>
          </w:p>
        </w:tc>
        <w:tc>
          <w:tcPr>
            <w:tcW w:w="2148" w:type="dxa"/>
          </w:tcPr>
          <w:p w:rsidR="00C15D49" w:rsidRDefault="00C15D49" w:rsidP="0005143E">
            <w:pPr>
              <w:pStyle w:val="BodyTextIndent"/>
              <w:ind w:left="0"/>
            </w:pPr>
            <w:r>
              <w:t>4 dish packs</w:t>
            </w:r>
          </w:p>
        </w:tc>
        <w:tc>
          <w:tcPr>
            <w:tcW w:w="1899" w:type="dxa"/>
          </w:tcPr>
          <w:p w:rsidR="00C15D49" w:rsidRDefault="00C15D49" w:rsidP="00C15D49">
            <w:pPr>
              <w:pStyle w:val="BodyTextIndent"/>
              <w:ind w:left="0"/>
            </w:pPr>
            <w:r>
              <w:t>$10</w:t>
            </w:r>
          </w:p>
        </w:tc>
        <w:tc>
          <w:tcPr>
            <w:tcW w:w="1923" w:type="dxa"/>
          </w:tcPr>
          <w:p w:rsidR="00C15D49" w:rsidRDefault="00C15D49" w:rsidP="0005143E">
            <w:pPr>
              <w:pStyle w:val="BodyTextIndent"/>
              <w:ind w:left="0"/>
            </w:pPr>
            <w:r>
              <w:t>$10.03 to $20.93</w:t>
            </w:r>
          </w:p>
        </w:tc>
        <w:tc>
          <w:tcPr>
            <w:tcW w:w="1569" w:type="dxa"/>
          </w:tcPr>
          <w:p w:rsidR="00C15D49" w:rsidRDefault="00C15D49" w:rsidP="0005143E">
            <w:pPr>
              <w:pStyle w:val="BodyTextIndent"/>
              <w:ind w:left="0"/>
            </w:pPr>
            <w:r>
              <w:t>4</w:t>
            </w:r>
          </w:p>
        </w:tc>
      </w:tr>
      <w:tr w:rsidR="00C15D49" w:rsidTr="00C15D49">
        <w:tc>
          <w:tcPr>
            <w:tcW w:w="1677" w:type="dxa"/>
          </w:tcPr>
          <w:p w:rsidR="00C15D49" w:rsidRDefault="00C15D49" w:rsidP="0005143E">
            <w:pPr>
              <w:pStyle w:val="BodyTextIndent"/>
              <w:ind w:left="0"/>
            </w:pPr>
            <w:r>
              <w:t>Sharma</w:t>
            </w:r>
          </w:p>
        </w:tc>
        <w:tc>
          <w:tcPr>
            <w:tcW w:w="2148" w:type="dxa"/>
          </w:tcPr>
          <w:p w:rsidR="00C15D49" w:rsidRDefault="00C15D49" w:rsidP="0005143E">
            <w:pPr>
              <w:pStyle w:val="BodyTextIndent"/>
              <w:ind w:left="0"/>
            </w:pPr>
            <w:r>
              <w:t>10 boxes, 3 c.f.</w:t>
            </w:r>
          </w:p>
        </w:tc>
        <w:tc>
          <w:tcPr>
            <w:tcW w:w="1899" w:type="dxa"/>
          </w:tcPr>
          <w:p w:rsidR="00C15D49" w:rsidRDefault="00C15D49" w:rsidP="00C15D49">
            <w:pPr>
              <w:pStyle w:val="BodyTextIndent"/>
              <w:ind w:left="0"/>
            </w:pPr>
            <w:r>
              <w:t>$3</w:t>
            </w:r>
          </w:p>
        </w:tc>
        <w:tc>
          <w:tcPr>
            <w:tcW w:w="1923" w:type="dxa"/>
          </w:tcPr>
          <w:p w:rsidR="00C15D49" w:rsidRDefault="00C15D49" w:rsidP="0005143E">
            <w:pPr>
              <w:pStyle w:val="BodyTextIndent"/>
              <w:ind w:left="0"/>
            </w:pPr>
            <w:r>
              <w:t>$3.10 to $6.46</w:t>
            </w:r>
          </w:p>
        </w:tc>
        <w:tc>
          <w:tcPr>
            <w:tcW w:w="1569" w:type="dxa"/>
          </w:tcPr>
          <w:p w:rsidR="00C15D49" w:rsidRDefault="00C15D49" w:rsidP="0005143E">
            <w:pPr>
              <w:pStyle w:val="BodyTextIndent"/>
              <w:ind w:left="0"/>
            </w:pPr>
            <w:r>
              <w:t>10</w:t>
            </w:r>
          </w:p>
        </w:tc>
      </w:tr>
      <w:tr w:rsidR="00C15D49" w:rsidTr="00C15D49">
        <w:tc>
          <w:tcPr>
            <w:tcW w:w="1677" w:type="dxa"/>
          </w:tcPr>
          <w:p w:rsidR="00C15D49" w:rsidRDefault="00C15D49" w:rsidP="0005143E">
            <w:pPr>
              <w:pStyle w:val="BodyTextIndent"/>
              <w:ind w:left="0"/>
            </w:pPr>
            <w:r>
              <w:t>Sharma</w:t>
            </w:r>
          </w:p>
        </w:tc>
        <w:tc>
          <w:tcPr>
            <w:tcW w:w="2148" w:type="dxa"/>
          </w:tcPr>
          <w:p w:rsidR="00C15D49" w:rsidRDefault="00C15D49" w:rsidP="00604048">
            <w:pPr>
              <w:pStyle w:val="BodyTextIndent"/>
              <w:ind w:left="0"/>
            </w:pPr>
            <w:r>
              <w:t xml:space="preserve">1 </w:t>
            </w:r>
            <w:r w:rsidR="00604048">
              <w:t>p</w:t>
            </w:r>
            <w:r>
              <w:t>lasma TV carton</w:t>
            </w:r>
          </w:p>
        </w:tc>
        <w:tc>
          <w:tcPr>
            <w:tcW w:w="1899" w:type="dxa"/>
          </w:tcPr>
          <w:p w:rsidR="00C15D49" w:rsidRDefault="00C15D49" w:rsidP="00C15D49">
            <w:pPr>
              <w:pStyle w:val="BodyTextIndent"/>
              <w:ind w:left="0"/>
            </w:pPr>
            <w:r>
              <w:t>$66</w:t>
            </w:r>
          </w:p>
        </w:tc>
        <w:tc>
          <w:tcPr>
            <w:tcW w:w="1923" w:type="dxa"/>
          </w:tcPr>
          <w:p w:rsidR="00C15D49" w:rsidRDefault="00C15D49" w:rsidP="0005143E">
            <w:pPr>
              <w:pStyle w:val="BodyTextIndent"/>
              <w:ind w:left="0"/>
            </w:pPr>
            <w:r>
              <w:t>$115 to $190</w:t>
            </w:r>
          </w:p>
        </w:tc>
        <w:tc>
          <w:tcPr>
            <w:tcW w:w="1569" w:type="dxa"/>
          </w:tcPr>
          <w:p w:rsidR="00C15D49" w:rsidRDefault="00C15D49" w:rsidP="0005143E">
            <w:pPr>
              <w:pStyle w:val="BodyTextIndent"/>
              <w:ind w:left="0"/>
            </w:pPr>
            <w:r>
              <w:t>1</w:t>
            </w:r>
          </w:p>
        </w:tc>
      </w:tr>
      <w:tr w:rsidR="00C15D49" w:rsidTr="00C15D49">
        <w:tc>
          <w:tcPr>
            <w:tcW w:w="1677" w:type="dxa"/>
          </w:tcPr>
          <w:p w:rsidR="00C15D49" w:rsidRDefault="00C15D49" w:rsidP="0005143E">
            <w:pPr>
              <w:pStyle w:val="BodyTextIndent"/>
              <w:ind w:left="0"/>
            </w:pPr>
            <w:r>
              <w:t>Becker</w:t>
            </w:r>
          </w:p>
        </w:tc>
        <w:tc>
          <w:tcPr>
            <w:tcW w:w="2148" w:type="dxa"/>
          </w:tcPr>
          <w:p w:rsidR="00C15D49" w:rsidRDefault="00C15D49" w:rsidP="0005143E">
            <w:pPr>
              <w:pStyle w:val="BodyTextIndent"/>
              <w:ind w:left="0"/>
            </w:pPr>
            <w:r>
              <w:t>5 dish packs</w:t>
            </w:r>
          </w:p>
        </w:tc>
        <w:tc>
          <w:tcPr>
            <w:tcW w:w="1899" w:type="dxa"/>
          </w:tcPr>
          <w:p w:rsidR="00C15D49" w:rsidRDefault="00C15D49" w:rsidP="0005143E">
            <w:pPr>
              <w:pStyle w:val="BodyTextIndent"/>
              <w:ind w:left="0"/>
            </w:pPr>
            <w:r>
              <w:t>$10</w:t>
            </w:r>
          </w:p>
        </w:tc>
        <w:tc>
          <w:tcPr>
            <w:tcW w:w="1923" w:type="dxa"/>
          </w:tcPr>
          <w:p w:rsidR="00C15D49" w:rsidRDefault="00C15D49" w:rsidP="0005143E">
            <w:pPr>
              <w:pStyle w:val="BodyTextIndent"/>
              <w:ind w:left="0"/>
            </w:pPr>
            <w:r>
              <w:t>$10.03 to $20.93</w:t>
            </w:r>
          </w:p>
        </w:tc>
        <w:tc>
          <w:tcPr>
            <w:tcW w:w="1569" w:type="dxa"/>
          </w:tcPr>
          <w:p w:rsidR="00C15D49" w:rsidRDefault="00C15D49" w:rsidP="0005143E">
            <w:pPr>
              <w:pStyle w:val="BodyTextIndent"/>
              <w:ind w:left="0"/>
            </w:pPr>
            <w:r>
              <w:t>5</w:t>
            </w:r>
          </w:p>
        </w:tc>
      </w:tr>
      <w:tr w:rsidR="00C15D49" w:rsidTr="00C15D49">
        <w:tc>
          <w:tcPr>
            <w:tcW w:w="1677" w:type="dxa"/>
          </w:tcPr>
          <w:p w:rsidR="00C15D49" w:rsidRDefault="00C15D49" w:rsidP="0005143E">
            <w:pPr>
              <w:pStyle w:val="BodyTextIndent"/>
              <w:ind w:left="0"/>
            </w:pPr>
            <w:r>
              <w:t>Becker</w:t>
            </w:r>
          </w:p>
        </w:tc>
        <w:tc>
          <w:tcPr>
            <w:tcW w:w="2148" w:type="dxa"/>
          </w:tcPr>
          <w:p w:rsidR="00C15D49" w:rsidRDefault="00C15D49" w:rsidP="0005143E">
            <w:pPr>
              <w:pStyle w:val="BodyTextIndent"/>
              <w:ind w:left="0"/>
            </w:pPr>
            <w:r>
              <w:t>1 box, &lt; 3 c.f.</w:t>
            </w:r>
          </w:p>
        </w:tc>
        <w:tc>
          <w:tcPr>
            <w:tcW w:w="1899" w:type="dxa"/>
          </w:tcPr>
          <w:p w:rsidR="00C15D49" w:rsidRDefault="00C15D49" w:rsidP="0005143E">
            <w:pPr>
              <w:pStyle w:val="BodyTextIndent"/>
              <w:ind w:left="0"/>
            </w:pPr>
            <w:r>
              <w:t>$2</w:t>
            </w:r>
          </w:p>
        </w:tc>
        <w:tc>
          <w:tcPr>
            <w:tcW w:w="1923" w:type="dxa"/>
          </w:tcPr>
          <w:p w:rsidR="00C15D49" w:rsidRDefault="00C15D49" w:rsidP="0005143E">
            <w:pPr>
              <w:pStyle w:val="BodyTextIndent"/>
              <w:ind w:left="0"/>
            </w:pPr>
            <w:r>
              <w:t>$2.08 to $4.35</w:t>
            </w:r>
          </w:p>
        </w:tc>
        <w:tc>
          <w:tcPr>
            <w:tcW w:w="1569" w:type="dxa"/>
          </w:tcPr>
          <w:p w:rsidR="00C15D49" w:rsidRDefault="00C15D49" w:rsidP="0005143E">
            <w:pPr>
              <w:pStyle w:val="BodyTextIndent"/>
              <w:ind w:left="0"/>
            </w:pPr>
            <w:r>
              <w:t>1</w:t>
            </w:r>
          </w:p>
        </w:tc>
      </w:tr>
      <w:tr w:rsidR="00C15D49" w:rsidTr="00C15D49">
        <w:tc>
          <w:tcPr>
            <w:tcW w:w="1677" w:type="dxa"/>
          </w:tcPr>
          <w:p w:rsidR="00C15D49" w:rsidRDefault="00C15D49" w:rsidP="0005143E">
            <w:pPr>
              <w:pStyle w:val="BodyTextIndent"/>
              <w:ind w:left="0"/>
            </w:pPr>
            <w:r>
              <w:t>Becker</w:t>
            </w:r>
          </w:p>
        </w:tc>
        <w:tc>
          <w:tcPr>
            <w:tcW w:w="2148" w:type="dxa"/>
          </w:tcPr>
          <w:p w:rsidR="00C15D49" w:rsidRDefault="00C15D49" w:rsidP="0005143E">
            <w:pPr>
              <w:pStyle w:val="BodyTextIndent"/>
              <w:ind w:left="0"/>
            </w:pPr>
            <w:r>
              <w:t>1 box, 3 c.f.</w:t>
            </w:r>
          </w:p>
        </w:tc>
        <w:tc>
          <w:tcPr>
            <w:tcW w:w="1899" w:type="dxa"/>
          </w:tcPr>
          <w:p w:rsidR="00C15D49" w:rsidRDefault="00C15D49" w:rsidP="0005143E">
            <w:pPr>
              <w:pStyle w:val="BodyTextIndent"/>
              <w:ind w:left="0"/>
            </w:pPr>
            <w:r>
              <w:t>$3</w:t>
            </w:r>
          </w:p>
        </w:tc>
        <w:tc>
          <w:tcPr>
            <w:tcW w:w="1923" w:type="dxa"/>
          </w:tcPr>
          <w:p w:rsidR="00C15D49" w:rsidRDefault="00C15D49" w:rsidP="0005143E">
            <w:pPr>
              <w:pStyle w:val="BodyTextIndent"/>
              <w:ind w:left="0"/>
            </w:pPr>
            <w:r>
              <w:t>$3.10 to $6.46</w:t>
            </w:r>
          </w:p>
        </w:tc>
        <w:tc>
          <w:tcPr>
            <w:tcW w:w="1569" w:type="dxa"/>
          </w:tcPr>
          <w:p w:rsidR="00C15D49" w:rsidRDefault="00C15D49" w:rsidP="0005143E">
            <w:pPr>
              <w:pStyle w:val="BodyTextIndent"/>
              <w:ind w:left="0"/>
            </w:pPr>
            <w:r>
              <w:t>1</w:t>
            </w:r>
          </w:p>
        </w:tc>
      </w:tr>
      <w:tr w:rsidR="00C15D49" w:rsidTr="00C15D49">
        <w:tc>
          <w:tcPr>
            <w:tcW w:w="1677" w:type="dxa"/>
          </w:tcPr>
          <w:p w:rsidR="00C15D49" w:rsidRDefault="00C15D49" w:rsidP="0005143E">
            <w:pPr>
              <w:pStyle w:val="BodyTextIndent"/>
              <w:ind w:left="0"/>
            </w:pPr>
            <w:proofErr w:type="spellStart"/>
            <w:r>
              <w:t>Danz</w:t>
            </w:r>
            <w:proofErr w:type="spellEnd"/>
          </w:p>
        </w:tc>
        <w:tc>
          <w:tcPr>
            <w:tcW w:w="2148" w:type="dxa"/>
          </w:tcPr>
          <w:p w:rsidR="00C15D49" w:rsidRDefault="00C15D49" w:rsidP="0005143E">
            <w:pPr>
              <w:pStyle w:val="BodyTextIndent"/>
              <w:ind w:left="0"/>
            </w:pPr>
            <w:r>
              <w:t>5 dish packs</w:t>
            </w:r>
          </w:p>
        </w:tc>
        <w:tc>
          <w:tcPr>
            <w:tcW w:w="1899" w:type="dxa"/>
          </w:tcPr>
          <w:p w:rsidR="00C15D49" w:rsidRDefault="00C15D49" w:rsidP="0005143E">
            <w:pPr>
              <w:pStyle w:val="BodyTextIndent"/>
              <w:ind w:left="0"/>
            </w:pPr>
            <w:r>
              <w:t>$10</w:t>
            </w:r>
          </w:p>
        </w:tc>
        <w:tc>
          <w:tcPr>
            <w:tcW w:w="1923" w:type="dxa"/>
          </w:tcPr>
          <w:p w:rsidR="00C15D49" w:rsidRDefault="00C15D49" w:rsidP="0005143E">
            <w:pPr>
              <w:pStyle w:val="BodyTextIndent"/>
              <w:ind w:left="0"/>
            </w:pPr>
            <w:r>
              <w:t>$10.03 to $20.93</w:t>
            </w:r>
          </w:p>
        </w:tc>
        <w:tc>
          <w:tcPr>
            <w:tcW w:w="1569" w:type="dxa"/>
          </w:tcPr>
          <w:p w:rsidR="00C15D49" w:rsidRDefault="00C15D49" w:rsidP="0005143E">
            <w:pPr>
              <w:pStyle w:val="BodyTextIndent"/>
              <w:ind w:left="0"/>
            </w:pPr>
            <w:r>
              <w:t>5</w:t>
            </w:r>
          </w:p>
        </w:tc>
      </w:tr>
      <w:tr w:rsidR="00C15D49" w:rsidTr="00C15D49">
        <w:tc>
          <w:tcPr>
            <w:tcW w:w="1677" w:type="dxa"/>
          </w:tcPr>
          <w:p w:rsidR="00C15D49" w:rsidRDefault="00C15D49" w:rsidP="0005143E">
            <w:pPr>
              <w:pStyle w:val="BodyTextIndent"/>
              <w:ind w:left="0"/>
            </w:pPr>
            <w:proofErr w:type="spellStart"/>
            <w:r>
              <w:t>Danz</w:t>
            </w:r>
            <w:proofErr w:type="spellEnd"/>
          </w:p>
        </w:tc>
        <w:tc>
          <w:tcPr>
            <w:tcW w:w="2148" w:type="dxa"/>
          </w:tcPr>
          <w:p w:rsidR="00C15D49" w:rsidRDefault="00C15D49" w:rsidP="00C15D49">
            <w:pPr>
              <w:pStyle w:val="BodyTextIndent"/>
              <w:ind w:left="0"/>
            </w:pPr>
            <w:r>
              <w:t>12 boxes, &lt; 3 c.f.</w:t>
            </w:r>
          </w:p>
        </w:tc>
        <w:tc>
          <w:tcPr>
            <w:tcW w:w="1899" w:type="dxa"/>
          </w:tcPr>
          <w:p w:rsidR="00C15D49" w:rsidRDefault="00C15D49" w:rsidP="0005143E">
            <w:pPr>
              <w:pStyle w:val="BodyTextIndent"/>
              <w:ind w:left="0"/>
            </w:pPr>
            <w:r>
              <w:t>$1.50</w:t>
            </w:r>
          </w:p>
        </w:tc>
        <w:tc>
          <w:tcPr>
            <w:tcW w:w="1923" w:type="dxa"/>
          </w:tcPr>
          <w:p w:rsidR="00C15D49" w:rsidRDefault="00C15D49" w:rsidP="0005143E">
            <w:pPr>
              <w:pStyle w:val="BodyTextIndent"/>
              <w:ind w:left="0"/>
            </w:pPr>
            <w:r>
              <w:t>$2.08 to $4.35</w:t>
            </w:r>
          </w:p>
        </w:tc>
        <w:tc>
          <w:tcPr>
            <w:tcW w:w="1569" w:type="dxa"/>
          </w:tcPr>
          <w:p w:rsidR="00C15D49" w:rsidRDefault="00C15D49" w:rsidP="0005143E">
            <w:pPr>
              <w:pStyle w:val="BodyTextIndent"/>
              <w:ind w:left="0"/>
            </w:pPr>
            <w:r>
              <w:t>12</w:t>
            </w:r>
          </w:p>
        </w:tc>
      </w:tr>
      <w:tr w:rsidR="00C15D49" w:rsidTr="00C15D49">
        <w:tc>
          <w:tcPr>
            <w:tcW w:w="1677" w:type="dxa"/>
          </w:tcPr>
          <w:p w:rsidR="00C15D49" w:rsidRDefault="00C15D49" w:rsidP="0005143E">
            <w:pPr>
              <w:pStyle w:val="BodyTextIndent"/>
              <w:ind w:left="0"/>
            </w:pPr>
            <w:proofErr w:type="spellStart"/>
            <w:r>
              <w:t>Danz</w:t>
            </w:r>
            <w:proofErr w:type="spellEnd"/>
          </w:p>
        </w:tc>
        <w:tc>
          <w:tcPr>
            <w:tcW w:w="2148" w:type="dxa"/>
          </w:tcPr>
          <w:p w:rsidR="00C15D49" w:rsidRDefault="00C15D49" w:rsidP="00C15D49">
            <w:pPr>
              <w:pStyle w:val="BodyTextIndent"/>
              <w:ind w:left="0"/>
            </w:pPr>
            <w:r>
              <w:t>8 boxes, 3 c.f.</w:t>
            </w:r>
          </w:p>
        </w:tc>
        <w:tc>
          <w:tcPr>
            <w:tcW w:w="1899" w:type="dxa"/>
          </w:tcPr>
          <w:p w:rsidR="00C15D49" w:rsidRDefault="00C15D49" w:rsidP="0005143E">
            <w:pPr>
              <w:pStyle w:val="BodyTextIndent"/>
              <w:ind w:left="0"/>
            </w:pPr>
            <w:r>
              <w:t>$3</w:t>
            </w:r>
          </w:p>
        </w:tc>
        <w:tc>
          <w:tcPr>
            <w:tcW w:w="1923" w:type="dxa"/>
          </w:tcPr>
          <w:p w:rsidR="00C15D49" w:rsidRDefault="00C15D49" w:rsidP="0005143E">
            <w:pPr>
              <w:pStyle w:val="BodyTextIndent"/>
              <w:ind w:left="0"/>
            </w:pPr>
            <w:r>
              <w:t>$3.10 to $6.46</w:t>
            </w:r>
          </w:p>
        </w:tc>
        <w:tc>
          <w:tcPr>
            <w:tcW w:w="1569" w:type="dxa"/>
          </w:tcPr>
          <w:p w:rsidR="00C15D49" w:rsidRDefault="00C15D49" w:rsidP="0005143E">
            <w:pPr>
              <w:pStyle w:val="BodyTextIndent"/>
              <w:ind w:left="0"/>
            </w:pPr>
            <w:r>
              <w:t>8</w:t>
            </w:r>
          </w:p>
        </w:tc>
      </w:tr>
      <w:tr w:rsidR="00C15D49" w:rsidTr="00C15D49">
        <w:tc>
          <w:tcPr>
            <w:tcW w:w="1677" w:type="dxa"/>
          </w:tcPr>
          <w:p w:rsidR="00C15D49" w:rsidRDefault="00C15D49" w:rsidP="0005143E">
            <w:pPr>
              <w:pStyle w:val="BodyTextIndent"/>
              <w:ind w:left="0"/>
            </w:pPr>
            <w:proofErr w:type="spellStart"/>
            <w:r>
              <w:t>Danz</w:t>
            </w:r>
            <w:proofErr w:type="spellEnd"/>
          </w:p>
        </w:tc>
        <w:tc>
          <w:tcPr>
            <w:tcW w:w="2148" w:type="dxa"/>
          </w:tcPr>
          <w:p w:rsidR="00C15D49" w:rsidRDefault="00604048" w:rsidP="00C15D49">
            <w:pPr>
              <w:pStyle w:val="BodyTextIndent"/>
              <w:ind w:left="0"/>
            </w:pPr>
            <w:r>
              <w:t>6 wardrobe boxes</w:t>
            </w:r>
          </w:p>
        </w:tc>
        <w:tc>
          <w:tcPr>
            <w:tcW w:w="1899" w:type="dxa"/>
          </w:tcPr>
          <w:p w:rsidR="00C15D49" w:rsidRDefault="00604048" w:rsidP="0005143E">
            <w:pPr>
              <w:pStyle w:val="BodyTextIndent"/>
              <w:ind w:left="0"/>
            </w:pPr>
            <w:r>
              <w:t>$5</w:t>
            </w:r>
          </w:p>
        </w:tc>
        <w:tc>
          <w:tcPr>
            <w:tcW w:w="1923" w:type="dxa"/>
          </w:tcPr>
          <w:p w:rsidR="00C15D49" w:rsidRDefault="00604048" w:rsidP="0005143E">
            <w:pPr>
              <w:pStyle w:val="BodyTextIndent"/>
              <w:ind w:left="0"/>
            </w:pPr>
            <w:r>
              <w:t>$7.91 to $16.46</w:t>
            </w:r>
          </w:p>
        </w:tc>
        <w:tc>
          <w:tcPr>
            <w:tcW w:w="1569" w:type="dxa"/>
          </w:tcPr>
          <w:p w:rsidR="00C15D49" w:rsidRDefault="00604048" w:rsidP="0005143E">
            <w:pPr>
              <w:pStyle w:val="BodyTextIndent"/>
              <w:ind w:left="0"/>
            </w:pPr>
            <w:r>
              <w:t>6</w:t>
            </w:r>
          </w:p>
        </w:tc>
      </w:tr>
      <w:tr w:rsidR="00604048" w:rsidTr="00C15D49">
        <w:tc>
          <w:tcPr>
            <w:tcW w:w="1677" w:type="dxa"/>
          </w:tcPr>
          <w:p w:rsidR="00604048" w:rsidRDefault="00604048" w:rsidP="0005143E">
            <w:pPr>
              <w:pStyle w:val="BodyTextIndent"/>
              <w:ind w:left="0"/>
            </w:pPr>
            <w:proofErr w:type="spellStart"/>
            <w:r>
              <w:t>Brame</w:t>
            </w:r>
            <w:proofErr w:type="spellEnd"/>
          </w:p>
        </w:tc>
        <w:tc>
          <w:tcPr>
            <w:tcW w:w="2148" w:type="dxa"/>
          </w:tcPr>
          <w:p w:rsidR="00604048" w:rsidRDefault="00604048" w:rsidP="00C15D49">
            <w:pPr>
              <w:pStyle w:val="BodyTextIndent"/>
              <w:ind w:left="0"/>
            </w:pPr>
            <w:r>
              <w:t>2 boxes, 3 c.f.</w:t>
            </w:r>
          </w:p>
        </w:tc>
        <w:tc>
          <w:tcPr>
            <w:tcW w:w="1899" w:type="dxa"/>
          </w:tcPr>
          <w:p w:rsidR="00604048" w:rsidRDefault="00604048" w:rsidP="0005143E">
            <w:pPr>
              <w:pStyle w:val="BodyTextIndent"/>
              <w:ind w:left="0"/>
            </w:pPr>
            <w:r>
              <w:t>$3</w:t>
            </w:r>
          </w:p>
        </w:tc>
        <w:tc>
          <w:tcPr>
            <w:tcW w:w="1923" w:type="dxa"/>
          </w:tcPr>
          <w:p w:rsidR="00604048" w:rsidRDefault="00604048" w:rsidP="0005143E">
            <w:pPr>
              <w:pStyle w:val="BodyTextIndent"/>
              <w:ind w:left="0"/>
            </w:pPr>
            <w:r>
              <w:t>$3.10 to $6.46</w:t>
            </w:r>
          </w:p>
        </w:tc>
        <w:tc>
          <w:tcPr>
            <w:tcW w:w="1569" w:type="dxa"/>
          </w:tcPr>
          <w:p w:rsidR="00604048" w:rsidRDefault="00604048" w:rsidP="0005143E">
            <w:pPr>
              <w:pStyle w:val="BodyTextIndent"/>
              <w:ind w:left="0"/>
            </w:pPr>
            <w:r>
              <w:t>2</w:t>
            </w:r>
          </w:p>
        </w:tc>
      </w:tr>
      <w:tr w:rsidR="00604048" w:rsidTr="00C15D49">
        <w:tc>
          <w:tcPr>
            <w:tcW w:w="1677" w:type="dxa"/>
          </w:tcPr>
          <w:p w:rsidR="00604048" w:rsidRDefault="00604048" w:rsidP="0005143E">
            <w:pPr>
              <w:pStyle w:val="BodyTextIndent"/>
              <w:ind w:left="0"/>
            </w:pPr>
            <w:proofErr w:type="spellStart"/>
            <w:r>
              <w:t>Mazure</w:t>
            </w:r>
            <w:proofErr w:type="spellEnd"/>
          </w:p>
        </w:tc>
        <w:tc>
          <w:tcPr>
            <w:tcW w:w="2148" w:type="dxa"/>
          </w:tcPr>
          <w:p w:rsidR="00604048" w:rsidRDefault="00604048" w:rsidP="00C15D49">
            <w:pPr>
              <w:pStyle w:val="BodyTextIndent"/>
              <w:ind w:left="0"/>
            </w:pPr>
            <w:r>
              <w:t>3 dish packs</w:t>
            </w:r>
          </w:p>
        </w:tc>
        <w:tc>
          <w:tcPr>
            <w:tcW w:w="1899" w:type="dxa"/>
          </w:tcPr>
          <w:p w:rsidR="00604048" w:rsidRDefault="00604048" w:rsidP="0005143E">
            <w:pPr>
              <w:pStyle w:val="BodyTextIndent"/>
              <w:ind w:left="0"/>
            </w:pPr>
            <w:r>
              <w:t>$10</w:t>
            </w:r>
          </w:p>
        </w:tc>
        <w:tc>
          <w:tcPr>
            <w:tcW w:w="1923" w:type="dxa"/>
          </w:tcPr>
          <w:p w:rsidR="00604048" w:rsidRDefault="00604048" w:rsidP="0005143E">
            <w:pPr>
              <w:pStyle w:val="BodyTextIndent"/>
              <w:ind w:left="0"/>
            </w:pPr>
            <w:r>
              <w:t>$10.03 to $20.93</w:t>
            </w:r>
          </w:p>
        </w:tc>
        <w:tc>
          <w:tcPr>
            <w:tcW w:w="1569" w:type="dxa"/>
          </w:tcPr>
          <w:p w:rsidR="00604048" w:rsidRDefault="00604048" w:rsidP="0005143E">
            <w:pPr>
              <w:pStyle w:val="BodyTextIndent"/>
              <w:ind w:left="0"/>
            </w:pPr>
            <w:r>
              <w:t>3</w:t>
            </w:r>
          </w:p>
        </w:tc>
      </w:tr>
      <w:tr w:rsidR="00604048" w:rsidTr="00C15D49">
        <w:tc>
          <w:tcPr>
            <w:tcW w:w="1677" w:type="dxa"/>
          </w:tcPr>
          <w:p w:rsidR="00604048" w:rsidRDefault="00604048" w:rsidP="0005143E">
            <w:pPr>
              <w:pStyle w:val="BodyTextIndent"/>
              <w:ind w:left="0"/>
            </w:pPr>
            <w:proofErr w:type="spellStart"/>
            <w:r>
              <w:t>Henrickson</w:t>
            </w:r>
            <w:proofErr w:type="spellEnd"/>
          </w:p>
        </w:tc>
        <w:tc>
          <w:tcPr>
            <w:tcW w:w="2148" w:type="dxa"/>
          </w:tcPr>
          <w:p w:rsidR="00604048" w:rsidRDefault="00604048" w:rsidP="00C15D49">
            <w:pPr>
              <w:pStyle w:val="BodyTextIndent"/>
              <w:ind w:left="0"/>
            </w:pPr>
            <w:r>
              <w:t>1 box, 3 c.f.</w:t>
            </w:r>
          </w:p>
        </w:tc>
        <w:tc>
          <w:tcPr>
            <w:tcW w:w="1899" w:type="dxa"/>
          </w:tcPr>
          <w:p w:rsidR="00604048" w:rsidRDefault="00604048" w:rsidP="0005143E">
            <w:pPr>
              <w:pStyle w:val="BodyTextIndent"/>
              <w:ind w:left="0"/>
            </w:pPr>
            <w:r>
              <w:t>$3</w:t>
            </w:r>
          </w:p>
        </w:tc>
        <w:tc>
          <w:tcPr>
            <w:tcW w:w="1923" w:type="dxa"/>
          </w:tcPr>
          <w:p w:rsidR="00604048" w:rsidRDefault="00604048" w:rsidP="0005143E">
            <w:pPr>
              <w:pStyle w:val="BodyTextIndent"/>
              <w:ind w:left="0"/>
            </w:pPr>
            <w:r>
              <w:t>$3.10 to $6.46</w:t>
            </w:r>
          </w:p>
        </w:tc>
        <w:tc>
          <w:tcPr>
            <w:tcW w:w="1569" w:type="dxa"/>
          </w:tcPr>
          <w:p w:rsidR="00604048" w:rsidRDefault="00604048" w:rsidP="0005143E">
            <w:pPr>
              <w:pStyle w:val="BodyTextIndent"/>
              <w:ind w:left="0"/>
            </w:pPr>
            <w:r>
              <w:t>1</w:t>
            </w:r>
          </w:p>
        </w:tc>
      </w:tr>
      <w:tr w:rsidR="00604048" w:rsidRPr="00FE199F" w:rsidTr="00604048">
        <w:tc>
          <w:tcPr>
            <w:tcW w:w="1677" w:type="dxa"/>
          </w:tcPr>
          <w:p w:rsidR="00604048" w:rsidRPr="00FE199F" w:rsidRDefault="00604048" w:rsidP="00604048">
            <w:pPr>
              <w:pStyle w:val="BodyTextIndent"/>
              <w:ind w:left="0"/>
              <w:rPr>
                <w:b/>
              </w:rPr>
            </w:pPr>
            <w:r w:rsidRPr="00FE199F">
              <w:rPr>
                <w:b/>
              </w:rPr>
              <w:lastRenderedPageBreak/>
              <w:t xml:space="preserve">Customer </w:t>
            </w:r>
          </w:p>
        </w:tc>
        <w:tc>
          <w:tcPr>
            <w:tcW w:w="2148" w:type="dxa"/>
          </w:tcPr>
          <w:p w:rsidR="00604048" w:rsidRPr="00FE199F" w:rsidRDefault="00604048" w:rsidP="00604048">
            <w:pPr>
              <w:pStyle w:val="BodyTextIndent"/>
              <w:ind w:left="0"/>
              <w:rPr>
                <w:b/>
              </w:rPr>
            </w:pPr>
            <w:r w:rsidRPr="00FE199F">
              <w:rPr>
                <w:b/>
              </w:rPr>
              <w:t xml:space="preserve">Container </w:t>
            </w:r>
          </w:p>
        </w:tc>
        <w:tc>
          <w:tcPr>
            <w:tcW w:w="1899" w:type="dxa"/>
          </w:tcPr>
          <w:p w:rsidR="00604048" w:rsidRPr="00FE199F" w:rsidRDefault="00604048" w:rsidP="00604048">
            <w:pPr>
              <w:pStyle w:val="BodyTextIndent"/>
              <w:ind w:left="0"/>
              <w:rPr>
                <w:b/>
              </w:rPr>
            </w:pPr>
            <w:r>
              <w:rPr>
                <w:b/>
              </w:rPr>
              <w:t>Charge</w:t>
            </w:r>
          </w:p>
        </w:tc>
        <w:tc>
          <w:tcPr>
            <w:tcW w:w="1923" w:type="dxa"/>
          </w:tcPr>
          <w:p w:rsidR="00604048" w:rsidRPr="00FE199F" w:rsidRDefault="00604048" w:rsidP="00604048">
            <w:pPr>
              <w:pStyle w:val="BodyTextIndent"/>
              <w:ind w:left="0"/>
              <w:rPr>
                <w:b/>
              </w:rPr>
            </w:pPr>
            <w:r>
              <w:rPr>
                <w:b/>
              </w:rPr>
              <w:t>Item 225 Rate</w:t>
            </w:r>
          </w:p>
        </w:tc>
        <w:tc>
          <w:tcPr>
            <w:tcW w:w="1569" w:type="dxa"/>
          </w:tcPr>
          <w:p w:rsidR="00604048" w:rsidRDefault="00604048" w:rsidP="00604048">
            <w:pPr>
              <w:pStyle w:val="BodyTextIndent"/>
              <w:ind w:left="0"/>
              <w:rPr>
                <w:b/>
              </w:rPr>
            </w:pPr>
            <w:r>
              <w:rPr>
                <w:b/>
              </w:rPr>
              <w:t>Violations</w:t>
            </w:r>
          </w:p>
        </w:tc>
      </w:tr>
      <w:tr w:rsidR="00604048" w:rsidTr="00C15D49">
        <w:tc>
          <w:tcPr>
            <w:tcW w:w="1677" w:type="dxa"/>
          </w:tcPr>
          <w:p w:rsidR="00604048" w:rsidRDefault="00604048" w:rsidP="0005143E">
            <w:pPr>
              <w:pStyle w:val="BodyTextIndent"/>
              <w:ind w:left="0"/>
            </w:pPr>
            <w:proofErr w:type="spellStart"/>
            <w:r>
              <w:t>Henrickson</w:t>
            </w:r>
            <w:proofErr w:type="spellEnd"/>
          </w:p>
        </w:tc>
        <w:tc>
          <w:tcPr>
            <w:tcW w:w="2148" w:type="dxa"/>
          </w:tcPr>
          <w:p w:rsidR="00604048" w:rsidRDefault="00604048" w:rsidP="00C15D49">
            <w:pPr>
              <w:pStyle w:val="BodyTextIndent"/>
              <w:ind w:left="0"/>
            </w:pPr>
            <w:r>
              <w:t>1 plasma TV carton</w:t>
            </w:r>
          </w:p>
        </w:tc>
        <w:tc>
          <w:tcPr>
            <w:tcW w:w="1899" w:type="dxa"/>
          </w:tcPr>
          <w:p w:rsidR="00604048" w:rsidRDefault="00604048" w:rsidP="0005143E">
            <w:pPr>
              <w:pStyle w:val="BodyTextIndent"/>
              <w:ind w:left="0"/>
            </w:pPr>
            <w:r>
              <w:t>$66</w:t>
            </w:r>
          </w:p>
        </w:tc>
        <w:tc>
          <w:tcPr>
            <w:tcW w:w="1923" w:type="dxa"/>
          </w:tcPr>
          <w:p w:rsidR="00604048" w:rsidRDefault="00604048" w:rsidP="0005143E">
            <w:pPr>
              <w:pStyle w:val="BodyTextIndent"/>
              <w:ind w:left="0"/>
            </w:pPr>
            <w:r>
              <w:t>$115 to $190</w:t>
            </w:r>
          </w:p>
        </w:tc>
        <w:tc>
          <w:tcPr>
            <w:tcW w:w="1569" w:type="dxa"/>
          </w:tcPr>
          <w:p w:rsidR="00604048" w:rsidRDefault="00604048" w:rsidP="0005143E">
            <w:pPr>
              <w:pStyle w:val="BodyTextIndent"/>
              <w:ind w:left="0"/>
            </w:pPr>
            <w:r>
              <w:t>1</w:t>
            </w:r>
          </w:p>
        </w:tc>
      </w:tr>
    </w:tbl>
    <w:p w:rsidR="00604048" w:rsidRDefault="00604048" w:rsidP="0005143E">
      <w:pPr>
        <w:pStyle w:val="BodyTextIndent"/>
        <w:ind w:left="0"/>
      </w:pPr>
    </w:p>
    <w:p w:rsidR="00FE199F" w:rsidRDefault="00855494" w:rsidP="0005143E">
      <w:pPr>
        <w:pStyle w:val="BodyTextIndent"/>
        <w:ind w:left="0"/>
        <w:rPr>
          <w:b/>
        </w:rPr>
      </w:pPr>
      <w:r w:rsidRPr="00855494">
        <w:rPr>
          <w:b/>
        </w:rPr>
        <w:t>Miscellaneous Services</w:t>
      </w:r>
    </w:p>
    <w:p w:rsidR="00855494" w:rsidRDefault="00855494" w:rsidP="0005143E">
      <w:pPr>
        <w:pStyle w:val="BodyTextIndent"/>
        <w:ind w:left="0"/>
      </w:pPr>
      <w:r>
        <w:t xml:space="preserve">Tariff 15-C, Item 55(2) allows carriers to </w:t>
      </w:r>
      <w:r w:rsidR="00A71B83">
        <w:t>assess</w:t>
      </w:r>
      <w:r w:rsidR="006651FE">
        <w:t xml:space="preserve"> charges for third-party services </w:t>
      </w:r>
      <w:r>
        <w:t xml:space="preserve">incurred on during the course of transporting the customer’s goods. Before providing the service, the carrier must provide the customer with a written estimate and obtain the customer’s signature approving the additional costs. </w:t>
      </w:r>
    </w:p>
    <w:p w:rsidR="00855494" w:rsidRDefault="00855494" w:rsidP="0005143E">
      <w:pPr>
        <w:pStyle w:val="BodyTextIndent"/>
        <w:ind w:left="0"/>
      </w:pPr>
    </w:p>
    <w:p w:rsidR="00855494" w:rsidRPr="00855494" w:rsidRDefault="003E6D57" w:rsidP="0005143E">
      <w:pPr>
        <w:pStyle w:val="BodyTextIndent"/>
        <w:ind w:left="0"/>
      </w:pPr>
      <w:r>
        <w:t>For customer Davis, Lincoln M</w:t>
      </w:r>
      <w:r w:rsidR="00855494">
        <w:t xml:space="preserve">oving assessed a $105 charge for “parking permits.” This charge </w:t>
      </w:r>
      <w:proofErr w:type="gramStart"/>
      <w:r w:rsidR="00855494">
        <w:t>is handwritten on a</w:t>
      </w:r>
      <w:r>
        <w:t xml:space="preserve"> computer-generated</w:t>
      </w:r>
      <w:r w:rsidR="00855494">
        <w:t xml:space="preserve"> estimate form</w:t>
      </w:r>
      <w:r>
        <w:t>, and include</w:t>
      </w:r>
      <w:r w:rsidR="006651FE">
        <w:t>d</w:t>
      </w:r>
      <w:r>
        <w:t xml:space="preserve"> on the bill of lading</w:t>
      </w:r>
      <w:proofErr w:type="gramEnd"/>
      <w:r w:rsidR="00855494">
        <w:t>. The actual cost of the services provided, however, was $87.18</w:t>
      </w:r>
      <w:r w:rsidR="007808A8">
        <w:t>;</w:t>
      </w:r>
      <w:r w:rsidR="00855494">
        <w:t xml:space="preserve"> a $16 charge for a parking permit</w:t>
      </w:r>
      <w:r w:rsidR="007808A8">
        <w:t>,</w:t>
      </w:r>
      <w:r w:rsidR="00855494">
        <w:t xml:space="preserve"> and $</w:t>
      </w:r>
      <w:r>
        <w:t>87.18</w:t>
      </w:r>
      <w:r w:rsidR="007808A8">
        <w:t xml:space="preserve"> for street barricades used during the course of the move. </w:t>
      </w:r>
    </w:p>
    <w:p w:rsidR="00FE199F" w:rsidRPr="000C0FC3" w:rsidRDefault="00FE199F" w:rsidP="0005143E">
      <w:pPr>
        <w:pStyle w:val="BodyTextIndent"/>
        <w:ind w:left="0"/>
        <w:rPr>
          <w:b/>
          <w:highlight w:val="yellow"/>
        </w:rPr>
      </w:pPr>
    </w:p>
    <w:p w:rsidR="00142BE6" w:rsidRPr="003E6D57" w:rsidRDefault="00142BE6" w:rsidP="00142BE6">
      <w:pPr>
        <w:pStyle w:val="Heading1"/>
      </w:pPr>
      <w:r w:rsidRPr="003E6D57">
        <w:t>Findings</w:t>
      </w:r>
    </w:p>
    <w:p w:rsidR="003E6D57" w:rsidRDefault="003E6D57" w:rsidP="003E6D57">
      <w:pPr>
        <w:pStyle w:val="BodyTextIndent"/>
        <w:ind w:left="0"/>
      </w:pPr>
      <w:r w:rsidRPr="003E6D57">
        <w:rPr>
          <w:b/>
          <w:u w:val="single"/>
        </w:rPr>
        <w:t>Repeat Violations:</w:t>
      </w:r>
      <w:r>
        <w:t xml:space="preserve"> Lincoln Moving violated WAC 480-15-490(3) and Tariff 15-C, Item 225 a total of 119 times by failing to charge tariff rates for containers. </w:t>
      </w:r>
    </w:p>
    <w:p w:rsidR="003E6D57" w:rsidRDefault="00DE1F1F" w:rsidP="00DE1F1F">
      <w:r>
        <w:rPr>
          <w:rFonts w:ascii="Times New Roman" w:hAnsi="Times New Roman"/>
          <w:b/>
          <w:u w:val="single"/>
        </w:rPr>
        <w:t>New Violations:</w:t>
      </w:r>
      <w:r w:rsidRPr="00DE1F1F">
        <w:rPr>
          <w:rFonts w:ascii="Times New Roman" w:hAnsi="Times New Roman"/>
        </w:rPr>
        <w:t xml:space="preserve"> </w:t>
      </w:r>
      <w:r w:rsidR="003E6D57" w:rsidRPr="003E6D57">
        <w:rPr>
          <w:rFonts w:ascii="Times New Roman" w:hAnsi="Times New Roman"/>
        </w:rPr>
        <w:t xml:space="preserve">Lincoln Moving violated </w:t>
      </w:r>
      <w:r w:rsidR="003E6D57">
        <w:rPr>
          <w:rFonts w:ascii="Times New Roman" w:hAnsi="Times New Roman"/>
        </w:rPr>
        <w:t xml:space="preserve">WAC 480-15-490(3) and Tariff 15-C, Item 230(7) twice when it assessed four hour minimum charges for two customers on weekdays during normal business hours. </w:t>
      </w:r>
      <w:r w:rsidR="003E6D57" w:rsidRPr="00DE1F1F">
        <w:rPr>
          <w:rFonts w:ascii="Times New Roman" w:hAnsi="Times New Roman"/>
        </w:rPr>
        <w:t xml:space="preserve">Lincoln Moving </w:t>
      </w:r>
      <w:r w:rsidRPr="00DE1F1F">
        <w:rPr>
          <w:rFonts w:ascii="Times New Roman" w:hAnsi="Times New Roman"/>
        </w:rPr>
        <w:t xml:space="preserve">also </w:t>
      </w:r>
      <w:r w:rsidR="003E6D57" w:rsidRPr="00DE1F1F">
        <w:rPr>
          <w:rFonts w:ascii="Times New Roman" w:hAnsi="Times New Roman"/>
        </w:rPr>
        <w:t>violated WAC 480-15-490(3) and Tariff 15-C, Item 55(2) when it assessed a $105 charge for “parking permits” in excess of the actual costs incurred.</w:t>
      </w:r>
    </w:p>
    <w:p w:rsidR="00142BE6" w:rsidRPr="00055FBF" w:rsidRDefault="003E6D57" w:rsidP="00DE1F1F">
      <w:pPr>
        <w:pStyle w:val="BodyTextIndent"/>
        <w:ind w:left="0"/>
        <w:rPr>
          <w:highlight w:val="yellow"/>
        </w:rPr>
      </w:pPr>
      <w:r>
        <w:t xml:space="preserve"> </w:t>
      </w:r>
    </w:p>
    <w:p w:rsidR="00142BE6" w:rsidRPr="003E6D57" w:rsidRDefault="00142BE6" w:rsidP="00142BE6">
      <w:pPr>
        <w:pStyle w:val="Heading3"/>
        <w:rPr>
          <w:rFonts w:ascii="Times New Roman" w:hAnsi="Times New Roman"/>
          <w:b/>
          <w:bCs/>
          <w:u w:val="none"/>
        </w:rPr>
      </w:pPr>
      <w:r w:rsidRPr="003E6D57">
        <w:rPr>
          <w:rFonts w:ascii="Times New Roman" w:hAnsi="Times New Roman"/>
          <w:b/>
          <w:bCs/>
          <w:u w:val="none"/>
        </w:rPr>
        <w:t>Recommendation</w:t>
      </w:r>
    </w:p>
    <w:p w:rsidR="003E6D57" w:rsidRPr="00DE1F1F" w:rsidRDefault="00DE1F1F" w:rsidP="00142BE6">
      <w:pPr>
        <w:rPr>
          <w:rFonts w:ascii="Times New Roman" w:hAnsi="Times New Roman"/>
        </w:rPr>
      </w:pPr>
      <w:r>
        <w:rPr>
          <w:rFonts w:ascii="Times New Roman" w:hAnsi="Times New Roman"/>
          <w:b/>
          <w:u w:val="single"/>
        </w:rPr>
        <w:t>Penalty:</w:t>
      </w:r>
      <w:r>
        <w:rPr>
          <w:rFonts w:ascii="Times New Roman" w:hAnsi="Times New Roman"/>
        </w:rPr>
        <w:t xml:space="preserve"> Staff recommends a $100 penalty per customer for each of the seven customers charged improper rates for containers, in repeat and continuing violation of WAC 480-15-490(3) and Tariff 15-C, Item 225, for a total penalty of $700. Staff believes it is appropriate to assess violations by customer (7) rather than by actual number of violations (119) because it is the first time Lincoln Moving has received a penalty for this category of violation. Staff believes that a per-customer penalty </w:t>
      </w:r>
      <w:proofErr w:type="gramStart"/>
      <w:r>
        <w:rPr>
          <w:rFonts w:ascii="Times New Roman" w:hAnsi="Times New Roman"/>
        </w:rPr>
        <w:t>is warranted</w:t>
      </w:r>
      <w:proofErr w:type="gramEnd"/>
      <w:r>
        <w:rPr>
          <w:rFonts w:ascii="Times New Roman" w:hAnsi="Times New Roman"/>
        </w:rPr>
        <w:t>, however, because Lincoln Moving has received past technical assistance three times in this area, as documented above.</w:t>
      </w:r>
    </w:p>
    <w:p w:rsidR="003E6D57" w:rsidRDefault="003E6D57" w:rsidP="00142BE6">
      <w:pPr>
        <w:rPr>
          <w:rFonts w:ascii="Times New Roman" w:hAnsi="Times New Roman"/>
        </w:rPr>
      </w:pPr>
    </w:p>
    <w:p w:rsidR="003E6D57" w:rsidRDefault="00DE1F1F" w:rsidP="00142BE6">
      <w:pPr>
        <w:rPr>
          <w:rFonts w:ascii="Times New Roman" w:hAnsi="Times New Roman"/>
        </w:rPr>
      </w:pPr>
      <w:r w:rsidRPr="00DE1F1F">
        <w:rPr>
          <w:rFonts w:ascii="Times New Roman" w:hAnsi="Times New Roman"/>
          <w:b/>
          <w:u w:val="single"/>
        </w:rPr>
        <w:t>General:</w:t>
      </w:r>
      <w:r>
        <w:rPr>
          <w:rFonts w:ascii="Times New Roman" w:hAnsi="Times New Roman"/>
        </w:rPr>
        <w:t xml:space="preserve"> </w:t>
      </w:r>
      <w:r w:rsidR="00142BE6" w:rsidRPr="003E6D57">
        <w:rPr>
          <w:rFonts w:ascii="Times New Roman" w:hAnsi="Times New Roman"/>
        </w:rPr>
        <w:t xml:space="preserve">Staff advises that </w:t>
      </w:r>
      <w:r>
        <w:rPr>
          <w:rFonts w:ascii="Times New Roman" w:hAnsi="Times New Roman"/>
        </w:rPr>
        <w:t>Lincoln</w:t>
      </w:r>
      <w:r w:rsidR="00C83EAD" w:rsidRPr="003E6D57">
        <w:rPr>
          <w:rFonts w:ascii="Times New Roman" w:hAnsi="Times New Roman"/>
        </w:rPr>
        <w:t xml:space="preserve"> Moving</w:t>
      </w:r>
      <w:r w:rsidR="00142BE6" w:rsidRPr="003E6D57">
        <w:rPr>
          <w:rFonts w:ascii="Times New Roman" w:hAnsi="Times New Roman"/>
        </w:rPr>
        <w:t xml:space="preserve"> must properly charge the minimum</w:t>
      </w:r>
      <w:r w:rsidR="005F1057" w:rsidRPr="003E6D57">
        <w:rPr>
          <w:rFonts w:ascii="Times New Roman" w:hAnsi="Times New Roman"/>
        </w:rPr>
        <w:t xml:space="preserve"> hours</w:t>
      </w:r>
      <w:r w:rsidR="00142BE6" w:rsidRPr="003E6D57">
        <w:rPr>
          <w:rFonts w:ascii="Times New Roman" w:hAnsi="Times New Roman"/>
        </w:rPr>
        <w:t xml:space="preserve"> for </w:t>
      </w:r>
      <w:r>
        <w:rPr>
          <w:rFonts w:ascii="Times New Roman" w:hAnsi="Times New Roman"/>
        </w:rPr>
        <w:t>we</w:t>
      </w:r>
      <w:r w:rsidR="005A7128" w:rsidRPr="003E6D57">
        <w:rPr>
          <w:rFonts w:ascii="Times New Roman" w:hAnsi="Times New Roman"/>
        </w:rPr>
        <w:t>ekday moves</w:t>
      </w:r>
      <w:r>
        <w:rPr>
          <w:rFonts w:ascii="Times New Roman" w:hAnsi="Times New Roman"/>
        </w:rPr>
        <w:t xml:space="preserve"> during normal business hours</w:t>
      </w:r>
      <w:r w:rsidR="005A7128" w:rsidRPr="003E6D57">
        <w:rPr>
          <w:rFonts w:ascii="Times New Roman" w:hAnsi="Times New Roman"/>
        </w:rPr>
        <w:t>,</w:t>
      </w:r>
      <w:r w:rsidR="00142BE6" w:rsidRPr="003E6D57">
        <w:rPr>
          <w:rFonts w:ascii="Times New Roman" w:hAnsi="Times New Roman"/>
        </w:rPr>
        <w:t xml:space="preserve"> as required by </w:t>
      </w:r>
      <w:r w:rsidR="005A7128" w:rsidRPr="003E6D57">
        <w:rPr>
          <w:rFonts w:ascii="Times New Roman" w:hAnsi="Times New Roman"/>
        </w:rPr>
        <w:t>WAC 480-1</w:t>
      </w:r>
      <w:r w:rsidR="005F1057" w:rsidRPr="003E6D57">
        <w:rPr>
          <w:rFonts w:ascii="Times New Roman" w:hAnsi="Times New Roman"/>
        </w:rPr>
        <w:t>5-490 and Tariff 15-C, Item 230</w:t>
      </w:r>
      <w:r>
        <w:rPr>
          <w:rFonts w:ascii="Times New Roman" w:hAnsi="Times New Roman"/>
        </w:rPr>
        <w:t>(7). Ad</w:t>
      </w:r>
      <w:r w:rsidR="005F1057" w:rsidRPr="003E6D57">
        <w:rPr>
          <w:rFonts w:ascii="Times New Roman" w:hAnsi="Times New Roman"/>
        </w:rPr>
        <w:t xml:space="preserve">ditionally, </w:t>
      </w:r>
      <w:r>
        <w:rPr>
          <w:rFonts w:ascii="Times New Roman" w:hAnsi="Times New Roman"/>
        </w:rPr>
        <w:t>Lincoln</w:t>
      </w:r>
      <w:r w:rsidR="005F1057" w:rsidRPr="003E6D57">
        <w:rPr>
          <w:rFonts w:ascii="Times New Roman" w:hAnsi="Times New Roman"/>
        </w:rPr>
        <w:t xml:space="preserve"> Moving may only </w:t>
      </w:r>
      <w:r w:rsidR="00353837" w:rsidRPr="003E6D57">
        <w:rPr>
          <w:rFonts w:ascii="Times New Roman" w:hAnsi="Times New Roman"/>
        </w:rPr>
        <w:t>assess charges</w:t>
      </w:r>
      <w:r w:rsidR="005F1057" w:rsidRPr="003E6D57">
        <w:rPr>
          <w:rFonts w:ascii="Times New Roman" w:hAnsi="Times New Roman"/>
        </w:rPr>
        <w:t xml:space="preserve"> for </w:t>
      </w:r>
      <w:r>
        <w:rPr>
          <w:rFonts w:ascii="Times New Roman" w:hAnsi="Times New Roman"/>
        </w:rPr>
        <w:t>costs actually incurred on a customer’s behalf, as required by WAC 480-15-490(3) and Tariff 15-C, Item 55(2)</w:t>
      </w:r>
      <w:r w:rsidR="005F1057" w:rsidRPr="003E6D57">
        <w:rPr>
          <w:rFonts w:ascii="Times New Roman" w:hAnsi="Times New Roman"/>
        </w:rPr>
        <w:t>.</w:t>
      </w:r>
      <w:r w:rsidR="006E55E4" w:rsidRPr="003E6D57">
        <w:rPr>
          <w:rFonts w:ascii="Times New Roman" w:hAnsi="Times New Roman"/>
        </w:rPr>
        <w:t xml:space="preserve"> </w:t>
      </w:r>
      <w:r w:rsidR="00142BE6" w:rsidRPr="003E6D57">
        <w:rPr>
          <w:rFonts w:ascii="Times New Roman" w:hAnsi="Times New Roman"/>
        </w:rPr>
        <w:t>Staff considers this investigation as the company’s technica</w:t>
      </w:r>
      <w:r w:rsidR="006E55E4" w:rsidRPr="003E6D57">
        <w:rPr>
          <w:rFonts w:ascii="Times New Roman" w:hAnsi="Times New Roman"/>
        </w:rPr>
        <w:t xml:space="preserve">l assistance regarding </w:t>
      </w:r>
      <w:r w:rsidR="005F1057" w:rsidRPr="003E6D57">
        <w:rPr>
          <w:rFonts w:ascii="Times New Roman" w:hAnsi="Times New Roman"/>
        </w:rPr>
        <w:t>these issues</w:t>
      </w:r>
      <w:r w:rsidR="00142BE6" w:rsidRPr="003E6D57">
        <w:rPr>
          <w:rFonts w:ascii="Times New Roman" w:hAnsi="Times New Roman"/>
        </w:rPr>
        <w:t xml:space="preserve">. If future violations </w:t>
      </w:r>
      <w:proofErr w:type="gramStart"/>
      <w:r w:rsidR="00142BE6" w:rsidRPr="003E6D57">
        <w:rPr>
          <w:rFonts w:ascii="Times New Roman" w:hAnsi="Times New Roman"/>
        </w:rPr>
        <w:t>are found</w:t>
      </w:r>
      <w:proofErr w:type="gramEnd"/>
      <w:r w:rsidR="00142BE6" w:rsidRPr="003E6D57">
        <w:rPr>
          <w:rFonts w:ascii="Times New Roman" w:hAnsi="Times New Roman"/>
        </w:rPr>
        <w:t>, staff may recommend penalties or take other enforcement action.</w:t>
      </w:r>
    </w:p>
    <w:p w:rsidR="003E6D57" w:rsidRDefault="003E6D57" w:rsidP="00142BE6">
      <w:pPr>
        <w:rPr>
          <w:rFonts w:ascii="Times New Roman" w:hAnsi="Times New Roman"/>
        </w:rPr>
      </w:pPr>
    </w:p>
    <w:p w:rsidR="003E6D57" w:rsidRDefault="003E6D57" w:rsidP="00142BE6">
      <w:pPr>
        <w:rPr>
          <w:rFonts w:ascii="Times New Roman" w:hAnsi="Times New Roman"/>
        </w:rPr>
      </w:pPr>
    </w:p>
    <w:p w:rsidR="003E6D57" w:rsidRDefault="003E6D57" w:rsidP="00142BE6">
      <w:pPr>
        <w:rPr>
          <w:rFonts w:ascii="Times New Roman" w:hAnsi="Times New Roman"/>
        </w:rPr>
      </w:pPr>
    </w:p>
    <w:p w:rsidR="003E6D57" w:rsidRDefault="003E6D57" w:rsidP="00142BE6">
      <w:pPr>
        <w:rPr>
          <w:rFonts w:ascii="Times New Roman" w:hAnsi="Times New Roman"/>
        </w:rPr>
      </w:pPr>
    </w:p>
    <w:p w:rsidR="003E6D57" w:rsidRDefault="003E6D57" w:rsidP="00142BE6">
      <w:pPr>
        <w:rPr>
          <w:rFonts w:ascii="Times New Roman" w:hAnsi="Times New Roman"/>
        </w:rPr>
      </w:pPr>
    </w:p>
    <w:p w:rsidR="00DE1F1F" w:rsidRDefault="00DE1F1F" w:rsidP="00142BE6">
      <w:pPr>
        <w:rPr>
          <w:rFonts w:ascii="Times New Roman" w:hAnsi="Times New Roman"/>
        </w:rPr>
      </w:pPr>
    </w:p>
    <w:p w:rsidR="00D33056" w:rsidRPr="005F1057" w:rsidRDefault="00D33056">
      <w:pPr>
        <w:ind w:left="720"/>
        <w:jc w:val="center"/>
        <w:rPr>
          <w:rFonts w:ascii="Times New Roman" w:hAnsi="Times New Roman"/>
          <w:b/>
          <w:bCs/>
        </w:rPr>
      </w:pPr>
      <w:r w:rsidRPr="005F1057">
        <w:rPr>
          <w:rFonts w:ascii="Times New Roman" w:hAnsi="Times New Roman"/>
          <w:b/>
          <w:bCs/>
          <w:sz w:val="28"/>
        </w:rPr>
        <w:lastRenderedPageBreak/>
        <w:t>SUMMARY OF RECOMMENDATIONS</w:t>
      </w:r>
    </w:p>
    <w:p w:rsidR="00D33056" w:rsidRPr="008D3A81" w:rsidRDefault="00D33056">
      <w:pPr>
        <w:ind w:left="720"/>
        <w:jc w:val="center"/>
        <w:rPr>
          <w:rFonts w:ascii="Times New Roman" w:hAnsi="Times New Roman"/>
          <w:b/>
          <w:bCs/>
          <w:highlight w:val="yellow"/>
        </w:rPr>
      </w:pPr>
    </w:p>
    <w:p w:rsidR="00C75346" w:rsidRPr="00353837" w:rsidRDefault="00C75346" w:rsidP="00AD208D">
      <w:pPr>
        <w:pStyle w:val="NoSpacing"/>
        <w:rPr>
          <w:rFonts w:ascii="Times New Roman" w:hAnsi="Times New Roman"/>
          <w:sz w:val="24"/>
          <w:szCs w:val="24"/>
        </w:rPr>
      </w:pPr>
    </w:p>
    <w:p w:rsidR="006651FE" w:rsidRDefault="006651FE" w:rsidP="00D11C40">
      <w:pPr>
        <w:pStyle w:val="NoSpacing"/>
        <w:numPr>
          <w:ilvl w:val="0"/>
          <w:numId w:val="9"/>
        </w:numPr>
        <w:rPr>
          <w:rFonts w:ascii="Times New Roman" w:hAnsi="Times New Roman"/>
          <w:sz w:val="24"/>
          <w:szCs w:val="24"/>
        </w:rPr>
      </w:pPr>
      <w:r>
        <w:rPr>
          <w:rFonts w:ascii="Times New Roman" w:hAnsi="Times New Roman"/>
          <w:sz w:val="24"/>
          <w:szCs w:val="24"/>
        </w:rPr>
        <w:t>Staff recommends a total penalty of $700 for seven violations of WAC 480-15-490(3) and Tariff 15-C, Item 225, for failing to charge proper rates for containers in connection with seven moves.</w:t>
      </w:r>
    </w:p>
    <w:p w:rsidR="006651FE" w:rsidRDefault="006651FE" w:rsidP="006651FE">
      <w:pPr>
        <w:pStyle w:val="NoSpacing"/>
        <w:ind w:left="360"/>
        <w:rPr>
          <w:rFonts w:ascii="Times New Roman" w:hAnsi="Times New Roman"/>
          <w:sz w:val="24"/>
          <w:szCs w:val="24"/>
        </w:rPr>
      </w:pPr>
    </w:p>
    <w:p w:rsidR="00C570FA" w:rsidRPr="00353837" w:rsidRDefault="004318EF" w:rsidP="00D11C40">
      <w:pPr>
        <w:pStyle w:val="NoSpacing"/>
        <w:numPr>
          <w:ilvl w:val="0"/>
          <w:numId w:val="9"/>
        </w:numPr>
        <w:rPr>
          <w:rFonts w:ascii="Times New Roman" w:hAnsi="Times New Roman"/>
          <w:sz w:val="24"/>
          <w:szCs w:val="24"/>
        </w:rPr>
      </w:pPr>
      <w:r w:rsidRPr="00353837">
        <w:rPr>
          <w:rFonts w:ascii="Times New Roman" w:hAnsi="Times New Roman"/>
          <w:sz w:val="24"/>
          <w:szCs w:val="24"/>
        </w:rPr>
        <w:t xml:space="preserve">Staff recommends </w:t>
      </w:r>
      <w:r w:rsidR="00055FBF">
        <w:rPr>
          <w:rFonts w:ascii="Times New Roman" w:hAnsi="Times New Roman"/>
        </w:rPr>
        <w:t xml:space="preserve">Lincoln Moving </w:t>
      </w:r>
      <w:r w:rsidRPr="00353837">
        <w:rPr>
          <w:rFonts w:ascii="Times New Roman" w:hAnsi="Times New Roman"/>
          <w:sz w:val="24"/>
          <w:szCs w:val="24"/>
        </w:rPr>
        <w:t xml:space="preserve">attend commission-conducted rule and tariff training on </w:t>
      </w:r>
      <w:r w:rsidR="00055FBF">
        <w:rPr>
          <w:rFonts w:ascii="Times New Roman" w:hAnsi="Times New Roman"/>
          <w:sz w:val="24"/>
          <w:szCs w:val="24"/>
        </w:rPr>
        <w:t>July 11, 2012</w:t>
      </w:r>
      <w:r w:rsidRPr="00353837">
        <w:rPr>
          <w:rFonts w:ascii="Times New Roman" w:hAnsi="Times New Roman"/>
          <w:sz w:val="24"/>
          <w:szCs w:val="24"/>
        </w:rPr>
        <w:t xml:space="preserve">, in </w:t>
      </w:r>
      <w:r w:rsidR="00C26BD7" w:rsidRPr="00353837">
        <w:rPr>
          <w:rFonts w:ascii="Times New Roman" w:hAnsi="Times New Roman"/>
          <w:sz w:val="24"/>
          <w:szCs w:val="24"/>
        </w:rPr>
        <w:t>Olympia</w:t>
      </w:r>
      <w:r w:rsidRPr="00353837">
        <w:rPr>
          <w:rFonts w:ascii="Times New Roman" w:hAnsi="Times New Roman"/>
          <w:sz w:val="24"/>
          <w:szCs w:val="24"/>
        </w:rPr>
        <w:t>.</w:t>
      </w:r>
      <w:r w:rsidR="00224F2B" w:rsidRPr="00353837">
        <w:rPr>
          <w:rFonts w:ascii="Times New Roman" w:hAnsi="Times New Roman"/>
          <w:sz w:val="24"/>
          <w:szCs w:val="24"/>
        </w:rPr>
        <w:br/>
      </w:r>
    </w:p>
    <w:p w:rsidR="00C570FA" w:rsidRPr="00353837" w:rsidRDefault="004318EF" w:rsidP="00D11C40">
      <w:pPr>
        <w:pStyle w:val="NoSpacing"/>
        <w:numPr>
          <w:ilvl w:val="0"/>
          <w:numId w:val="9"/>
        </w:numPr>
        <w:rPr>
          <w:rFonts w:ascii="Times New Roman" w:hAnsi="Times New Roman"/>
          <w:sz w:val="24"/>
          <w:szCs w:val="24"/>
        </w:rPr>
      </w:pPr>
      <w:r w:rsidRPr="00353837">
        <w:rPr>
          <w:rFonts w:ascii="Times New Roman" w:hAnsi="Times New Roman"/>
          <w:sz w:val="24"/>
          <w:szCs w:val="24"/>
        </w:rPr>
        <w:t xml:space="preserve">Staff recommends </w:t>
      </w:r>
      <w:r w:rsidR="00055FBF">
        <w:rPr>
          <w:rFonts w:ascii="Times New Roman" w:hAnsi="Times New Roman"/>
        </w:rPr>
        <w:t>Lincoln Moving</w:t>
      </w:r>
      <w:r w:rsidRPr="00353837">
        <w:rPr>
          <w:rFonts w:ascii="Times New Roman" w:hAnsi="Times New Roman"/>
          <w:sz w:val="24"/>
          <w:szCs w:val="24"/>
        </w:rPr>
        <w:t xml:space="preserve"> closely review this report because it provides valuable technical assistance in other areas that need improvement</w:t>
      </w:r>
      <w:r w:rsidR="00224F2B" w:rsidRPr="00353837">
        <w:rPr>
          <w:rFonts w:ascii="Times New Roman" w:hAnsi="Times New Roman"/>
          <w:sz w:val="24"/>
          <w:szCs w:val="24"/>
        </w:rPr>
        <w:t>, as follows:</w:t>
      </w:r>
      <w:r w:rsidRPr="00353837">
        <w:rPr>
          <w:rFonts w:ascii="Times New Roman" w:hAnsi="Times New Roman"/>
          <w:sz w:val="24"/>
          <w:szCs w:val="24"/>
        </w:rPr>
        <w:t xml:space="preserve"> </w:t>
      </w:r>
      <w:r w:rsidR="00224F2B" w:rsidRPr="00353837">
        <w:rPr>
          <w:rFonts w:ascii="Times New Roman" w:hAnsi="Times New Roman"/>
          <w:sz w:val="24"/>
          <w:szCs w:val="24"/>
        </w:rPr>
        <w:br/>
      </w:r>
    </w:p>
    <w:p w:rsidR="00C570FA" w:rsidRPr="00AB52DA" w:rsidRDefault="00055FBF" w:rsidP="00D11C40">
      <w:pPr>
        <w:pStyle w:val="NoSpacing"/>
        <w:numPr>
          <w:ilvl w:val="0"/>
          <w:numId w:val="10"/>
        </w:numPr>
        <w:tabs>
          <w:tab w:val="left" w:pos="720"/>
        </w:tabs>
        <w:rPr>
          <w:rFonts w:ascii="Times New Roman" w:hAnsi="Times New Roman"/>
          <w:sz w:val="24"/>
          <w:szCs w:val="24"/>
        </w:rPr>
      </w:pPr>
      <w:r w:rsidRPr="00AB52DA">
        <w:rPr>
          <w:rFonts w:ascii="Times New Roman" w:hAnsi="Times New Roman"/>
          <w:sz w:val="24"/>
          <w:szCs w:val="24"/>
        </w:rPr>
        <w:t xml:space="preserve">Lincoln Moving </w:t>
      </w:r>
      <w:r w:rsidR="004318EF" w:rsidRPr="00AB52DA">
        <w:rPr>
          <w:rFonts w:ascii="Times New Roman" w:hAnsi="Times New Roman"/>
          <w:sz w:val="24"/>
          <w:szCs w:val="24"/>
        </w:rPr>
        <w:t xml:space="preserve">must provide a properly completed estimate to each customer prior to moving the customer’s goods. The estimate form must include all information </w:t>
      </w:r>
      <w:r w:rsidR="00C26BD7" w:rsidRPr="00AB52DA">
        <w:rPr>
          <w:rFonts w:ascii="Times New Roman" w:hAnsi="Times New Roman"/>
          <w:sz w:val="24"/>
          <w:szCs w:val="24"/>
        </w:rPr>
        <w:t xml:space="preserve">required </w:t>
      </w:r>
      <w:r w:rsidR="00353837" w:rsidRPr="00AB52DA">
        <w:rPr>
          <w:rFonts w:ascii="Times New Roman" w:hAnsi="Times New Roman"/>
          <w:sz w:val="24"/>
          <w:szCs w:val="24"/>
        </w:rPr>
        <w:t>by WAC 480-15-630 and Tariff 15-C</w:t>
      </w:r>
      <w:r w:rsidR="00C26BD7" w:rsidRPr="00AB52DA">
        <w:rPr>
          <w:rFonts w:ascii="Times New Roman" w:hAnsi="Times New Roman"/>
          <w:sz w:val="24"/>
          <w:szCs w:val="24"/>
        </w:rPr>
        <w:t>.</w:t>
      </w:r>
      <w:r w:rsidR="00414405" w:rsidRPr="00AB52DA">
        <w:rPr>
          <w:rFonts w:ascii="Times New Roman" w:hAnsi="Times New Roman"/>
          <w:sz w:val="24"/>
          <w:szCs w:val="24"/>
        </w:rPr>
        <w:t xml:space="preserve"> </w:t>
      </w:r>
    </w:p>
    <w:p w:rsidR="00C570FA" w:rsidRPr="00AB52DA" w:rsidRDefault="00055FBF" w:rsidP="00D11C40">
      <w:pPr>
        <w:pStyle w:val="NoSpacing"/>
        <w:numPr>
          <w:ilvl w:val="0"/>
          <w:numId w:val="10"/>
        </w:numPr>
        <w:rPr>
          <w:rFonts w:ascii="Times New Roman" w:hAnsi="Times New Roman"/>
          <w:sz w:val="24"/>
          <w:szCs w:val="24"/>
        </w:rPr>
      </w:pPr>
      <w:r w:rsidRPr="00AB52DA">
        <w:rPr>
          <w:rFonts w:ascii="Times New Roman" w:hAnsi="Times New Roman"/>
          <w:sz w:val="24"/>
          <w:szCs w:val="24"/>
        </w:rPr>
        <w:t>Lincoln Moving</w:t>
      </w:r>
      <w:r w:rsidR="004318EF" w:rsidRPr="00AB52DA">
        <w:rPr>
          <w:rFonts w:ascii="Times New Roman" w:hAnsi="Times New Roman"/>
          <w:sz w:val="24"/>
          <w:szCs w:val="24"/>
        </w:rPr>
        <w:t xml:space="preserve"> must provide a properly formatted bill of lading for every move</w:t>
      </w:r>
      <w:r w:rsidR="00353837" w:rsidRPr="00AB52DA">
        <w:rPr>
          <w:rFonts w:ascii="Times New Roman" w:hAnsi="Times New Roman"/>
          <w:sz w:val="24"/>
          <w:szCs w:val="24"/>
        </w:rPr>
        <w:t xml:space="preserve">, and must properly complete </w:t>
      </w:r>
      <w:r w:rsidR="004C6DE2" w:rsidRPr="00AB52DA">
        <w:rPr>
          <w:rFonts w:ascii="Times New Roman" w:hAnsi="Times New Roman"/>
          <w:sz w:val="24"/>
          <w:szCs w:val="24"/>
        </w:rPr>
        <w:t>its</w:t>
      </w:r>
      <w:r w:rsidR="00353837" w:rsidRPr="00AB52DA">
        <w:rPr>
          <w:rFonts w:ascii="Times New Roman" w:hAnsi="Times New Roman"/>
          <w:sz w:val="24"/>
          <w:szCs w:val="24"/>
        </w:rPr>
        <w:t xml:space="preserve"> bill</w:t>
      </w:r>
      <w:r w:rsidR="004C6DE2" w:rsidRPr="00AB52DA">
        <w:rPr>
          <w:rFonts w:ascii="Times New Roman" w:hAnsi="Times New Roman"/>
          <w:sz w:val="24"/>
          <w:szCs w:val="24"/>
        </w:rPr>
        <w:t>s</w:t>
      </w:r>
      <w:r w:rsidR="00353837" w:rsidRPr="00AB52DA">
        <w:rPr>
          <w:rFonts w:ascii="Times New Roman" w:hAnsi="Times New Roman"/>
          <w:sz w:val="24"/>
          <w:szCs w:val="24"/>
        </w:rPr>
        <w:t xml:space="preserve"> of lading</w:t>
      </w:r>
      <w:r w:rsidR="004318EF" w:rsidRPr="00AB52DA">
        <w:rPr>
          <w:rFonts w:ascii="Times New Roman" w:hAnsi="Times New Roman"/>
          <w:sz w:val="24"/>
          <w:szCs w:val="24"/>
        </w:rPr>
        <w:t xml:space="preserve">. The bill of lading form must include all information required </w:t>
      </w:r>
      <w:r w:rsidR="00353837" w:rsidRPr="00AB52DA">
        <w:rPr>
          <w:rFonts w:ascii="Times New Roman" w:hAnsi="Times New Roman"/>
          <w:sz w:val="24"/>
          <w:szCs w:val="24"/>
        </w:rPr>
        <w:t>by Tariff 15-C, Item 95</w:t>
      </w:r>
      <w:r w:rsidRPr="00AB52DA">
        <w:rPr>
          <w:rFonts w:ascii="Times New Roman" w:hAnsi="Times New Roman"/>
          <w:sz w:val="24"/>
          <w:szCs w:val="24"/>
        </w:rPr>
        <w:t>, and may not include a line item for a “fuel surcharge.”</w:t>
      </w:r>
    </w:p>
    <w:p w:rsidR="00353837" w:rsidRPr="00AB52DA" w:rsidRDefault="00055FBF" w:rsidP="00D11C40">
      <w:pPr>
        <w:pStyle w:val="NoSpacing"/>
        <w:numPr>
          <w:ilvl w:val="0"/>
          <w:numId w:val="10"/>
        </w:numPr>
        <w:rPr>
          <w:rFonts w:ascii="Times New Roman" w:hAnsi="Times New Roman"/>
          <w:sz w:val="24"/>
          <w:szCs w:val="24"/>
        </w:rPr>
      </w:pPr>
      <w:r w:rsidRPr="00AB52DA">
        <w:rPr>
          <w:rFonts w:ascii="Times New Roman" w:hAnsi="Times New Roman"/>
          <w:sz w:val="24"/>
          <w:szCs w:val="24"/>
        </w:rPr>
        <w:t xml:space="preserve">Lincoln Moving </w:t>
      </w:r>
      <w:r w:rsidR="00353837" w:rsidRPr="00AB52DA">
        <w:rPr>
          <w:rFonts w:ascii="Times New Roman" w:hAnsi="Times New Roman"/>
          <w:sz w:val="24"/>
          <w:szCs w:val="24"/>
        </w:rPr>
        <w:t>must properly charge minimum hours for moves, as required by WAC 480-15-490 and Tariff 15-C.</w:t>
      </w:r>
    </w:p>
    <w:p w:rsidR="00353837" w:rsidRPr="00AB52DA" w:rsidRDefault="00AB52DA" w:rsidP="00D11C40">
      <w:pPr>
        <w:pStyle w:val="NoSpacing"/>
        <w:numPr>
          <w:ilvl w:val="0"/>
          <w:numId w:val="10"/>
        </w:numPr>
        <w:rPr>
          <w:rFonts w:ascii="Times New Roman" w:hAnsi="Times New Roman"/>
          <w:sz w:val="24"/>
          <w:szCs w:val="24"/>
        </w:rPr>
      </w:pPr>
      <w:r w:rsidRPr="00AB52DA">
        <w:rPr>
          <w:rFonts w:ascii="Times New Roman" w:hAnsi="Times New Roman"/>
          <w:sz w:val="24"/>
          <w:szCs w:val="24"/>
        </w:rPr>
        <w:t>Lincoln</w:t>
      </w:r>
      <w:r w:rsidR="00353837" w:rsidRPr="00AB52DA">
        <w:rPr>
          <w:rFonts w:ascii="Times New Roman" w:hAnsi="Times New Roman"/>
          <w:sz w:val="24"/>
          <w:szCs w:val="24"/>
        </w:rPr>
        <w:t xml:space="preserve"> Moving must assess charges for containers </w:t>
      </w:r>
      <w:r w:rsidR="0074176F" w:rsidRPr="00AB52DA">
        <w:rPr>
          <w:rFonts w:ascii="Times New Roman" w:hAnsi="Times New Roman"/>
          <w:sz w:val="24"/>
          <w:szCs w:val="24"/>
        </w:rPr>
        <w:t>in compliance with</w:t>
      </w:r>
      <w:r w:rsidR="00353837" w:rsidRPr="00AB52DA">
        <w:rPr>
          <w:rFonts w:ascii="Times New Roman" w:hAnsi="Times New Roman"/>
          <w:sz w:val="24"/>
          <w:szCs w:val="24"/>
        </w:rPr>
        <w:t xml:space="preserve"> Tariff 15-C, Item 225.</w:t>
      </w:r>
    </w:p>
    <w:p w:rsidR="004C6DE2" w:rsidRPr="00AB52DA" w:rsidRDefault="00AB52DA" w:rsidP="00D11C40">
      <w:pPr>
        <w:pStyle w:val="NoSpacing"/>
        <w:numPr>
          <w:ilvl w:val="0"/>
          <w:numId w:val="10"/>
        </w:numPr>
        <w:rPr>
          <w:rFonts w:ascii="Times New Roman" w:hAnsi="Times New Roman"/>
          <w:sz w:val="24"/>
          <w:szCs w:val="24"/>
        </w:rPr>
      </w:pPr>
      <w:r w:rsidRPr="00AB52DA">
        <w:rPr>
          <w:rFonts w:ascii="Times New Roman" w:hAnsi="Times New Roman"/>
          <w:sz w:val="24"/>
          <w:szCs w:val="24"/>
        </w:rPr>
        <w:t xml:space="preserve">Lincoln </w:t>
      </w:r>
      <w:r w:rsidR="004C6DE2" w:rsidRPr="00AB52DA">
        <w:rPr>
          <w:rFonts w:ascii="Times New Roman" w:hAnsi="Times New Roman"/>
          <w:sz w:val="24"/>
          <w:szCs w:val="24"/>
        </w:rPr>
        <w:t xml:space="preserve">Moving must </w:t>
      </w:r>
      <w:r w:rsidRPr="00AB52DA">
        <w:rPr>
          <w:rFonts w:ascii="Times New Roman" w:hAnsi="Times New Roman"/>
          <w:sz w:val="24"/>
          <w:szCs w:val="24"/>
        </w:rPr>
        <w:t>only assess charges for costs actually incurred, as required by WAC 480-15-490(3) and Tariff 15-C, Item 55(2).</w:t>
      </w:r>
    </w:p>
    <w:p w:rsidR="00224F2B" w:rsidRPr="00353837" w:rsidRDefault="00224F2B" w:rsidP="00224F2B">
      <w:pPr>
        <w:pStyle w:val="NoSpacing"/>
        <w:ind w:left="360"/>
        <w:rPr>
          <w:rFonts w:ascii="Times New Roman" w:hAnsi="Times New Roman"/>
          <w:sz w:val="24"/>
          <w:szCs w:val="24"/>
        </w:rPr>
      </w:pPr>
    </w:p>
    <w:p w:rsidR="00224F2B" w:rsidRDefault="00224F2B" w:rsidP="00224F2B">
      <w:pPr>
        <w:pStyle w:val="NoSpacing"/>
        <w:ind w:left="360"/>
        <w:rPr>
          <w:rFonts w:ascii="Times New Roman" w:hAnsi="Times New Roman"/>
          <w:sz w:val="24"/>
          <w:szCs w:val="24"/>
        </w:rPr>
      </w:pPr>
      <w:r w:rsidRPr="00353837">
        <w:rPr>
          <w:rFonts w:ascii="Times New Roman" w:hAnsi="Times New Roman"/>
          <w:sz w:val="24"/>
          <w:szCs w:val="24"/>
        </w:rPr>
        <w:t xml:space="preserve">If future violations </w:t>
      </w:r>
      <w:proofErr w:type="gramStart"/>
      <w:r w:rsidRPr="00353837">
        <w:rPr>
          <w:rFonts w:ascii="Times New Roman" w:hAnsi="Times New Roman"/>
          <w:sz w:val="24"/>
          <w:szCs w:val="24"/>
        </w:rPr>
        <w:t>are found</w:t>
      </w:r>
      <w:proofErr w:type="gramEnd"/>
      <w:r w:rsidRPr="00353837">
        <w:rPr>
          <w:rFonts w:ascii="Times New Roman" w:hAnsi="Times New Roman"/>
          <w:sz w:val="24"/>
          <w:szCs w:val="24"/>
        </w:rPr>
        <w:t xml:space="preserve"> in the</w:t>
      </w:r>
      <w:r w:rsidR="00414405" w:rsidRPr="00353837">
        <w:rPr>
          <w:rFonts w:ascii="Times New Roman" w:hAnsi="Times New Roman"/>
          <w:sz w:val="24"/>
          <w:szCs w:val="24"/>
        </w:rPr>
        <w:t xml:space="preserve">se </w:t>
      </w:r>
      <w:r w:rsidRPr="00353837">
        <w:rPr>
          <w:rFonts w:ascii="Times New Roman" w:hAnsi="Times New Roman"/>
          <w:sz w:val="24"/>
          <w:szCs w:val="24"/>
        </w:rPr>
        <w:t>areas, staff may recommend penalties or take other enforcement action.</w:t>
      </w:r>
    </w:p>
    <w:p w:rsidR="00CF73A4" w:rsidRDefault="00CF73A4" w:rsidP="00224F2B">
      <w:pPr>
        <w:pStyle w:val="NoSpacing"/>
        <w:ind w:left="360"/>
        <w:rPr>
          <w:rFonts w:ascii="Times New Roman" w:hAnsi="Times New Roman"/>
          <w:sz w:val="24"/>
          <w:szCs w:val="24"/>
        </w:rPr>
      </w:pPr>
    </w:p>
    <w:p w:rsidR="00CF73A4" w:rsidRDefault="00CF73A4" w:rsidP="00224F2B">
      <w:pPr>
        <w:pStyle w:val="NoSpacing"/>
        <w:ind w:left="360"/>
        <w:rPr>
          <w:rFonts w:ascii="Times New Roman" w:hAnsi="Times New Roman"/>
          <w:sz w:val="24"/>
          <w:szCs w:val="24"/>
        </w:rPr>
      </w:pPr>
    </w:p>
    <w:p w:rsidR="00CF73A4" w:rsidRDefault="00CF73A4" w:rsidP="00224F2B">
      <w:pPr>
        <w:pStyle w:val="NoSpacing"/>
        <w:ind w:left="360"/>
        <w:rPr>
          <w:rFonts w:ascii="Times New Roman" w:hAnsi="Times New Roman"/>
          <w:sz w:val="24"/>
          <w:szCs w:val="24"/>
        </w:rPr>
      </w:pPr>
    </w:p>
    <w:p w:rsidR="00D66622" w:rsidRDefault="00D66622"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D66622">
      <w:pPr>
        <w:pStyle w:val="NoSpacing"/>
        <w:rPr>
          <w:rFonts w:ascii="Times New Roman" w:hAnsi="Times New Roman"/>
          <w:sz w:val="24"/>
          <w:szCs w:val="24"/>
        </w:rPr>
      </w:pPr>
    </w:p>
    <w:p w:rsidR="00AB52DA" w:rsidRDefault="00AB52DA" w:rsidP="00AB52DA">
      <w:pPr>
        <w:pStyle w:val="NoSpacing"/>
        <w:jc w:val="center"/>
        <w:rPr>
          <w:rFonts w:ascii="Times New Roman" w:hAnsi="Times New Roman"/>
          <w:b/>
        </w:rPr>
      </w:pPr>
      <w:r>
        <w:rPr>
          <w:rFonts w:ascii="Times New Roman" w:hAnsi="Times New Roman"/>
          <w:b/>
          <w:sz w:val="24"/>
          <w:szCs w:val="24"/>
        </w:rPr>
        <w:lastRenderedPageBreak/>
        <w:t>APPENDIX A</w:t>
      </w:r>
      <w:r>
        <w:rPr>
          <w:rFonts w:ascii="Times New Roman" w:hAnsi="Times New Roman"/>
          <w:b/>
          <w:noProof/>
          <w:sz w:val="24"/>
          <w:szCs w:val="24"/>
          <w:lang w:bidi="ar-SA"/>
        </w:rPr>
        <w:drawing>
          <wp:inline distT="0" distB="0" distL="0" distR="0">
            <wp:extent cx="5286375" cy="602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6375" cy="6029325"/>
                    </a:xfrm>
                    <a:prstGeom prst="rect">
                      <a:avLst/>
                    </a:prstGeom>
                    <a:noFill/>
                    <a:ln>
                      <a:noFill/>
                    </a:ln>
                  </pic:spPr>
                </pic:pic>
              </a:graphicData>
            </a:graphic>
          </wp:inline>
        </w:drawing>
      </w:r>
      <w:r w:rsidRPr="00AB52DA">
        <w:rPr>
          <w:rFonts w:ascii="Times New Roman" w:hAnsi="Times New Roman"/>
          <w:b/>
        </w:rPr>
        <w:t xml:space="preserve"> </w:t>
      </w:r>
      <w:r>
        <w:rPr>
          <w:rFonts w:ascii="Times New Roman" w:hAnsi="Times New Roman"/>
          <w:b/>
          <w:noProof/>
          <w:sz w:val="24"/>
          <w:szCs w:val="24"/>
          <w:lang w:bidi="ar-SA"/>
        </w:rPr>
        <w:lastRenderedPageBreak/>
        <w:drawing>
          <wp:inline distT="0" distB="0" distL="0" distR="0">
            <wp:extent cx="5210175"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2628900"/>
                    </a:xfrm>
                    <a:prstGeom prst="rect">
                      <a:avLst/>
                    </a:prstGeom>
                    <a:noFill/>
                    <a:ln>
                      <a:noFill/>
                    </a:ln>
                  </pic:spPr>
                </pic:pic>
              </a:graphicData>
            </a:graphic>
          </wp:inline>
        </w:drawing>
      </w: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Default="00AB52DA" w:rsidP="00AB52DA">
      <w:pPr>
        <w:pStyle w:val="NoSpacing"/>
        <w:jc w:val="center"/>
        <w:rPr>
          <w:rFonts w:ascii="Times New Roman" w:hAnsi="Times New Roman"/>
          <w:b/>
        </w:rPr>
      </w:pPr>
    </w:p>
    <w:p w:rsidR="00AB52DA" w:rsidRPr="00AB52DA" w:rsidRDefault="00AB52DA" w:rsidP="00AB52DA">
      <w:pPr>
        <w:pStyle w:val="NoSpacing"/>
        <w:jc w:val="center"/>
        <w:rPr>
          <w:rFonts w:ascii="Times New Roman" w:hAnsi="Times New Roman"/>
          <w:b/>
          <w:sz w:val="24"/>
          <w:szCs w:val="24"/>
        </w:rPr>
      </w:pPr>
      <w:r>
        <w:rPr>
          <w:rFonts w:ascii="Times New Roman" w:hAnsi="Times New Roman"/>
          <w:b/>
        </w:rPr>
        <w:lastRenderedPageBreak/>
        <w:t>APPENDIX B</w:t>
      </w:r>
      <w:r>
        <w:rPr>
          <w:rFonts w:ascii="Times New Roman" w:hAnsi="Times New Roman"/>
          <w:b/>
          <w:noProof/>
          <w:sz w:val="24"/>
          <w:szCs w:val="24"/>
          <w:lang w:bidi="ar-SA"/>
        </w:rPr>
        <w:drawing>
          <wp:inline distT="0" distB="0" distL="0" distR="0">
            <wp:extent cx="5715000" cy="6226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226791"/>
                    </a:xfrm>
                    <a:prstGeom prst="rect">
                      <a:avLst/>
                    </a:prstGeom>
                    <a:noFill/>
                    <a:ln>
                      <a:noFill/>
                    </a:ln>
                  </pic:spPr>
                </pic:pic>
              </a:graphicData>
            </a:graphic>
          </wp:inline>
        </w:drawing>
      </w:r>
      <w:r w:rsidRPr="00AB52DA">
        <w:rPr>
          <w:rFonts w:ascii="Times New Roman" w:hAnsi="Times New Roman"/>
          <w:b/>
        </w:rPr>
        <w:t xml:space="preserve"> </w:t>
      </w:r>
      <w:r>
        <w:rPr>
          <w:rFonts w:ascii="Times New Roman" w:hAnsi="Times New Roman"/>
          <w:b/>
          <w:noProof/>
          <w:sz w:val="24"/>
          <w:szCs w:val="24"/>
          <w:lang w:bidi="ar-SA"/>
        </w:rPr>
        <w:lastRenderedPageBreak/>
        <w:drawing>
          <wp:inline distT="0" distB="0" distL="0" distR="0">
            <wp:extent cx="5715000" cy="46228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622842"/>
                    </a:xfrm>
                    <a:prstGeom prst="rect">
                      <a:avLst/>
                    </a:prstGeom>
                    <a:noFill/>
                    <a:ln>
                      <a:noFill/>
                    </a:ln>
                  </pic:spPr>
                </pic:pic>
              </a:graphicData>
            </a:graphic>
          </wp:inline>
        </w:drawing>
      </w:r>
    </w:p>
    <w:sectPr w:rsidR="00AB52DA" w:rsidRPr="00AB52DA" w:rsidSect="00E34F95">
      <w:headerReference w:type="default" r:id="rId16"/>
      <w:footerReference w:type="default" r:id="rId17"/>
      <w:pgSz w:w="12240" w:h="15840" w:code="1"/>
      <w:pgMar w:top="1440" w:right="1800" w:bottom="1440" w:left="1440" w:header="720" w:footer="8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36" w:rsidRDefault="002C2F36">
      <w:r>
        <w:separator/>
      </w:r>
    </w:p>
  </w:endnote>
  <w:endnote w:type="continuationSeparator" w:id="0">
    <w:p w:rsidR="002C2F36" w:rsidRDefault="002C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48" w:rsidRPr="00814C7A" w:rsidRDefault="00604048" w:rsidP="00E47A82">
    <w:pPr>
      <w:pStyle w:val="Header"/>
      <w:ind w:hanging="720"/>
      <w:rPr>
        <w:rFonts w:ascii="Times New Roman" w:hAnsi="Times New Roman"/>
      </w:rPr>
    </w:pPr>
    <w:r>
      <w:t xml:space="preserve">            </w:t>
    </w:r>
    <w:r>
      <w:rPr>
        <w:rFonts w:ascii="Times New Roman" w:hAnsi="Times New Roman"/>
      </w:rPr>
      <w:t xml:space="preserve">Lincoln Moving &amp; Storage Company, Inc. 2012 Investigation </w:t>
    </w:r>
    <w:r w:rsidRPr="00814C7A">
      <w:rPr>
        <w:rFonts w:ascii="Times New Roman" w:hAnsi="Times New Roman"/>
      </w:rPr>
      <w:t>Report</w:t>
    </w:r>
  </w:p>
  <w:p w:rsidR="00604048" w:rsidRPr="00EF3E75" w:rsidRDefault="00604048">
    <w:pPr>
      <w:pStyle w:val="Footer"/>
      <w:jc w:val="right"/>
      <w:rPr>
        <w:sz w:val="20"/>
        <w:szCs w:val="20"/>
      </w:rPr>
    </w:pPr>
    <w:r w:rsidRPr="00EF3E75">
      <w:rPr>
        <w:sz w:val="20"/>
        <w:szCs w:val="20"/>
      </w:rPr>
      <w:t xml:space="preserve">Page </w:t>
    </w:r>
    <w:r w:rsidRPr="00EF3E75">
      <w:rPr>
        <w:sz w:val="20"/>
        <w:szCs w:val="20"/>
      </w:rPr>
      <w:fldChar w:fldCharType="begin"/>
    </w:r>
    <w:r w:rsidRPr="00EF3E75">
      <w:rPr>
        <w:sz w:val="20"/>
        <w:szCs w:val="20"/>
      </w:rPr>
      <w:instrText xml:space="preserve"> PAGE   \* MERGEFORMAT </w:instrText>
    </w:r>
    <w:r w:rsidRPr="00EF3E75">
      <w:rPr>
        <w:sz w:val="20"/>
        <w:szCs w:val="20"/>
      </w:rPr>
      <w:fldChar w:fldCharType="separate"/>
    </w:r>
    <w:r w:rsidR="00A620CB">
      <w:rPr>
        <w:noProof/>
        <w:sz w:val="20"/>
        <w:szCs w:val="20"/>
      </w:rPr>
      <w:t>7</w:t>
    </w:r>
    <w:r w:rsidRPr="00EF3E75">
      <w:rPr>
        <w:sz w:val="20"/>
        <w:szCs w:val="20"/>
      </w:rPr>
      <w:fldChar w:fldCharType="end"/>
    </w:r>
  </w:p>
  <w:p w:rsidR="00604048" w:rsidRPr="00D66E6D" w:rsidRDefault="00604048" w:rsidP="00EF3E7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36" w:rsidRDefault="002C2F36">
      <w:r>
        <w:separator/>
      </w:r>
    </w:p>
  </w:footnote>
  <w:footnote w:type="continuationSeparator" w:id="0">
    <w:p w:rsidR="002C2F36" w:rsidRDefault="002C2F36">
      <w:r>
        <w:continuationSeparator/>
      </w:r>
    </w:p>
  </w:footnote>
  <w:footnote w:id="1">
    <w:p w:rsidR="00604048" w:rsidRDefault="00604048">
      <w:pPr>
        <w:pStyle w:val="FootnoteText"/>
      </w:pPr>
      <w:r>
        <w:rPr>
          <w:rStyle w:val="FootnoteReference"/>
        </w:rPr>
        <w:footnoteRef/>
      </w:r>
      <w:r>
        <w:t xml:space="preserve"> &lt; 3 c.f. = less than three cubic feet.</w:t>
      </w:r>
    </w:p>
  </w:footnote>
  <w:footnote w:id="2">
    <w:p w:rsidR="00604048" w:rsidRDefault="00604048">
      <w:pPr>
        <w:pStyle w:val="FootnoteText"/>
      </w:pPr>
      <w:r>
        <w:rPr>
          <w:rStyle w:val="FootnoteReference"/>
        </w:rPr>
        <w:footnoteRef/>
      </w:r>
      <w:r>
        <w:t xml:space="preserve"> 3 c.f. = three cubic feet.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48" w:rsidRPr="00814C7A" w:rsidRDefault="00604048" w:rsidP="00EF3E75">
    <w:pPr>
      <w:pStyle w:val="Header"/>
      <w:ind w:hanging="72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4C2"/>
    <w:multiLevelType w:val="hybridMultilevel"/>
    <w:tmpl w:val="80D87A88"/>
    <w:lvl w:ilvl="0" w:tplc="0409000F">
      <w:start w:val="1"/>
      <w:numFmt w:val="decimal"/>
      <w:lvlText w:val="%1."/>
      <w:lvlJc w:val="left"/>
      <w:pPr>
        <w:tabs>
          <w:tab w:val="num" w:pos="810"/>
        </w:tabs>
        <w:ind w:left="810" w:hanging="360"/>
      </w:pPr>
    </w:lvl>
    <w:lvl w:ilvl="1" w:tplc="557C0012">
      <w:start w:val="1"/>
      <w:numFmt w:val="lowerLetter"/>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93E313A"/>
    <w:multiLevelType w:val="hybridMultilevel"/>
    <w:tmpl w:val="A25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00CEC"/>
    <w:multiLevelType w:val="hybridMultilevel"/>
    <w:tmpl w:val="B7F6F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E648B5"/>
    <w:multiLevelType w:val="multilevel"/>
    <w:tmpl w:val="B62AF53E"/>
    <w:lvl w:ilvl="0">
      <w:start w:val="1"/>
      <w:numFmt w:val="decimal"/>
      <w:pStyle w:val="Findings"/>
      <w:lvlText w:val="%1"/>
      <w:lvlJc w:val="left"/>
      <w:pPr>
        <w:tabs>
          <w:tab w:val="num" w:pos="0"/>
        </w:tabs>
        <w:ind w:left="0" w:hanging="1080"/>
      </w:pPr>
      <w:rPr>
        <w:rFonts w:hint="default"/>
        <w:b w:val="0"/>
        <w:i/>
        <w:sz w:val="20"/>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1D46AF5"/>
    <w:multiLevelType w:val="hybridMultilevel"/>
    <w:tmpl w:val="E9FAAF82"/>
    <w:lvl w:ilvl="0" w:tplc="BA32BA62">
      <w:start w:val="6"/>
      <w:numFmt w:val="decimal"/>
      <w:pStyle w:val="TariffNormalText"/>
      <w:lvlText w:val="%1."/>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551F91"/>
    <w:multiLevelType w:val="hybridMultilevel"/>
    <w:tmpl w:val="8EF83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BF1207"/>
    <w:multiLevelType w:val="hybridMultilevel"/>
    <w:tmpl w:val="7900823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2B3D6CC3"/>
    <w:multiLevelType w:val="hybridMultilevel"/>
    <w:tmpl w:val="83CEF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BE2E86"/>
    <w:multiLevelType w:val="hybridMultilevel"/>
    <w:tmpl w:val="E7E24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ED5D62"/>
    <w:multiLevelType w:val="hybridMultilevel"/>
    <w:tmpl w:val="A76A1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C90DCA"/>
    <w:multiLevelType w:val="hybridMultilevel"/>
    <w:tmpl w:val="68CC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51AA1"/>
    <w:multiLevelType w:val="hybridMultilevel"/>
    <w:tmpl w:val="721C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83FFC"/>
    <w:multiLevelType w:val="hybridMultilevel"/>
    <w:tmpl w:val="E8DE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461C0"/>
    <w:multiLevelType w:val="hybridMultilevel"/>
    <w:tmpl w:val="A2D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23F94"/>
    <w:multiLevelType w:val="hybridMultilevel"/>
    <w:tmpl w:val="BED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23134"/>
    <w:multiLevelType w:val="hybridMultilevel"/>
    <w:tmpl w:val="B968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234D1"/>
    <w:multiLevelType w:val="hybridMultilevel"/>
    <w:tmpl w:val="F0709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AF03A7"/>
    <w:multiLevelType w:val="hybridMultilevel"/>
    <w:tmpl w:val="897C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137F3"/>
    <w:multiLevelType w:val="hybridMultilevel"/>
    <w:tmpl w:val="9E04A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3609AB"/>
    <w:multiLevelType w:val="hybridMultilevel"/>
    <w:tmpl w:val="3A9C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9"/>
  </w:num>
  <w:num w:numId="5">
    <w:abstractNumId w:val="4"/>
  </w:num>
  <w:num w:numId="6">
    <w:abstractNumId w:val="7"/>
  </w:num>
  <w:num w:numId="7">
    <w:abstractNumId w:val="5"/>
  </w:num>
  <w:num w:numId="8">
    <w:abstractNumId w:val="16"/>
  </w:num>
  <w:num w:numId="9">
    <w:abstractNumId w:val="18"/>
  </w:num>
  <w:num w:numId="10">
    <w:abstractNumId w:val="11"/>
  </w:num>
  <w:num w:numId="11">
    <w:abstractNumId w:val="9"/>
  </w:num>
  <w:num w:numId="12">
    <w:abstractNumId w:val="20"/>
  </w:num>
  <w:num w:numId="13">
    <w:abstractNumId w:val="1"/>
  </w:num>
  <w:num w:numId="14">
    <w:abstractNumId w:val="10"/>
  </w:num>
  <w:num w:numId="15">
    <w:abstractNumId w:val="13"/>
  </w:num>
  <w:num w:numId="16">
    <w:abstractNumId w:val="14"/>
  </w:num>
  <w:num w:numId="17">
    <w:abstractNumId w:val="2"/>
  </w:num>
  <w:num w:numId="18">
    <w:abstractNumId w:val="6"/>
  </w:num>
  <w:num w:numId="19">
    <w:abstractNumId w:val="17"/>
  </w:num>
  <w:num w:numId="20">
    <w:abstractNumId w:val="12"/>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3D31"/>
    <w:rsid w:val="0000770E"/>
    <w:rsid w:val="00016F44"/>
    <w:rsid w:val="00021569"/>
    <w:rsid w:val="00031A9F"/>
    <w:rsid w:val="000448FB"/>
    <w:rsid w:val="0005143E"/>
    <w:rsid w:val="000539F4"/>
    <w:rsid w:val="0005582B"/>
    <w:rsid w:val="00055FBF"/>
    <w:rsid w:val="00056E8C"/>
    <w:rsid w:val="00062FE0"/>
    <w:rsid w:val="00063E8D"/>
    <w:rsid w:val="00066300"/>
    <w:rsid w:val="000722B2"/>
    <w:rsid w:val="00075A7E"/>
    <w:rsid w:val="000818CC"/>
    <w:rsid w:val="00083E56"/>
    <w:rsid w:val="00090F7C"/>
    <w:rsid w:val="000932BF"/>
    <w:rsid w:val="000A204A"/>
    <w:rsid w:val="000A4376"/>
    <w:rsid w:val="000B2509"/>
    <w:rsid w:val="000B598A"/>
    <w:rsid w:val="000B75AB"/>
    <w:rsid w:val="000B7AF2"/>
    <w:rsid w:val="000C0FC3"/>
    <w:rsid w:val="000C3737"/>
    <w:rsid w:val="000C3D2A"/>
    <w:rsid w:val="000C45F1"/>
    <w:rsid w:val="000C62C3"/>
    <w:rsid w:val="000C67F0"/>
    <w:rsid w:val="000C7240"/>
    <w:rsid w:val="000C76A5"/>
    <w:rsid w:val="000D53B6"/>
    <w:rsid w:val="000D6A08"/>
    <w:rsid w:val="000D7C3B"/>
    <w:rsid w:val="000E2AFB"/>
    <w:rsid w:val="000E737D"/>
    <w:rsid w:val="000E7AAC"/>
    <w:rsid w:val="000F1F9B"/>
    <w:rsid w:val="000F2CF2"/>
    <w:rsid w:val="000F3C3A"/>
    <w:rsid w:val="000F4B07"/>
    <w:rsid w:val="000F5A86"/>
    <w:rsid w:val="000F6648"/>
    <w:rsid w:val="000F7D58"/>
    <w:rsid w:val="00100631"/>
    <w:rsid w:val="001031C3"/>
    <w:rsid w:val="00103554"/>
    <w:rsid w:val="00105FFA"/>
    <w:rsid w:val="00111A58"/>
    <w:rsid w:val="001124D8"/>
    <w:rsid w:val="00112DF8"/>
    <w:rsid w:val="0011333F"/>
    <w:rsid w:val="001146C5"/>
    <w:rsid w:val="00116C85"/>
    <w:rsid w:val="00117B68"/>
    <w:rsid w:val="001200C9"/>
    <w:rsid w:val="00120C24"/>
    <w:rsid w:val="0012204D"/>
    <w:rsid w:val="00122CBE"/>
    <w:rsid w:val="00125468"/>
    <w:rsid w:val="00125CE8"/>
    <w:rsid w:val="00130026"/>
    <w:rsid w:val="001302A0"/>
    <w:rsid w:val="001312B6"/>
    <w:rsid w:val="0013274C"/>
    <w:rsid w:val="001330C2"/>
    <w:rsid w:val="00134B24"/>
    <w:rsid w:val="00141509"/>
    <w:rsid w:val="00141825"/>
    <w:rsid w:val="00142AE3"/>
    <w:rsid w:val="00142BE6"/>
    <w:rsid w:val="0014381B"/>
    <w:rsid w:val="00144F0C"/>
    <w:rsid w:val="00155C16"/>
    <w:rsid w:val="001618F0"/>
    <w:rsid w:val="00164E7F"/>
    <w:rsid w:val="00165FEE"/>
    <w:rsid w:val="001679E9"/>
    <w:rsid w:val="00173755"/>
    <w:rsid w:val="0017392B"/>
    <w:rsid w:val="001805DE"/>
    <w:rsid w:val="0018147A"/>
    <w:rsid w:val="00182C04"/>
    <w:rsid w:val="00184DF6"/>
    <w:rsid w:val="001A0D7D"/>
    <w:rsid w:val="001A3986"/>
    <w:rsid w:val="001A4170"/>
    <w:rsid w:val="001A4ECB"/>
    <w:rsid w:val="001B06F4"/>
    <w:rsid w:val="001B1CE4"/>
    <w:rsid w:val="001B4718"/>
    <w:rsid w:val="001B4F28"/>
    <w:rsid w:val="001B60F3"/>
    <w:rsid w:val="001C28C2"/>
    <w:rsid w:val="001C5738"/>
    <w:rsid w:val="001C6934"/>
    <w:rsid w:val="001D04AD"/>
    <w:rsid w:val="001D27B2"/>
    <w:rsid w:val="001D4C54"/>
    <w:rsid w:val="001E0647"/>
    <w:rsid w:val="001E2C57"/>
    <w:rsid w:val="001E3351"/>
    <w:rsid w:val="001E3E88"/>
    <w:rsid w:val="001E5D1B"/>
    <w:rsid w:val="001E5F5C"/>
    <w:rsid w:val="001F0704"/>
    <w:rsid w:val="001F1F86"/>
    <w:rsid w:val="001F269F"/>
    <w:rsid w:val="001F279E"/>
    <w:rsid w:val="001F4146"/>
    <w:rsid w:val="001F617F"/>
    <w:rsid w:val="001F703C"/>
    <w:rsid w:val="001F71D0"/>
    <w:rsid w:val="00202E8D"/>
    <w:rsid w:val="002030EB"/>
    <w:rsid w:val="00205F6F"/>
    <w:rsid w:val="002068CE"/>
    <w:rsid w:val="00212AE8"/>
    <w:rsid w:val="00213165"/>
    <w:rsid w:val="00214670"/>
    <w:rsid w:val="00217E64"/>
    <w:rsid w:val="00222B64"/>
    <w:rsid w:val="00224F2B"/>
    <w:rsid w:val="002259E1"/>
    <w:rsid w:val="00225B36"/>
    <w:rsid w:val="00227193"/>
    <w:rsid w:val="002343A4"/>
    <w:rsid w:val="00236FAE"/>
    <w:rsid w:val="00237C1B"/>
    <w:rsid w:val="00237DB9"/>
    <w:rsid w:val="00237F60"/>
    <w:rsid w:val="002529C9"/>
    <w:rsid w:val="00253A29"/>
    <w:rsid w:val="00254486"/>
    <w:rsid w:val="00256AD8"/>
    <w:rsid w:val="002606F7"/>
    <w:rsid w:val="00260EB9"/>
    <w:rsid w:val="00263884"/>
    <w:rsid w:val="00263D17"/>
    <w:rsid w:val="00264740"/>
    <w:rsid w:val="0026514C"/>
    <w:rsid w:val="00273A3F"/>
    <w:rsid w:val="00275D4D"/>
    <w:rsid w:val="0027608B"/>
    <w:rsid w:val="002761D8"/>
    <w:rsid w:val="002779F8"/>
    <w:rsid w:val="00280664"/>
    <w:rsid w:val="0028076B"/>
    <w:rsid w:val="00290609"/>
    <w:rsid w:val="002931E1"/>
    <w:rsid w:val="0029368B"/>
    <w:rsid w:val="002979ED"/>
    <w:rsid w:val="00297C54"/>
    <w:rsid w:val="002A2A3A"/>
    <w:rsid w:val="002B00EF"/>
    <w:rsid w:val="002B0EE9"/>
    <w:rsid w:val="002B2608"/>
    <w:rsid w:val="002B3547"/>
    <w:rsid w:val="002B409B"/>
    <w:rsid w:val="002B654D"/>
    <w:rsid w:val="002B6AEA"/>
    <w:rsid w:val="002C16BF"/>
    <w:rsid w:val="002C2F36"/>
    <w:rsid w:val="002C5042"/>
    <w:rsid w:val="002D23A1"/>
    <w:rsid w:val="002F2A93"/>
    <w:rsid w:val="002F46FB"/>
    <w:rsid w:val="002F6BA8"/>
    <w:rsid w:val="00306FFB"/>
    <w:rsid w:val="003110E1"/>
    <w:rsid w:val="0031131A"/>
    <w:rsid w:val="0031139E"/>
    <w:rsid w:val="003118A9"/>
    <w:rsid w:val="00314C76"/>
    <w:rsid w:val="00315076"/>
    <w:rsid w:val="0031537E"/>
    <w:rsid w:val="00315DE9"/>
    <w:rsid w:val="00316537"/>
    <w:rsid w:val="003228CD"/>
    <w:rsid w:val="00322DB6"/>
    <w:rsid w:val="00323A14"/>
    <w:rsid w:val="00324643"/>
    <w:rsid w:val="00325748"/>
    <w:rsid w:val="003323EE"/>
    <w:rsid w:val="00332D15"/>
    <w:rsid w:val="00334191"/>
    <w:rsid w:val="00341FFB"/>
    <w:rsid w:val="00342BB5"/>
    <w:rsid w:val="00346274"/>
    <w:rsid w:val="00346839"/>
    <w:rsid w:val="003505F4"/>
    <w:rsid w:val="00351E19"/>
    <w:rsid w:val="00353837"/>
    <w:rsid w:val="003546D5"/>
    <w:rsid w:val="00356509"/>
    <w:rsid w:val="00362FC0"/>
    <w:rsid w:val="00366D18"/>
    <w:rsid w:val="00367C53"/>
    <w:rsid w:val="00370676"/>
    <w:rsid w:val="0038008A"/>
    <w:rsid w:val="0038403F"/>
    <w:rsid w:val="00386425"/>
    <w:rsid w:val="00390AB5"/>
    <w:rsid w:val="0039546B"/>
    <w:rsid w:val="003A0DAD"/>
    <w:rsid w:val="003B4BDE"/>
    <w:rsid w:val="003B4F40"/>
    <w:rsid w:val="003C0779"/>
    <w:rsid w:val="003C0C74"/>
    <w:rsid w:val="003C2B56"/>
    <w:rsid w:val="003C38F9"/>
    <w:rsid w:val="003C64C2"/>
    <w:rsid w:val="003C77B9"/>
    <w:rsid w:val="003D1C87"/>
    <w:rsid w:val="003D2AAC"/>
    <w:rsid w:val="003D49FF"/>
    <w:rsid w:val="003D6055"/>
    <w:rsid w:val="003E6D57"/>
    <w:rsid w:val="003E7D16"/>
    <w:rsid w:val="003F3A7E"/>
    <w:rsid w:val="003F5527"/>
    <w:rsid w:val="00401357"/>
    <w:rsid w:val="0040154B"/>
    <w:rsid w:val="00404F74"/>
    <w:rsid w:val="0041238E"/>
    <w:rsid w:val="00413363"/>
    <w:rsid w:val="00414405"/>
    <w:rsid w:val="0042221A"/>
    <w:rsid w:val="00422EF7"/>
    <w:rsid w:val="00425663"/>
    <w:rsid w:val="004275EB"/>
    <w:rsid w:val="004318EF"/>
    <w:rsid w:val="004326A1"/>
    <w:rsid w:val="00433CA4"/>
    <w:rsid w:val="00436CF9"/>
    <w:rsid w:val="004428C4"/>
    <w:rsid w:val="00442EFB"/>
    <w:rsid w:val="00443255"/>
    <w:rsid w:val="00445E76"/>
    <w:rsid w:val="00446AAD"/>
    <w:rsid w:val="004516C7"/>
    <w:rsid w:val="004535D0"/>
    <w:rsid w:val="00454B3E"/>
    <w:rsid w:val="00460D92"/>
    <w:rsid w:val="00462658"/>
    <w:rsid w:val="00465764"/>
    <w:rsid w:val="00470167"/>
    <w:rsid w:val="004737BD"/>
    <w:rsid w:val="00473E88"/>
    <w:rsid w:val="00476547"/>
    <w:rsid w:val="00477745"/>
    <w:rsid w:val="004777B2"/>
    <w:rsid w:val="00482BF7"/>
    <w:rsid w:val="004858FC"/>
    <w:rsid w:val="00486383"/>
    <w:rsid w:val="004915E2"/>
    <w:rsid w:val="004922E8"/>
    <w:rsid w:val="00494511"/>
    <w:rsid w:val="0049527D"/>
    <w:rsid w:val="004A162B"/>
    <w:rsid w:val="004A2854"/>
    <w:rsid w:val="004A5F4D"/>
    <w:rsid w:val="004B35C4"/>
    <w:rsid w:val="004B3B01"/>
    <w:rsid w:val="004B4BFC"/>
    <w:rsid w:val="004B620C"/>
    <w:rsid w:val="004C2A81"/>
    <w:rsid w:val="004C6DE2"/>
    <w:rsid w:val="004C6E41"/>
    <w:rsid w:val="004C73A3"/>
    <w:rsid w:val="004D1813"/>
    <w:rsid w:val="004D18E4"/>
    <w:rsid w:val="004D43D5"/>
    <w:rsid w:val="004D46BD"/>
    <w:rsid w:val="004E245F"/>
    <w:rsid w:val="004E371B"/>
    <w:rsid w:val="004E7F34"/>
    <w:rsid w:val="004F0826"/>
    <w:rsid w:val="004F127A"/>
    <w:rsid w:val="004F4E10"/>
    <w:rsid w:val="00500D42"/>
    <w:rsid w:val="00504DA6"/>
    <w:rsid w:val="00506DC3"/>
    <w:rsid w:val="00507D20"/>
    <w:rsid w:val="0052095B"/>
    <w:rsid w:val="005210A1"/>
    <w:rsid w:val="005278AB"/>
    <w:rsid w:val="00533285"/>
    <w:rsid w:val="005356DB"/>
    <w:rsid w:val="00537B7A"/>
    <w:rsid w:val="00544D65"/>
    <w:rsid w:val="00547F30"/>
    <w:rsid w:val="00550EFF"/>
    <w:rsid w:val="00552645"/>
    <w:rsid w:val="00552D0E"/>
    <w:rsid w:val="005543AE"/>
    <w:rsid w:val="005553D1"/>
    <w:rsid w:val="00555A2B"/>
    <w:rsid w:val="00556D82"/>
    <w:rsid w:val="00557974"/>
    <w:rsid w:val="00563111"/>
    <w:rsid w:val="0056335C"/>
    <w:rsid w:val="00570F1A"/>
    <w:rsid w:val="00571C93"/>
    <w:rsid w:val="00572A52"/>
    <w:rsid w:val="0057430D"/>
    <w:rsid w:val="00574400"/>
    <w:rsid w:val="0057629C"/>
    <w:rsid w:val="0057645B"/>
    <w:rsid w:val="005769AB"/>
    <w:rsid w:val="00577F86"/>
    <w:rsid w:val="00580380"/>
    <w:rsid w:val="0058108F"/>
    <w:rsid w:val="00582D09"/>
    <w:rsid w:val="005867F8"/>
    <w:rsid w:val="00587690"/>
    <w:rsid w:val="00593D83"/>
    <w:rsid w:val="00594B55"/>
    <w:rsid w:val="005A7128"/>
    <w:rsid w:val="005B0C45"/>
    <w:rsid w:val="005B1F28"/>
    <w:rsid w:val="005B2886"/>
    <w:rsid w:val="005B39C1"/>
    <w:rsid w:val="005B50C9"/>
    <w:rsid w:val="005B58E6"/>
    <w:rsid w:val="005C34E6"/>
    <w:rsid w:val="005C4458"/>
    <w:rsid w:val="005C7541"/>
    <w:rsid w:val="005D13BE"/>
    <w:rsid w:val="005D4E6F"/>
    <w:rsid w:val="005D5262"/>
    <w:rsid w:val="005E07BA"/>
    <w:rsid w:val="005E7BDF"/>
    <w:rsid w:val="005F05AE"/>
    <w:rsid w:val="005F1057"/>
    <w:rsid w:val="005F489F"/>
    <w:rsid w:val="005F5401"/>
    <w:rsid w:val="005F5852"/>
    <w:rsid w:val="00604048"/>
    <w:rsid w:val="006046FB"/>
    <w:rsid w:val="00605877"/>
    <w:rsid w:val="006067F2"/>
    <w:rsid w:val="00610AD0"/>
    <w:rsid w:val="00614C23"/>
    <w:rsid w:val="0061504E"/>
    <w:rsid w:val="00615BD6"/>
    <w:rsid w:val="00615FB7"/>
    <w:rsid w:val="00616BB0"/>
    <w:rsid w:val="006217C4"/>
    <w:rsid w:val="006312FF"/>
    <w:rsid w:val="0064355E"/>
    <w:rsid w:val="00651AB4"/>
    <w:rsid w:val="00653E89"/>
    <w:rsid w:val="00656FDF"/>
    <w:rsid w:val="00657D79"/>
    <w:rsid w:val="0066350A"/>
    <w:rsid w:val="00663CA6"/>
    <w:rsid w:val="00664856"/>
    <w:rsid w:val="006651FE"/>
    <w:rsid w:val="00665507"/>
    <w:rsid w:val="00671EAA"/>
    <w:rsid w:val="006737F5"/>
    <w:rsid w:val="00673900"/>
    <w:rsid w:val="006772AB"/>
    <w:rsid w:val="0067752C"/>
    <w:rsid w:val="006802A0"/>
    <w:rsid w:val="006809F8"/>
    <w:rsid w:val="00682042"/>
    <w:rsid w:val="0068280D"/>
    <w:rsid w:val="00683894"/>
    <w:rsid w:val="00686EBA"/>
    <w:rsid w:val="00687892"/>
    <w:rsid w:val="006910FE"/>
    <w:rsid w:val="0069531A"/>
    <w:rsid w:val="006977EF"/>
    <w:rsid w:val="006A1058"/>
    <w:rsid w:val="006A27CB"/>
    <w:rsid w:val="006A2CDF"/>
    <w:rsid w:val="006A2E75"/>
    <w:rsid w:val="006A47BF"/>
    <w:rsid w:val="006A6B52"/>
    <w:rsid w:val="006A7886"/>
    <w:rsid w:val="006A7A62"/>
    <w:rsid w:val="006B01C6"/>
    <w:rsid w:val="006B1528"/>
    <w:rsid w:val="006B247D"/>
    <w:rsid w:val="006C1280"/>
    <w:rsid w:val="006D0F5D"/>
    <w:rsid w:val="006D2589"/>
    <w:rsid w:val="006D6DFE"/>
    <w:rsid w:val="006D7D74"/>
    <w:rsid w:val="006E0BBB"/>
    <w:rsid w:val="006E0C07"/>
    <w:rsid w:val="006E1AD8"/>
    <w:rsid w:val="006E253C"/>
    <w:rsid w:val="006E46D0"/>
    <w:rsid w:val="006E55E4"/>
    <w:rsid w:val="006E79E4"/>
    <w:rsid w:val="006F22F1"/>
    <w:rsid w:val="006F44AD"/>
    <w:rsid w:val="006F51DC"/>
    <w:rsid w:val="006F5C23"/>
    <w:rsid w:val="006F6441"/>
    <w:rsid w:val="006F6823"/>
    <w:rsid w:val="006F6FB6"/>
    <w:rsid w:val="006F72C8"/>
    <w:rsid w:val="00700A69"/>
    <w:rsid w:val="0070109B"/>
    <w:rsid w:val="00701AA5"/>
    <w:rsid w:val="00702169"/>
    <w:rsid w:val="007031E0"/>
    <w:rsid w:val="00704BAC"/>
    <w:rsid w:val="007053C0"/>
    <w:rsid w:val="0070547A"/>
    <w:rsid w:val="0070587D"/>
    <w:rsid w:val="00707295"/>
    <w:rsid w:val="00711C98"/>
    <w:rsid w:val="00712B66"/>
    <w:rsid w:val="00717DA2"/>
    <w:rsid w:val="007206E6"/>
    <w:rsid w:val="00721A76"/>
    <w:rsid w:val="00731156"/>
    <w:rsid w:val="00735B66"/>
    <w:rsid w:val="0074176F"/>
    <w:rsid w:val="00742877"/>
    <w:rsid w:val="00746303"/>
    <w:rsid w:val="007464ED"/>
    <w:rsid w:val="00746FD7"/>
    <w:rsid w:val="007471FD"/>
    <w:rsid w:val="00750C56"/>
    <w:rsid w:val="0075167D"/>
    <w:rsid w:val="0075323F"/>
    <w:rsid w:val="00753635"/>
    <w:rsid w:val="00753E86"/>
    <w:rsid w:val="00755365"/>
    <w:rsid w:val="00756288"/>
    <w:rsid w:val="00757444"/>
    <w:rsid w:val="00762A3C"/>
    <w:rsid w:val="00765BB9"/>
    <w:rsid w:val="00767C06"/>
    <w:rsid w:val="007744F3"/>
    <w:rsid w:val="0077583F"/>
    <w:rsid w:val="00775973"/>
    <w:rsid w:val="00775DDE"/>
    <w:rsid w:val="007808A8"/>
    <w:rsid w:val="0078170E"/>
    <w:rsid w:val="0078173B"/>
    <w:rsid w:val="007834EF"/>
    <w:rsid w:val="007841FB"/>
    <w:rsid w:val="007876D6"/>
    <w:rsid w:val="00791776"/>
    <w:rsid w:val="007918C3"/>
    <w:rsid w:val="00794733"/>
    <w:rsid w:val="0079597C"/>
    <w:rsid w:val="00795982"/>
    <w:rsid w:val="00795D27"/>
    <w:rsid w:val="007A3D69"/>
    <w:rsid w:val="007A3FEB"/>
    <w:rsid w:val="007A4C3F"/>
    <w:rsid w:val="007A5D9A"/>
    <w:rsid w:val="007B185C"/>
    <w:rsid w:val="007B63FB"/>
    <w:rsid w:val="007B6FC7"/>
    <w:rsid w:val="007C17DB"/>
    <w:rsid w:val="007C24F1"/>
    <w:rsid w:val="007D4190"/>
    <w:rsid w:val="007E577D"/>
    <w:rsid w:val="007F41D9"/>
    <w:rsid w:val="00801523"/>
    <w:rsid w:val="00803FE5"/>
    <w:rsid w:val="00806E30"/>
    <w:rsid w:val="0081056F"/>
    <w:rsid w:val="00813953"/>
    <w:rsid w:val="00814761"/>
    <w:rsid w:val="00814C7A"/>
    <w:rsid w:val="00814F04"/>
    <w:rsid w:val="00816C90"/>
    <w:rsid w:val="00816F30"/>
    <w:rsid w:val="00821EED"/>
    <w:rsid w:val="00822825"/>
    <w:rsid w:val="00825FEA"/>
    <w:rsid w:val="00826D6C"/>
    <w:rsid w:val="00830ACC"/>
    <w:rsid w:val="0083326E"/>
    <w:rsid w:val="00833FAB"/>
    <w:rsid w:val="008351BB"/>
    <w:rsid w:val="008415AB"/>
    <w:rsid w:val="00842284"/>
    <w:rsid w:val="00843845"/>
    <w:rsid w:val="00843B61"/>
    <w:rsid w:val="00844068"/>
    <w:rsid w:val="00844B78"/>
    <w:rsid w:val="008469C1"/>
    <w:rsid w:val="0084716A"/>
    <w:rsid w:val="00850300"/>
    <w:rsid w:val="00851D93"/>
    <w:rsid w:val="00852387"/>
    <w:rsid w:val="00855494"/>
    <w:rsid w:val="00863D63"/>
    <w:rsid w:val="0086458A"/>
    <w:rsid w:val="008746C1"/>
    <w:rsid w:val="0087471E"/>
    <w:rsid w:val="00874C51"/>
    <w:rsid w:val="00875D93"/>
    <w:rsid w:val="008809E9"/>
    <w:rsid w:val="0088159E"/>
    <w:rsid w:val="00881EEF"/>
    <w:rsid w:val="00882A3B"/>
    <w:rsid w:val="00883249"/>
    <w:rsid w:val="008867AE"/>
    <w:rsid w:val="00890E1B"/>
    <w:rsid w:val="00890F3D"/>
    <w:rsid w:val="008947FB"/>
    <w:rsid w:val="00895FF3"/>
    <w:rsid w:val="008A14BB"/>
    <w:rsid w:val="008A1A93"/>
    <w:rsid w:val="008A2151"/>
    <w:rsid w:val="008A29DB"/>
    <w:rsid w:val="008A59D8"/>
    <w:rsid w:val="008B1AB3"/>
    <w:rsid w:val="008B34D5"/>
    <w:rsid w:val="008B3A1D"/>
    <w:rsid w:val="008B4B46"/>
    <w:rsid w:val="008B6C30"/>
    <w:rsid w:val="008C59A2"/>
    <w:rsid w:val="008D0A08"/>
    <w:rsid w:val="008D175D"/>
    <w:rsid w:val="008D277E"/>
    <w:rsid w:val="008D3A81"/>
    <w:rsid w:val="008E64F5"/>
    <w:rsid w:val="008E740F"/>
    <w:rsid w:val="008F453D"/>
    <w:rsid w:val="00900955"/>
    <w:rsid w:val="00900F39"/>
    <w:rsid w:val="00914924"/>
    <w:rsid w:val="00914F5E"/>
    <w:rsid w:val="00915BA8"/>
    <w:rsid w:val="00916B16"/>
    <w:rsid w:val="009176A5"/>
    <w:rsid w:val="00920FF8"/>
    <w:rsid w:val="009217BA"/>
    <w:rsid w:val="0092556D"/>
    <w:rsid w:val="0093103D"/>
    <w:rsid w:val="0093235F"/>
    <w:rsid w:val="00935D91"/>
    <w:rsid w:val="00936F65"/>
    <w:rsid w:val="00941968"/>
    <w:rsid w:val="00941BD8"/>
    <w:rsid w:val="00941F75"/>
    <w:rsid w:val="009447E2"/>
    <w:rsid w:val="00945656"/>
    <w:rsid w:val="00946476"/>
    <w:rsid w:val="00950BE2"/>
    <w:rsid w:val="00953385"/>
    <w:rsid w:val="00953BDB"/>
    <w:rsid w:val="0095561A"/>
    <w:rsid w:val="00956E37"/>
    <w:rsid w:val="00956E8F"/>
    <w:rsid w:val="009578DE"/>
    <w:rsid w:val="0096061C"/>
    <w:rsid w:val="00965882"/>
    <w:rsid w:val="00965D78"/>
    <w:rsid w:val="0097330A"/>
    <w:rsid w:val="0097496B"/>
    <w:rsid w:val="00976541"/>
    <w:rsid w:val="009768FE"/>
    <w:rsid w:val="00981FF3"/>
    <w:rsid w:val="00982F06"/>
    <w:rsid w:val="00985F4D"/>
    <w:rsid w:val="009928FC"/>
    <w:rsid w:val="009949F6"/>
    <w:rsid w:val="00995488"/>
    <w:rsid w:val="00996838"/>
    <w:rsid w:val="009A2FA3"/>
    <w:rsid w:val="009A453D"/>
    <w:rsid w:val="009A6CBF"/>
    <w:rsid w:val="009B1A7C"/>
    <w:rsid w:val="009B3B83"/>
    <w:rsid w:val="009B64DA"/>
    <w:rsid w:val="009C028A"/>
    <w:rsid w:val="009C0712"/>
    <w:rsid w:val="009C3AD4"/>
    <w:rsid w:val="009C4E5D"/>
    <w:rsid w:val="009D3D45"/>
    <w:rsid w:val="009D4A49"/>
    <w:rsid w:val="009D50EE"/>
    <w:rsid w:val="009D5CEC"/>
    <w:rsid w:val="009D5EFA"/>
    <w:rsid w:val="009D6156"/>
    <w:rsid w:val="009E0CE5"/>
    <w:rsid w:val="009E1F37"/>
    <w:rsid w:val="009E2C79"/>
    <w:rsid w:val="009E30D3"/>
    <w:rsid w:val="009E3153"/>
    <w:rsid w:val="009F2595"/>
    <w:rsid w:val="009F2F03"/>
    <w:rsid w:val="009F3EC5"/>
    <w:rsid w:val="009F77D3"/>
    <w:rsid w:val="00A042EF"/>
    <w:rsid w:val="00A04497"/>
    <w:rsid w:val="00A07CFE"/>
    <w:rsid w:val="00A11B75"/>
    <w:rsid w:val="00A12558"/>
    <w:rsid w:val="00A15EA3"/>
    <w:rsid w:val="00A20E33"/>
    <w:rsid w:val="00A244F1"/>
    <w:rsid w:val="00A31277"/>
    <w:rsid w:val="00A32562"/>
    <w:rsid w:val="00A33158"/>
    <w:rsid w:val="00A36D61"/>
    <w:rsid w:val="00A373FA"/>
    <w:rsid w:val="00A420AB"/>
    <w:rsid w:val="00A42A8D"/>
    <w:rsid w:val="00A43D6A"/>
    <w:rsid w:val="00A4689D"/>
    <w:rsid w:val="00A47C18"/>
    <w:rsid w:val="00A52D4E"/>
    <w:rsid w:val="00A5483A"/>
    <w:rsid w:val="00A54CF0"/>
    <w:rsid w:val="00A620CB"/>
    <w:rsid w:val="00A626BD"/>
    <w:rsid w:val="00A71B83"/>
    <w:rsid w:val="00A71DC8"/>
    <w:rsid w:val="00A75CAA"/>
    <w:rsid w:val="00A76917"/>
    <w:rsid w:val="00A82428"/>
    <w:rsid w:val="00A82932"/>
    <w:rsid w:val="00A83DAA"/>
    <w:rsid w:val="00A85EA1"/>
    <w:rsid w:val="00A9271A"/>
    <w:rsid w:val="00A9275F"/>
    <w:rsid w:val="00A947A4"/>
    <w:rsid w:val="00AA5E31"/>
    <w:rsid w:val="00AA6900"/>
    <w:rsid w:val="00AA7480"/>
    <w:rsid w:val="00AB0B57"/>
    <w:rsid w:val="00AB301F"/>
    <w:rsid w:val="00AB52DA"/>
    <w:rsid w:val="00AB5E55"/>
    <w:rsid w:val="00AC1B44"/>
    <w:rsid w:val="00AC3803"/>
    <w:rsid w:val="00AC3C5B"/>
    <w:rsid w:val="00AC3CAC"/>
    <w:rsid w:val="00AC5969"/>
    <w:rsid w:val="00AD1D77"/>
    <w:rsid w:val="00AD208D"/>
    <w:rsid w:val="00AD2D21"/>
    <w:rsid w:val="00AD444C"/>
    <w:rsid w:val="00AE37AC"/>
    <w:rsid w:val="00AE5D6F"/>
    <w:rsid w:val="00AE6018"/>
    <w:rsid w:val="00AF036C"/>
    <w:rsid w:val="00AF1D60"/>
    <w:rsid w:val="00AF3D71"/>
    <w:rsid w:val="00AF54C2"/>
    <w:rsid w:val="00AF62AF"/>
    <w:rsid w:val="00AF69F0"/>
    <w:rsid w:val="00B00BFA"/>
    <w:rsid w:val="00B0428B"/>
    <w:rsid w:val="00B065C2"/>
    <w:rsid w:val="00B107B7"/>
    <w:rsid w:val="00B1369F"/>
    <w:rsid w:val="00B16A6A"/>
    <w:rsid w:val="00B21200"/>
    <w:rsid w:val="00B24A29"/>
    <w:rsid w:val="00B36F0F"/>
    <w:rsid w:val="00B40A60"/>
    <w:rsid w:val="00B44BDF"/>
    <w:rsid w:val="00B46F3A"/>
    <w:rsid w:val="00B4734D"/>
    <w:rsid w:val="00B476FE"/>
    <w:rsid w:val="00B47A9A"/>
    <w:rsid w:val="00B63006"/>
    <w:rsid w:val="00B67224"/>
    <w:rsid w:val="00B67263"/>
    <w:rsid w:val="00B71C38"/>
    <w:rsid w:val="00B74554"/>
    <w:rsid w:val="00B771B4"/>
    <w:rsid w:val="00B77572"/>
    <w:rsid w:val="00B81801"/>
    <w:rsid w:val="00B84811"/>
    <w:rsid w:val="00B9017A"/>
    <w:rsid w:val="00B91C04"/>
    <w:rsid w:val="00BA3AA6"/>
    <w:rsid w:val="00BA778C"/>
    <w:rsid w:val="00BA7FBC"/>
    <w:rsid w:val="00BB0AB2"/>
    <w:rsid w:val="00BB1F70"/>
    <w:rsid w:val="00BB57A8"/>
    <w:rsid w:val="00BC06E3"/>
    <w:rsid w:val="00BC3D5A"/>
    <w:rsid w:val="00BC5194"/>
    <w:rsid w:val="00BC774E"/>
    <w:rsid w:val="00BD18BF"/>
    <w:rsid w:val="00BD284D"/>
    <w:rsid w:val="00BE28E1"/>
    <w:rsid w:val="00BE2C3C"/>
    <w:rsid w:val="00BE3280"/>
    <w:rsid w:val="00BE5700"/>
    <w:rsid w:val="00BE5E19"/>
    <w:rsid w:val="00C0323C"/>
    <w:rsid w:val="00C03FA8"/>
    <w:rsid w:val="00C0440D"/>
    <w:rsid w:val="00C048D0"/>
    <w:rsid w:val="00C10448"/>
    <w:rsid w:val="00C10BE0"/>
    <w:rsid w:val="00C12180"/>
    <w:rsid w:val="00C132EF"/>
    <w:rsid w:val="00C13BA5"/>
    <w:rsid w:val="00C14A9D"/>
    <w:rsid w:val="00C14DE3"/>
    <w:rsid w:val="00C15D49"/>
    <w:rsid w:val="00C1730C"/>
    <w:rsid w:val="00C21380"/>
    <w:rsid w:val="00C22DB7"/>
    <w:rsid w:val="00C24648"/>
    <w:rsid w:val="00C25B50"/>
    <w:rsid w:val="00C26BD7"/>
    <w:rsid w:val="00C309AF"/>
    <w:rsid w:val="00C30B4E"/>
    <w:rsid w:val="00C37BE8"/>
    <w:rsid w:val="00C420C7"/>
    <w:rsid w:val="00C4320B"/>
    <w:rsid w:val="00C44413"/>
    <w:rsid w:val="00C44964"/>
    <w:rsid w:val="00C45C2B"/>
    <w:rsid w:val="00C47482"/>
    <w:rsid w:val="00C545E4"/>
    <w:rsid w:val="00C56406"/>
    <w:rsid w:val="00C564DE"/>
    <w:rsid w:val="00C570FA"/>
    <w:rsid w:val="00C57528"/>
    <w:rsid w:val="00C60189"/>
    <w:rsid w:val="00C60A42"/>
    <w:rsid w:val="00C6698F"/>
    <w:rsid w:val="00C67944"/>
    <w:rsid w:val="00C75346"/>
    <w:rsid w:val="00C754FA"/>
    <w:rsid w:val="00C771E9"/>
    <w:rsid w:val="00C80474"/>
    <w:rsid w:val="00C81486"/>
    <w:rsid w:val="00C8393F"/>
    <w:rsid w:val="00C83EAD"/>
    <w:rsid w:val="00C843A4"/>
    <w:rsid w:val="00C8780B"/>
    <w:rsid w:val="00C93198"/>
    <w:rsid w:val="00C9381A"/>
    <w:rsid w:val="00C9753A"/>
    <w:rsid w:val="00CA19FE"/>
    <w:rsid w:val="00CA28A6"/>
    <w:rsid w:val="00CA3F88"/>
    <w:rsid w:val="00CA584F"/>
    <w:rsid w:val="00CA6AF1"/>
    <w:rsid w:val="00CB1916"/>
    <w:rsid w:val="00CB1AEC"/>
    <w:rsid w:val="00CB2BCB"/>
    <w:rsid w:val="00CB558E"/>
    <w:rsid w:val="00CB5CAD"/>
    <w:rsid w:val="00CB6978"/>
    <w:rsid w:val="00CC2CB1"/>
    <w:rsid w:val="00CC3890"/>
    <w:rsid w:val="00CC3B38"/>
    <w:rsid w:val="00CD3077"/>
    <w:rsid w:val="00CD44DE"/>
    <w:rsid w:val="00CD55D1"/>
    <w:rsid w:val="00CD6411"/>
    <w:rsid w:val="00CE1A08"/>
    <w:rsid w:val="00CE2E79"/>
    <w:rsid w:val="00CE458C"/>
    <w:rsid w:val="00CE6746"/>
    <w:rsid w:val="00CF378C"/>
    <w:rsid w:val="00CF73A4"/>
    <w:rsid w:val="00D03069"/>
    <w:rsid w:val="00D043CE"/>
    <w:rsid w:val="00D046A6"/>
    <w:rsid w:val="00D06B48"/>
    <w:rsid w:val="00D114D0"/>
    <w:rsid w:val="00D11C40"/>
    <w:rsid w:val="00D1200C"/>
    <w:rsid w:val="00D12DD6"/>
    <w:rsid w:val="00D13CE4"/>
    <w:rsid w:val="00D14828"/>
    <w:rsid w:val="00D16DB8"/>
    <w:rsid w:val="00D178A7"/>
    <w:rsid w:val="00D21074"/>
    <w:rsid w:val="00D25071"/>
    <w:rsid w:val="00D32D02"/>
    <w:rsid w:val="00D32EB7"/>
    <w:rsid w:val="00D33056"/>
    <w:rsid w:val="00D370F7"/>
    <w:rsid w:val="00D4625D"/>
    <w:rsid w:val="00D52B87"/>
    <w:rsid w:val="00D546B8"/>
    <w:rsid w:val="00D56BA4"/>
    <w:rsid w:val="00D56DDB"/>
    <w:rsid w:val="00D66622"/>
    <w:rsid w:val="00D66E6D"/>
    <w:rsid w:val="00D675B7"/>
    <w:rsid w:val="00D73587"/>
    <w:rsid w:val="00D82BCB"/>
    <w:rsid w:val="00D85580"/>
    <w:rsid w:val="00D85E7E"/>
    <w:rsid w:val="00D86EC5"/>
    <w:rsid w:val="00D915CD"/>
    <w:rsid w:val="00D920EB"/>
    <w:rsid w:val="00D94058"/>
    <w:rsid w:val="00D95316"/>
    <w:rsid w:val="00DA1C4D"/>
    <w:rsid w:val="00DA6CC1"/>
    <w:rsid w:val="00DA7CCD"/>
    <w:rsid w:val="00DB54C6"/>
    <w:rsid w:val="00DC35B7"/>
    <w:rsid w:val="00DC5FD6"/>
    <w:rsid w:val="00DD1334"/>
    <w:rsid w:val="00DD1766"/>
    <w:rsid w:val="00DD43A4"/>
    <w:rsid w:val="00DD47C0"/>
    <w:rsid w:val="00DE1F1F"/>
    <w:rsid w:val="00DE626F"/>
    <w:rsid w:val="00DE6B40"/>
    <w:rsid w:val="00DE751C"/>
    <w:rsid w:val="00DE7521"/>
    <w:rsid w:val="00DE7AFD"/>
    <w:rsid w:val="00DF0985"/>
    <w:rsid w:val="00DF1805"/>
    <w:rsid w:val="00DF2080"/>
    <w:rsid w:val="00DF2114"/>
    <w:rsid w:val="00DF3AC7"/>
    <w:rsid w:val="00DF3E6A"/>
    <w:rsid w:val="00DF658D"/>
    <w:rsid w:val="00DF7950"/>
    <w:rsid w:val="00E02269"/>
    <w:rsid w:val="00E06F35"/>
    <w:rsid w:val="00E07C06"/>
    <w:rsid w:val="00E10142"/>
    <w:rsid w:val="00E1175F"/>
    <w:rsid w:val="00E12537"/>
    <w:rsid w:val="00E134FA"/>
    <w:rsid w:val="00E15D4A"/>
    <w:rsid w:val="00E206F8"/>
    <w:rsid w:val="00E21876"/>
    <w:rsid w:val="00E22507"/>
    <w:rsid w:val="00E22E76"/>
    <w:rsid w:val="00E24C4C"/>
    <w:rsid w:val="00E2710B"/>
    <w:rsid w:val="00E2793B"/>
    <w:rsid w:val="00E34F95"/>
    <w:rsid w:val="00E40B11"/>
    <w:rsid w:val="00E4411B"/>
    <w:rsid w:val="00E4482F"/>
    <w:rsid w:val="00E45417"/>
    <w:rsid w:val="00E4660F"/>
    <w:rsid w:val="00E47A82"/>
    <w:rsid w:val="00E47FB1"/>
    <w:rsid w:val="00E510A9"/>
    <w:rsid w:val="00E53560"/>
    <w:rsid w:val="00E542B7"/>
    <w:rsid w:val="00E579A2"/>
    <w:rsid w:val="00E612EA"/>
    <w:rsid w:val="00E631AA"/>
    <w:rsid w:val="00E64E1A"/>
    <w:rsid w:val="00E65040"/>
    <w:rsid w:val="00E661F7"/>
    <w:rsid w:val="00E7270B"/>
    <w:rsid w:val="00E761EC"/>
    <w:rsid w:val="00E803BA"/>
    <w:rsid w:val="00E823B1"/>
    <w:rsid w:val="00E8274B"/>
    <w:rsid w:val="00E9300D"/>
    <w:rsid w:val="00E935FF"/>
    <w:rsid w:val="00E94EE7"/>
    <w:rsid w:val="00EA226B"/>
    <w:rsid w:val="00EA5BA8"/>
    <w:rsid w:val="00EA7A39"/>
    <w:rsid w:val="00EB00AC"/>
    <w:rsid w:val="00EB0818"/>
    <w:rsid w:val="00EB29C6"/>
    <w:rsid w:val="00EB3569"/>
    <w:rsid w:val="00EB3D31"/>
    <w:rsid w:val="00EC0851"/>
    <w:rsid w:val="00EC3966"/>
    <w:rsid w:val="00EC3C3E"/>
    <w:rsid w:val="00EC4CA0"/>
    <w:rsid w:val="00ED237E"/>
    <w:rsid w:val="00EE166D"/>
    <w:rsid w:val="00EE2AAF"/>
    <w:rsid w:val="00EE3A48"/>
    <w:rsid w:val="00EE4D95"/>
    <w:rsid w:val="00EF3E75"/>
    <w:rsid w:val="00EF620D"/>
    <w:rsid w:val="00F00CFD"/>
    <w:rsid w:val="00F0406B"/>
    <w:rsid w:val="00F04CD9"/>
    <w:rsid w:val="00F07E77"/>
    <w:rsid w:val="00F10E0A"/>
    <w:rsid w:val="00F11A3D"/>
    <w:rsid w:val="00F1687C"/>
    <w:rsid w:val="00F254F8"/>
    <w:rsid w:val="00F26101"/>
    <w:rsid w:val="00F42273"/>
    <w:rsid w:val="00F4239A"/>
    <w:rsid w:val="00F448DC"/>
    <w:rsid w:val="00F544F8"/>
    <w:rsid w:val="00F562A9"/>
    <w:rsid w:val="00F63331"/>
    <w:rsid w:val="00F6571A"/>
    <w:rsid w:val="00F65B24"/>
    <w:rsid w:val="00F65E07"/>
    <w:rsid w:val="00F673B7"/>
    <w:rsid w:val="00F7152C"/>
    <w:rsid w:val="00F7383B"/>
    <w:rsid w:val="00F80338"/>
    <w:rsid w:val="00F80482"/>
    <w:rsid w:val="00F81E44"/>
    <w:rsid w:val="00F825A6"/>
    <w:rsid w:val="00F839CD"/>
    <w:rsid w:val="00F920A0"/>
    <w:rsid w:val="00F927D9"/>
    <w:rsid w:val="00F94071"/>
    <w:rsid w:val="00FA0FC9"/>
    <w:rsid w:val="00FA2422"/>
    <w:rsid w:val="00FB3DFD"/>
    <w:rsid w:val="00FB52C3"/>
    <w:rsid w:val="00FB67B3"/>
    <w:rsid w:val="00FB717C"/>
    <w:rsid w:val="00FC0115"/>
    <w:rsid w:val="00FC21CE"/>
    <w:rsid w:val="00FC3FB9"/>
    <w:rsid w:val="00FD0B90"/>
    <w:rsid w:val="00FD129B"/>
    <w:rsid w:val="00FD2655"/>
    <w:rsid w:val="00FD342B"/>
    <w:rsid w:val="00FD35A7"/>
    <w:rsid w:val="00FD3B9C"/>
    <w:rsid w:val="00FD5CA0"/>
    <w:rsid w:val="00FD68C2"/>
    <w:rsid w:val="00FE199F"/>
    <w:rsid w:val="00FE32AF"/>
    <w:rsid w:val="00FE4705"/>
    <w:rsid w:val="00FE5B36"/>
    <w:rsid w:val="00FF24E7"/>
    <w:rsid w:val="00FF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83F"/>
    <w:rPr>
      <w:rFonts w:ascii="Palatino Linotype" w:hAnsi="Palatino Linotype"/>
      <w:sz w:val="24"/>
      <w:szCs w:val="24"/>
    </w:rPr>
  </w:style>
  <w:style w:type="paragraph" w:styleId="Heading1">
    <w:name w:val="heading 1"/>
    <w:basedOn w:val="Normal"/>
    <w:next w:val="Normal"/>
    <w:qFormat/>
    <w:rsid w:val="0077583F"/>
    <w:pPr>
      <w:keepNext/>
      <w:outlineLvl w:val="0"/>
    </w:pPr>
    <w:rPr>
      <w:rFonts w:ascii="Times New Roman" w:hAnsi="Times New Roman"/>
      <w:b/>
      <w:bCs/>
    </w:rPr>
  </w:style>
  <w:style w:type="paragraph" w:styleId="Heading2">
    <w:name w:val="heading 2"/>
    <w:basedOn w:val="Normal"/>
    <w:next w:val="Normal"/>
    <w:link w:val="Heading2Char"/>
    <w:qFormat/>
    <w:rsid w:val="0077583F"/>
    <w:pPr>
      <w:keepNext/>
      <w:jc w:val="center"/>
      <w:outlineLvl w:val="1"/>
    </w:pPr>
    <w:rPr>
      <w:b/>
      <w:bCs/>
      <w:lang w:val="fr-FR"/>
    </w:rPr>
  </w:style>
  <w:style w:type="paragraph" w:styleId="Heading3">
    <w:name w:val="heading 3"/>
    <w:basedOn w:val="Normal"/>
    <w:next w:val="Normal"/>
    <w:qFormat/>
    <w:rsid w:val="0077583F"/>
    <w:pPr>
      <w:keepNext/>
      <w:outlineLvl w:val="2"/>
    </w:pPr>
    <w:rPr>
      <w:u w:val="single"/>
    </w:rPr>
  </w:style>
  <w:style w:type="paragraph" w:styleId="Heading4">
    <w:name w:val="heading 4"/>
    <w:basedOn w:val="Normal"/>
    <w:next w:val="Normal"/>
    <w:qFormat/>
    <w:rsid w:val="0077583F"/>
    <w:pPr>
      <w:keepNext/>
      <w:widowControl w:val="0"/>
      <w:autoSpaceDE w:val="0"/>
      <w:autoSpaceDN w:val="0"/>
      <w:adjustRightInd w:val="0"/>
      <w:jc w:val="center"/>
      <w:outlineLvl w:val="3"/>
    </w:pPr>
    <w:rPr>
      <w:rFonts w:ascii="Times New Roman" w:hAnsi="Times New Roman"/>
      <w:b/>
      <w:bCs/>
      <w:sz w:val="28"/>
    </w:rPr>
  </w:style>
  <w:style w:type="paragraph" w:styleId="Heading5">
    <w:name w:val="heading 5"/>
    <w:basedOn w:val="Normal"/>
    <w:next w:val="Normal"/>
    <w:link w:val="Heading5Char"/>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4"/>
    </w:pPr>
    <w:rPr>
      <w:rFonts w:ascii="Times New Roman" w:hAnsi="Times New Roman"/>
      <w:b/>
      <w:bCs/>
      <w:u w:val="single"/>
    </w:rPr>
  </w:style>
  <w:style w:type="paragraph" w:styleId="Heading6">
    <w:name w:val="heading 6"/>
    <w:basedOn w:val="Normal"/>
    <w:next w:val="Normal"/>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5"/>
    </w:pPr>
    <w:rPr>
      <w:rFonts w:ascii="Times New Roman" w:hAnsi="Times New Roman"/>
      <w:b/>
      <w:bCs/>
      <w:sz w:val="28"/>
    </w:rPr>
  </w:style>
  <w:style w:type="paragraph" w:styleId="Heading7">
    <w:name w:val="heading 7"/>
    <w:basedOn w:val="Normal"/>
    <w:next w:val="Normal"/>
    <w:qFormat/>
    <w:rsid w:val="0077583F"/>
    <w:pPr>
      <w:keepNext/>
      <w:jc w:val="center"/>
      <w:outlineLvl w:val="6"/>
    </w:pPr>
    <w:rPr>
      <w:b/>
      <w:bCs/>
      <w:u w:val="single"/>
    </w:rPr>
  </w:style>
  <w:style w:type="paragraph" w:styleId="Heading8">
    <w:name w:val="heading 8"/>
    <w:basedOn w:val="Normal"/>
    <w:next w:val="Normal"/>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7"/>
    </w:pPr>
    <w:rPr>
      <w:rFonts w:ascii="Times New Roman" w:hAnsi="Times New Roman"/>
      <w:i/>
      <w:iCs/>
    </w:rPr>
  </w:style>
  <w:style w:type="paragraph" w:styleId="Heading9">
    <w:name w:val="heading 9"/>
    <w:basedOn w:val="Normal"/>
    <w:next w:val="Normal"/>
    <w:qFormat/>
    <w:rsid w:val="0077583F"/>
    <w:pPr>
      <w:keepNext/>
      <w:keepLines/>
      <w:autoSpaceDE w:val="0"/>
      <w:autoSpaceDN w:val="0"/>
      <w:adjustRightInd w:val="0"/>
      <w:spacing w:line="240" w:lineRule="atLeast"/>
      <w:ind w:left="15"/>
      <w:jc w:val="center"/>
      <w:outlineLvl w:val="8"/>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7583F"/>
    <w:pPr>
      <w:widowControl w:val="0"/>
      <w:autoSpaceDE w:val="0"/>
      <w:autoSpaceDN w:val="0"/>
      <w:adjustRightInd w:val="0"/>
      <w:ind w:left="720"/>
    </w:pPr>
    <w:rPr>
      <w:rFonts w:ascii="Times New Roman" w:hAnsi="Times New Roman"/>
    </w:rPr>
  </w:style>
  <w:style w:type="paragraph" w:styleId="FootnoteText">
    <w:name w:val="footnote text"/>
    <w:basedOn w:val="Normal"/>
    <w:link w:val="FootnoteTextChar"/>
    <w:semiHidden/>
    <w:rsid w:val="0077583F"/>
    <w:rPr>
      <w:sz w:val="20"/>
      <w:szCs w:val="20"/>
    </w:rPr>
  </w:style>
  <w:style w:type="character" w:styleId="FootnoteReference">
    <w:name w:val="footnote reference"/>
    <w:basedOn w:val="DefaultParagraphFont"/>
    <w:semiHidden/>
    <w:rsid w:val="0077583F"/>
    <w:rPr>
      <w:vertAlign w:val="superscript"/>
    </w:rPr>
  </w:style>
  <w:style w:type="paragraph" w:styleId="Header">
    <w:name w:val="header"/>
    <w:basedOn w:val="Normal"/>
    <w:link w:val="HeaderChar"/>
    <w:uiPriority w:val="99"/>
    <w:rsid w:val="0077583F"/>
    <w:pPr>
      <w:tabs>
        <w:tab w:val="center" w:pos="4320"/>
        <w:tab w:val="right" w:pos="8640"/>
      </w:tabs>
    </w:pPr>
  </w:style>
  <w:style w:type="paragraph" w:styleId="Footer">
    <w:name w:val="footer"/>
    <w:basedOn w:val="Normal"/>
    <w:link w:val="FooterChar"/>
    <w:uiPriority w:val="99"/>
    <w:rsid w:val="0077583F"/>
    <w:pPr>
      <w:tabs>
        <w:tab w:val="center" w:pos="4320"/>
        <w:tab w:val="right" w:pos="8640"/>
      </w:tabs>
    </w:pPr>
  </w:style>
  <w:style w:type="paragraph" w:customStyle="1" w:styleId="Findings">
    <w:name w:val="Findings"/>
    <w:basedOn w:val="Normal"/>
    <w:rsid w:val="0077583F"/>
    <w:pPr>
      <w:numPr>
        <w:numId w:val="1"/>
      </w:numPr>
    </w:pPr>
    <w:rPr>
      <w:rFonts w:ascii="Times New Roman" w:hAnsi="Times New Roman"/>
      <w:szCs w:val="20"/>
    </w:rPr>
  </w:style>
  <w:style w:type="paragraph" w:styleId="BodyTextIndent3">
    <w:name w:val="Body Text Indent 3"/>
    <w:basedOn w:val="Normal"/>
    <w:rsid w:val="0077583F"/>
    <w:pPr>
      <w:ind w:left="1080"/>
    </w:pPr>
  </w:style>
  <w:style w:type="paragraph" w:styleId="BodyTextIndent2">
    <w:name w:val="Body Text Indent 2"/>
    <w:basedOn w:val="Normal"/>
    <w:rsid w:val="0077583F"/>
    <w:pPr>
      <w:tabs>
        <w:tab w:val="num" w:pos="0"/>
      </w:tabs>
      <w:ind w:left="-720"/>
    </w:pPr>
  </w:style>
  <w:style w:type="character" w:styleId="PageNumber">
    <w:name w:val="page number"/>
    <w:basedOn w:val="DefaultParagraphFont"/>
    <w:rsid w:val="0077583F"/>
  </w:style>
  <w:style w:type="paragraph" w:styleId="BodyText">
    <w:name w:val="Body Text"/>
    <w:basedOn w:val="Normal"/>
    <w:link w:val="BodyTextChar"/>
    <w:rsid w:val="0077583F"/>
    <w:pPr>
      <w:widowControl w:val="0"/>
      <w:autoSpaceDE w:val="0"/>
      <w:autoSpaceDN w:val="0"/>
      <w:adjustRightInd w:val="0"/>
    </w:pPr>
    <w:rPr>
      <w:rFonts w:ascii="Times New Roman" w:hAnsi="Times New Roman"/>
    </w:rPr>
  </w:style>
  <w:style w:type="paragraph" w:styleId="BodyText2">
    <w:name w:val="Body Text 2"/>
    <w:basedOn w:val="Normal"/>
    <w:link w:val="BodyText2Char"/>
    <w:rsid w:val="0077583F"/>
    <w:rPr>
      <w:rFonts w:ascii="Times New Roman" w:hAnsi="Times New Roman"/>
      <w:b/>
      <w:bCs/>
      <w:i/>
      <w:iCs/>
    </w:rPr>
  </w:style>
  <w:style w:type="paragraph" w:styleId="Title">
    <w:name w:val="Title"/>
    <w:basedOn w:val="Normal"/>
    <w:qFormat/>
    <w:rsid w:val="0077583F"/>
    <w:pPr>
      <w:jc w:val="center"/>
    </w:pPr>
    <w:rPr>
      <w:rFonts w:ascii="Times New Roman" w:hAnsi="Times New Roman"/>
      <w:b/>
      <w:bCs/>
      <w:u w:val="single"/>
    </w:rPr>
  </w:style>
  <w:style w:type="paragraph" w:styleId="BodyText3">
    <w:name w:val="Body Text 3"/>
    <w:basedOn w:val="Normal"/>
    <w:link w:val="BodyText3Char"/>
    <w:rsid w:val="0077583F"/>
    <w:rPr>
      <w:i/>
      <w:iCs/>
    </w:rPr>
  </w:style>
  <w:style w:type="character" w:styleId="Hyperlink">
    <w:name w:val="Hyperlink"/>
    <w:basedOn w:val="DefaultParagraphFont"/>
    <w:rsid w:val="0077583F"/>
    <w:rPr>
      <w:color w:val="0000FF"/>
      <w:u w:val="single"/>
    </w:rPr>
  </w:style>
  <w:style w:type="character" w:styleId="Emphasis">
    <w:name w:val="Emphasis"/>
    <w:basedOn w:val="DefaultParagraphFont"/>
    <w:uiPriority w:val="20"/>
    <w:qFormat/>
    <w:rsid w:val="0077583F"/>
    <w:rPr>
      <w:i/>
      <w:iCs/>
    </w:rPr>
  </w:style>
  <w:style w:type="paragraph" w:customStyle="1" w:styleId="Level1">
    <w:name w:val="Level 1"/>
    <w:basedOn w:val="Normal"/>
    <w:rsid w:val="0077583F"/>
    <w:pPr>
      <w:widowControl w:val="0"/>
      <w:autoSpaceDE w:val="0"/>
      <w:autoSpaceDN w:val="0"/>
      <w:adjustRightInd w:val="0"/>
      <w:ind w:left="1440" w:hanging="720"/>
    </w:pPr>
    <w:rPr>
      <w:rFonts w:ascii="Arial" w:hAnsi="Arial"/>
      <w:sz w:val="20"/>
    </w:rPr>
  </w:style>
  <w:style w:type="character" w:styleId="FollowedHyperlink">
    <w:name w:val="FollowedHyperlink"/>
    <w:basedOn w:val="DefaultParagraphFont"/>
    <w:rsid w:val="0077583F"/>
    <w:rPr>
      <w:color w:val="800080"/>
      <w:u w:val="single"/>
    </w:rPr>
  </w:style>
  <w:style w:type="paragraph" w:customStyle="1" w:styleId="TariffNormalText">
    <w:name w:val="Tariff Normal Text"/>
    <w:basedOn w:val="Normal"/>
    <w:rsid w:val="0077583F"/>
    <w:pPr>
      <w:widowControl w:val="0"/>
      <w:numPr>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Pr>
      <w:rFonts w:ascii="Arial" w:hAnsi="Arial" w:cs="Arial"/>
    </w:rPr>
  </w:style>
  <w:style w:type="paragraph" w:styleId="Caption">
    <w:name w:val="caption"/>
    <w:basedOn w:val="Normal"/>
    <w:next w:val="Normal"/>
    <w:qFormat/>
    <w:rsid w:val="0077583F"/>
    <w:rPr>
      <w:b/>
      <w:bCs/>
    </w:rPr>
  </w:style>
  <w:style w:type="paragraph" w:customStyle="1" w:styleId="a">
    <w:name w:val="_"/>
    <w:basedOn w:val="Normal"/>
    <w:rsid w:val="0077583F"/>
    <w:pPr>
      <w:widowControl w:val="0"/>
      <w:autoSpaceDE w:val="0"/>
      <w:autoSpaceDN w:val="0"/>
      <w:adjustRightInd w:val="0"/>
      <w:ind w:left="720" w:hanging="720"/>
    </w:pPr>
    <w:rPr>
      <w:rFonts w:ascii="Arial" w:hAnsi="Arial"/>
      <w:sz w:val="20"/>
    </w:rPr>
  </w:style>
  <w:style w:type="paragraph" w:styleId="BlockText">
    <w:name w:val="Block Text"/>
    <w:basedOn w:val="Normal"/>
    <w:rsid w:val="0077583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line="20" w:lineRule="atLeast"/>
      <w:ind w:left="720" w:right="-54"/>
    </w:pPr>
    <w:rPr>
      <w:rFonts w:cs="Arial"/>
      <w:kern w:val="2"/>
      <w:szCs w:val="20"/>
    </w:rPr>
  </w:style>
  <w:style w:type="table" w:styleId="TableGrid">
    <w:name w:val="Table Grid"/>
    <w:basedOn w:val="TableNormal"/>
    <w:rsid w:val="006F5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4D43D5"/>
    <w:rPr>
      <w:sz w:val="20"/>
      <w:szCs w:val="20"/>
    </w:rPr>
  </w:style>
  <w:style w:type="character" w:customStyle="1" w:styleId="EndnoteTextChar">
    <w:name w:val="Endnote Text Char"/>
    <w:basedOn w:val="DefaultParagraphFont"/>
    <w:link w:val="EndnoteText"/>
    <w:rsid w:val="004D43D5"/>
    <w:rPr>
      <w:rFonts w:ascii="Palatino Linotype" w:hAnsi="Palatino Linotype"/>
    </w:rPr>
  </w:style>
  <w:style w:type="character" w:styleId="EndnoteReference">
    <w:name w:val="endnote reference"/>
    <w:basedOn w:val="DefaultParagraphFont"/>
    <w:rsid w:val="004D43D5"/>
    <w:rPr>
      <w:vertAlign w:val="superscript"/>
    </w:rPr>
  </w:style>
  <w:style w:type="character" w:customStyle="1" w:styleId="BodyTextChar">
    <w:name w:val="Body Text Char"/>
    <w:basedOn w:val="DefaultParagraphFont"/>
    <w:link w:val="BodyText"/>
    <w:rsid w:val="00E40B11"/>
    <w:rPr>
      <w:sz w:val="24"/>
      <w:szCs w:val="24"/>
    </w:rPr>
  </w:style>
  <w:style w:type="character" w:customStyle="1" w:styleId="HeaderChar">
    <w:name w:val="Header Char"/>
    <w:basedOn w:val="DefaultParagraphFont"/>
    <w:link w:val="Header"/>
    <w:uiPriority w:val="99"/>
    <w:rsid w:val="00EF3E75"/>
    <w:rPr>
      <w:rFonts w:ascii="Palatino Linotype" w:hAnsi="Palatino Linotype"/>
      <w:sz w:val="24"/>
      <w:szCs w:val="24"/>
    </w:rPr>
  </w:style>
  <w:style w:type="paragraph" w:styleId="BalloonText">
    <w:name w:val="Balloon Text"/>
    <w:basedOn w:val="Normal"/>
    <w:link w:val="BalloonTextChar"/>
    <w:rsid w:val="00EF3E75"/>
    <w:rPr>
      <w:rFonts w:ascii="Tahoma" w:hAnsi="Tahoma" w:cs="Tahoma"/>
      <w:sz w:val="16"/>
      <w:szCs w:val="16"/>
    </w:rPr>
  </w:style>
  <w:style w:type="character" w:customStyle="1" w:styleId="BalloonTextChar">
    <w:name w:val="Balloon Text Char"/>
    <w:basedOn w:val="DefaultParagraphFont"/>
    <w:link w:val="BalloonText"/>
    <w:rsid w:val="00EF3E75"/>
    <w:rPr>
      <w:rFonts w:ascii="Tahoma" w:hAnsi="Tahoma" w:cs="Tahoma"/>
      <w:sz w:val="16"/>
      <w:szCs w:val="16"/>
    </w:rPr>
  </w:style>
  <w:style w:type="character" w:customStyle="1" w:styleId="FooterChar">
    <w:name w:val="Footer Char"/>
    <w:basedOn w:val="DefaultParagraphFont"/>
    <w:link w:val="Footer"/>
    <w:uiPriority w:val="99"/>
    <w:rsid w:val="00EF3E75"/>
    <w:rPr>
      <w:rFonts w:ascii="Palatino Linotype" w:hAnsi="Palatino Linotype"/>
      <w:sz w:val="24"/>
      <w:szCs w:val="24"/>
    </w:rPr>
  </w:style>
  <w:style w:type="paragraph" w:styleId="ListParagraph">
    <w:name w:val="List Paragraph"/>
    <w:basedOn w:val="Normal"/>
    <w:uiPriority w:val="34"/>
    <w:qFormat/>
    <w:rsid w:val="00B63006"/>
    <w:pPr>
      <w:ind w:left="720"/>
      <w:contextualSpacing/>
    </w:pPr>
  </w:style>
  <w:style w:type="character" w:customStyle="1" w:styleId="Heading5Char">
    <w:name w:val="Heading 5 Char"/>
    <w:basedOn w:val="DefaultParagraphFont"/>
    <w:link w:val="Heading5"/>
    <w:rsid w:val="00CD55D1"/>
    <w:rPr>
      <w:b/>
      <w:bCs/>
      <w:sz w:val="24"/>
      <w:szCs w:val="24"/>
      <w:u w:val="single"/>
    </w:rPr>
  </w:style>
  <w:style w:type="character" w:customStyle="1" w:styleId="FootnoteTextChar">
    <w:name w:val="Footnote Text Char"/>
    <w:basedOn w:val="DefaultParagraphFont"/>
    <w:link w:val="FootnoteText"/>
    <w:semiHidden/>
    <w:rsid w:val="00C14A9D"/>
    <w:rPr>
      <w:rFonts w:ascii="Palatino Linotype" w:hAnsi="Palatino Linotype"/>
    </w:rPr>
  </w:style>
  <w:style w:type="character" w:customStyle="1" w:styleId="BodyText2Char">
    <w:name w:val="Body Text 2 Char"/>
    <w:basedOn w:val="DefaultParagraphFont"/>
    <w:link w:val="BodyText2"/>
    <w:rsid w:val="00C14A9D"/>
    <w:rPr>
      <w:b/>
      <w:bCs/>
      <w:i/>
      <w:iCs/>
      <w:sz w:val="24"/>
      <w:szCs w:val="24"/>
    </w:rPr>
  </w:style>
  <w:style w:type="character" w:customStyle="1" w:styleId="BodyText3Char">
    <w:name w:val="Body Text 3 Char"/>
    <w:basedOn w:val="DefaultParagraphFont"/>
    <w:link w:val="BodyText3"/>
    <w:rsid w:val="00C14A9D"/>
    <w:rPr>
      <w:rFonts w:ascii="Palatino Linotype" w:hAnsi="Palatino Linotype"/>
      <w:i/>
      <w:iCs/>
      <w:sz w:val="24"/>
      <w:szCs w:val="24"/>
    </w:rPr>
  </w:style>
  <w:style w:type="paragraph" w:styleId="PlainText">
    <w:name w:val="Plain Text"/>
    <w:basedOn w:val="Normal"/>
    <w:link w:val="PlainTextChar"/>
    <w:uiPriority w:val="99"/>
    <w:unhideWhenUsed/>
    <w:rsid w:val="00E510A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510A9"/>
    <w:rPr>
      <w:rFonts w:ascii="Consolas" w:eastAsiaTheme="minorHAnsi" w:hAnsi="Consolas" w:cstheme="minorBidi"/>
      <w:sz w:val="21"/>
      <w:szCs w:val="21"/>
    </w:rPr>
  </w:style>
  <w:style w:type="paragraph" w:styleId="NormalWeb">
    <w:name w:val="Normal (Web)"/>
    <w:basedOn w:val="Normal"/>
    <w:uiPriority w:val="99"/>
    <w:unhideWhenUsed/>
    <w:rsid w:val="00EE166D"/>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C75346"/>
    <w:rPr>
      <w:rFonts w:ascii="Palatino Linotype" w:hAnsi="Palatino Linotype"/>
      <w:b/>
      <w:bCs/>
      <w:sz w:val="24"/>
      <w:szCs w:val="24"/>
      <w:lang w:val="fr-FR"/>
    </w:rPr>
  </w:style>
  <w:style w:type="character" w:customStyle="1" w:styleId="BodyTextIndentChar">
    <w:name w:val="Body Text Indent Char"/>
    <w:basedOn w:val="DefaultParagraphFont"/>
    <w:link w:val="BodyTextIndent"/>
    <w:rsid w:val="00C75346"/>
    <w:rPr>
      <w:sz w:val="24"/>
      <w:szCs w:val="24"/>
    </w:rPr>
  </w:style>
  <w:style w:type="paragraph" w:styleId="NoSpacing">
    <w:name w:val="No Spacing"/>
    <w:basedOn w:val="Normal"/>
    <w:uiPriority w:val="1"/>
    <w:qFormat/>
    <w:rsid w:val="00547F30"/>
    <w:rPr>
      <w:rFonts w:ascii="Calibri" w:hAnsi="Calibri"/>
      <w:sz w:val="22"/>
      <w:szCs w:val="22"/>
      <w:lang w:bidi="en-US"/>
    </w:rPr>
  </w:style>
  <w:style w:type="character" w:styleId="CommentReference">
    <w:name w:val="annotation reference"/>
    <w:basedOn w:val="DefaultParagraphFont"/>
    <w:rsid w:val="00941968"/>
    <w:rPr>
      <w:sz w:val="16"/>
      <w:szCs w:val="16"/>
    </w:rPr>
  </w:style>
  <w:style w:type="paragraph" w:styleId="CommentText">
    <w:name w:val="annotation text"/>
    <w:basedOn w:val="Normal"/>
    <w:link w:val="CommentTextChar"/>
    <w:rsid w:val="00941968"/>
    <w:rPr>
      <w:sz w:val="20"/>
      <w:szCs w:val="20"/>
    </w:rPr>
  </w:style>
  <w:style w:type="character" w:customStyle="1" w:styleId="CommentTextChar">
    <w:name w:val="Comment Text Char"/>
    <w:basedOn w:val="DefaultParagraphFont"/>
    <w:link w:val="CommentText"/>
    <w:rsid w:val="00941968"/>
    <w:rPr>
      <w:rFonts w:ascii="Palatino Linotype" w:hAnsi="Palatino Linotype"/>
    </w:rPr>
  </w:style>
  <w:style w:type="paragraph" w:styleId="CommentSubject">
    <w:name w:val="annotation subject"/>
    <w:basedOn w:val="CommentText"/>
    <w:next w:val="CommentText"/>
    <w:link w:val="CommentSubjectChar"/>
    <w:rsid w:val="00941968"/>
    <w:rPr>
      <w:b/>
      <w:bCs/>
    </w:rPr>
  </w:style>
  <w:style w:type="character" w:customStyle="1" w:styleId="CommentSubjectChar">
    <w:name w:val="Comment Subject Char"/>
    <w:basedOn w:val="CommentTextChar"/>
    <w:link w:val="CommentSubject"/>
    <w:rsid w:val="00941968"/>
    <w:rPr>
      <w:rFonts w:ascii="Palatino Linotype" w:hAnsi="Palatino Linotype"/>
      <w:b/>
      <w:bCs/>
    </w:rPr>
  </w:style>
  <w:style w:type="paragraph" w:styleId="Revision">
    <w:name w:val="Revision"/>
    <w:hidden/>
    <w:uiPriority w:val="99"/>
    <w:semiHidden/>
    <w:rsid w:val="00941968"/>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5477">
      <w:bodyDiv w:val="1"/>
      <w:marLeft w:val="0"/>
      <w:marRight w:val="0"/>
      <w:marTop w:val="0"/>
      <w:marBottom w:val="0"/>
      <w:divBdr>
        <w:top w:val="none" w:sz="0" w:space="0" w:color="auto"/>
        <w:left w:val="none" w:sz="0" w:space="0" w:color="auto"/>
        <w:bottom w:val="none" w:sz="0" w:space="0" w:color="auto"/>
        <w:right w:val="none" w:sz="0" w:space="0" w:color="auto"/>
      </w:divBdr>
    </w:div>
    <w:div w:id="317467251">
      <w:bodyDiv w:val="1"/>
      <w:marLeft w:val="0"/>
      <w:marRight w:val="0"/>
      <w:marTop w:val="0"/>
      <w:marBottom w:val="0"/>
      <w:divBdr>
        <w:top w:val="none" w:sz="0" w:space="0" w:color="auto"/>
        <w:left w:val="none" w:sz="0" w:space="0" w:color="auto"/>
        <w:bottom w:val="none" w:sz="0" w:space="0" w:color="auto"/>
        <w:right w:val="none" w:sz="0" w:space="0" w:color="auto"/>
      </w:divBdr>
    </w:div>
    <w:div w:id="384258929">
      <w:bodyDiv w:val="1"/>
      <w:marLeft w:val="0"/>
      <w:marRight w:val="0"/>
      <w:marTop w:val="0"/>
      <w:marBottom w:val="0"/>
      <w:divBdr>
        <w:top w:val="none" w:sz="0" w:space="0" w:color="auto"/>
        <w:left w:val="none" w:sz="0" w:space="0" w:color="auto"/>
        <w:bottom w:val="none" w:sz="0" w:space="0" w:color="auto"/>
        <w:right w:val="none" w:sz="0" w:space="0" w:color="auto"/>
      </w:divBdr>
    </w:div>
    <w:div w:id="475996194">
      <w:bodyDiv w:val="1"/>
      <w:marLeft w:val="0"/>
      <w:marRight w:val="0"/>
      <w:marTop w:val="0"/>
      <w:marBottom w:val="0"/>
      <w:divBdr>
        <w:top w:val="none" w:sz="0" w:space="0" w:color="auto"/>
        <w:left w:val="none" w:sz="0" w:space="0" w:color="auto"/>
        <w:bottom w:val="none" w:sz="0" w:space="0" w:color="auto"/>
        <w:right w:val="none" w:sz="0" w:space="0" w:color="auto"/>
      </w:divBdr>
    </w:div>
    <w:div w:id="875502979">
      <w:bodyDiv w:val="1"/>
      <w:marLeft w:val="0"/>
      <w:marRight w:val="0"/>
      <w:marTop w:val="0"/>
      <w:marBottom w:val="0"/>
      <w:divBdr>
        <w:top w:val="none" w:sz="0" w:space="0" w:color="auto"/>
        <w:left w:val="none" w:sz="0" w:space="0" w:color="auto"/>
        <w:bottom w:val="none" w:sz="0" w:space="0" w:color="auto"/>
        <w:right w:val="none" w:sz="0" w:space="0" w:color="auto"/>
      </w:divBdr>
    </w:div>
    <w:div w:id="1898392215">
      <w:bodyDiv w:val="1"/>
      <w:marLeft w:val="0"/>
      <w:marRight w:val="0"/>
      <w:marTop w:val="0"/>
      <w:marBottom w:val="0"/>
      <w:divBdr>
        <w:top w:val="none" w:sz="0" w:space="0" w:color="auto"/>
        <w:left w:val="none" w:sz="0" w:space="0" w:color="auto"/>
        <w:bottom w:val="none" w:sz="0" w:space="0" w:color="auto"/>
        <w:right w:val="none" w:sz="0" w:space="0" w:color="auto"/>
      </w:divBdr>
    </w:div>
    <w:div w:id="18995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mover"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ustomXml" Target="../customXml/item5.xml"/><Relationship Id="rId10" Type="http://schemas.openxmlformats.org/officeDocument/2006/relationships/hyperlink" Target="http://www.utc.wa.gov/move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2012-02-27T08:00:00+00:00</OpenedDate>
    <Date1 xmlns="dc463f71-b30c-4ab2-9473-d307f9d35888">2012-04-04T07:00:00+00:00</Date1>
    <IsDocumentOrder xmlns="dc463f71-b30c-4ab2-9473-d307f9d35888">true</IsDocumentOrder>
    <IsHighlyConfidential xmlns="dc463f71-b30c-4ab2-9473-d307f9d35888">false</IsHighlyConfidential>
    <CaseCompanyNames xmlns="dc463f71-b30c-4ab2-9473-d307f9d35888">LINCOLN MOVING &amp; STORAGE CO INC</CaseCompanyNames>
    <DocketNumber xmlns="dc463f71-b30c-4ab2-9473-d307f9d35888">120257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B3D05FABE71148AC119A8E0EDCC271" ma:contentTypeVersion="139" ma:contentTypeDescription="" ma:contentTypeScope="" ma:versionID="66595e4f55b67f7d3e4886ff9de7eb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F3568-3A4B-418D-904D-05575B7E6927}"/>
</file>

<file path=customXml/itemProps2.xml><?xml version="1.0" encoding="utf-8"?>
<ds:datastoreItem xmlns:ds="http://schemas.openxmlformats.org/officeDocument/2006/customXml" ds:itemID="{CA82F65C-C1CF-4C99-8EED-B3DF180E89A4}"/>
</file>

<file path=customXml/itemProps3.xml><?xml version="1.0" encoding="utf-8"?>
<ds:datastoreItem xmlns:ds="http://schemas.openxmlformats.org/officeDocument/2006/customXml" ds:itemID="{3A8AC672-A75E-4F72-AFD2-39CF2DCFB0CF}"/>
</file>

<file path=customXml/itemProps4.xml><?xml version="1.0" encoding="utf-8"?>
<ds:datastoreItem xmlns:ds="http://schemas.openxmlformats.org/officeDocument/2006/customXml" ds:itemID="{1D649237-7277-4654-B649-57F57D38510E}"/>
</file>

<file path=customXml/itemProps5.xml><?xml version="1.0" encoding="utf-8"?>
<ds:datastoreItem xmlns:ds="http://schemas.openxmlformats.org/officeDocument/2006/customXml" ds:itemID="{CC39B645-A7BA-41A0-BFE8-260428ECA20D}"/>
</file>

<file path=docProps/app.xml><?xml version="1.0" encoding="utf-8"?>
<Properties xmlns="http://schemas.openxmlformats.org/officeDocument/2006/extended-properties" xmlns:vt="http://schemas.openxmlformats.org/officeDocument/2006/docPropsVTypes">
  <Template>Normal.dotm</Template>
  <TotalTime>0</TotalTime>
  <Pages>22</Pages>
  <Words>4103</Words>
  <Characters>23389</Characters>
  <Application>Microsoft Office Word</Application>
  <DocSecurity>2</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27438</CharactersWithSpaces>
  <SharedDoc>false</SharedDoc>
  <HLinks>
    <vt:vector size="6" baseType="variant">
      <vt:variant>
        <vt:i4>7143488</vt:i4>
      </vt:variant>
      <vt:variant>
        <vt:i4>0</vt:i4>
      </vt:variant>
      <vt:variant>
        <vt:i4>0</vt:i4>
      </vt:variant>
      <vt:variant>
        <vt:i4>5</vt:i4>
      </vt:variant>
      <vt:variant>
        <vt:lpwstr>mailto:Bumblebeemoving@verizon.net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2012-02-23T22:26:00Z</dcterms:created>
  <dcterms:modified xsi:type="dcterms:W3CDTF">2012-04-02T16:42:00Z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0x0101006E56B4D1795A2E4DB2F0B01679ED314A00B0B3D05FABE71148AC119A8E0EDCC271</vt:lpwstr>
  </property>
  <property fmtid="{D5CDD505-2E9C-101B-9397-08002B2CF9AE}" pid="3" name="_docset_NoMedatataSyncRequired">
    <vt:lpwstr>False</vt:lpwstr>
  </property>
</Properties>
</file>