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164"/>
        <w:tblW w:w="9576" w:type="dxa"/>
        <w:tblBorders>
          <w:insideH w:val="single" w:sz="4" w:space="0" w:color="auto"/>
        </w:tblBorders>
        <w:tblLayout w:type="fixed"/>
        <w:tblLook w:val="0000"/>
      </w:tblPr>
      <w:tblGrid>
        <w:gridCol w:w="4788"/>
        <w:gridCol w:w="4788"/>
      </w:tblGrid>
      <w:tr w:rsidR="007D292A" w:rsidRPr="001E7615" w:rsidTr="007D292A">
        <w:trPr>
          <w:trHeight w:val="631"/>
        </w:trPr>
        <w:tc>
          <w:tcPr>
            <w:tcW w:w="4788" w:type="dxa"/>
          </w:tcPr>
          <w:p w:rsidR="007D292A" w:rsidRPr="001E7615" w:rsidRDefault="007D292A" w:rsidP="007D292A">
            <w:pPr>
              <w:pStyle w:val="Header"/>
              <w:ind w:right="-360"/>
              <w:rPr>
                <w:b/>
                <w:bCs/>
              </w:rPr>
            </w:pPr>
            <w:r w:rsidRPr="001E7615">
              <w:rPr>
                <w:b/>
                <w:bCs/>
              </w:rPr>
              <w:t>Avista Corp.</w:t>
            </w:r>
          </w:p>
          <w:p w:rsidR="007D292A" w:rsidRPr="001E7615" w:rsidRDefault="007D292A" w:rsidP="007D292A">
            <w:pPr>
              <w:pStyle w:val="Header"/>
              <w:ind w:right="-360"/>
            </w:pPr>
            <w:r w:rsidRPr="001E7615">
              <w:t xml:space="preserve">1411 </w:t>
            </w:r>
            <w:smartTag w:uri="urn:schemas-microsoft-com:office:smarttags" w:element="place">
              <w:r w:rsidRPr="001E7615">
                <w:t>East Mission</w:t>
              </w:r>
            </w:smartTag>
            <w:r w:rsidRPr="001E7615">
              <w:t xml:space="preserve">   P.O. Box 3727</w:t>
            </w:r>
          </w:p>
          <w:p w:rsidR="007D292A" w:rsidRPr="001E7615" w:rsidRDefault="007D292A" w:rsidP="007D292A">
            <w:pPr>
              <w:pStyle w:val="Header"/>
              <w:ind w:right="-360"/>
            </w:pPr>
            <w:smartTag w:uri="urn:schemas-microsoft-com:office:smarttags" w:element="place">
              <w:smartTag w:uri="urn:schemas-microsoft-com:office:smarttags" w:element="City">
                <w:r w:rsidRPr="001E7615">
                  <w:t>Spokane</w:t>
                </w:r>
              </w:smartTag>
            </w:smartTag>
            <w:r w:rsidRPr="001E7615">
              <w:t xml:space="preserve">. </w:t>
            </w:r>
            <w:smartTag w:uri="urn:schemas-microsoft-com:office:smarttags" w:element="place">
              <w:smartTag w:uri="urn:schemas-microsoft-com:office:smarttags" w:element="State">
                <w:r w:rsidRPr="001E7615">
                  <w:t>Washington</w:t>
                </w:r>
              </w:smartTag>
            </w:smartTag>
            <w:r w:rsidRPr="001E7615">
              <w:t xml:space="preserve">  99220-0500</w:t>
            </w:r>
          </w:p>
          <w:p w:rsidR="007D292A" w:rsidRPr="001E7615" w:rsidRDefault="007D292A" w:rsidP="007D292A">
            <w:pPr>
              <w:pStyle w:val="Header"/>
              <w:ind w:right="-360"/>
            </w:pPr>
            <w:r w:rsidRPr="001E7615">
              <w:t>Telephone 509-489-0500</w:t>
            </w:r>
          </w:p>
          <w:p w:rsidR="007D292A" w:rsidRPr="001E7615" w:rsidRDefault="007D292A" w:rsidP="007D292A">
            <w:pPr>
              <w:pStyle w:val="Header"/>
              <w:ind w:right="-360"/>
            </w:pPr>
            <w:r w:rsidRPr="001E7615">
              <w:t>Toll Free   800-727-9170</w:t>
            </w:r>
          </w:p>
          <w:p w:rsidR="007D292A" w:rsidRPr="001E7615" w:rsidRDefault="007D292A" w:rsidP="007D292A">
            <w:pPr>
              <w:pStyle w:val="Header"/>
              <w:ind w:right="-360"/>
              <w:rPr>
                <w:b/>
                <w:bCs/>
              </w:rPr>
            </w:pPr>
          </w:p>
        </w:tc>
        <w:tc>
          <w:tcPr>
            <w:tcW w:w="4788" w:type="dxa"/>
          </w:tcPr>
          <w:p w:rsidR="007D292A" w:rsidRPr="001E7615" w:rsidRDefault="007D292A" w:rsidP="007D292A">
            <w:pPr>
              <w:pStyle w:val="Header"/>
              <w:tabs>
                <w:tab w:val="left" w:pos="2232"/>
              </w:tabs>
              <w:ind w:right="-360"/>
              <w:rPr>
                <w:b/>
                <w:bCs/>
              </w:rPr>
            </w:pPr>
            <w:r w:rsidRPr="001E7615">
              <w:rPr>
                <w:b/>
                <w:bCs/>
              </w:rPr>
              <w:t xml:space="preserve"> </w:t>
            </w:r>
            <w:r w:rsidRPr="001E7615">
              <w:rPr>
                <w:b/>
                <w:bCs/>
              </w:rPr>
              <w:tab/>
              <w:t xml:space="preserve"> </w:t>
            </w:r>
            <w:r w:rsidR="000E4BA2">
              <w:rPr>
                <w:noProof/>
              </w:rPr>
              <w:drawing>
                <wp:inline distT="0" distB="0" distL="0" distR="0">
                  <wp:extent cx="1303655" cy="532130"/>
                  <wp:effectExtent l="19050" t="0" r="0" b="0"/>
                  <wp:docPr id="1" name="Picture 1" descr="_2ORDPRCSCorp_v_b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2ORDPRCSCorp_v_bPC"/>
                          <pic:cNvPicPr>
                            <a:picLocks noChangeAspect="1" noChangeArrowheads="1"/>
                          </pic:cNvPicPr>
                        </pic:nvPicPr>
                        <pic:blipFill>
                          <a:blip r:embed="rId6" cstate="print"/>
                          <a:srcRect/>
                          <a:stretch>
                            <a:fillRect/>
                          </a:stretch>
                        </pic:blipFill>
                        <pic:spPr bwMode="auto">
                          <a:xfrm>
                            <a:off x="0" y="0"/>
                            <a:ext cx="1303655" cy="532130"/>
                          </a:xfrm>
                          <a:prstGeom prst="rect">
                            <a:avLst/>
                          </a:prstGeom>
                          <a:noFill/>
                          <a:ln w="9525">
                            <a:noFill/>
                            <a:miter lim="800000"/>
                            <a:headEnd/>
                            <a:tailEnd/>
                          </a:ln>
                        </pic:spPr>
                      </pic:pic>
                    </a:graphicData>
                  </a:graphic>
                </wp:inline>
              </w:drawing>
            </w:r>
          </w:p>
        </w:tc>
      </w:tr>
    </w:tbl>
    <w:p w:rsidR="00B015DB" w:rsidRDefault="00B015DB" w:rsidP="007D292A">
      <w:pPr>
        <w:pStyle w:val="PlainText"/>
        <w:ind w:right="-360"/>
        <w:rPr>
          <w:rFonts w:ascii="Times New Roman" w:hAnsi="Times New Roman"/>
          <w:sz w:val="24"/>
        </w:rPr>
      </w:pPr>
    </w:p>
    <w:p w:rsidR="00093A6E" w:rsidRDefault="00025CDA" w:rsidP="007D292A">
      <w:pPr>
        <w:pStyle w:val="PlainText"/>
        <w:ind w:right="-360"/>
        <w:rPr>
          <w:rFonts w:ascii="Times New Roman" w:hAnsi="Times New Roman"/>
          <w:sz w:val="24"/>
        </w:rPr>
      </w:pPr>
      <w:r>
        <w:rPr>
          <w:rFonts w:ascii="Times New Roman" w:hAnsi="Times New Roman"/>
          <w:sz w:val="24"/>
        </w:rPr>
        <w:t>February 13, 2012</w:t>
      </w:r>
    </w:p>
    <w:p w:rsidR="00093A6E" w:rsidRDefault="00093A6E" w:rsidP="007D292A">
      <w:pPr>
        <w:pStyle w:val="PlainText"/>
        <w:ind w:left="-540" w:right="-360"/>
        <w:rPr>
          <w:rFonts w:ascii="Times New Roman" w:hAnsi="Times New Roman"/>
          <w:sz w:val="24"/>
        </w:rPr>
      </w:pPr>
    </w:p>
    <w:p w:rsidR="00093A6E" w:rsidRDefault="00093A6E" w:rsidP="007D292A">
      <w:pPr>
        <w:pStyle w:val="PlainText"/>
        <w:ind w:left="-540" w:right="-360"/>
        <w:rPr>
          <w:rFonts w:ascii="Times New Roman" w:hAnsi="Times New Roman"/>
          <w:sz w:val="24"/>
        </w:rPr>
      </w:pPr>
    </w:p>
    <w:p w:rsidR="00093A6E" w:rsidRDefault="00093A6E" w:rsidP="007D292A">
      <w:pPr>
        <w:pStyle w:val="PlainText"/>
        <w:tabs>
          <w:tab w:val="left" w:pos="360"/>
        </w:tabs>
        <w:ind w:right="-360"/>
        <w:rPr>
          <w:rFonts w:ascii="Times New Roman" w:hAnsi="Times New Roman"/>
          <w:sz w:val="24"/>
        </w:rPr>
      </w:pPr>
      <w:r>
        <w:rPr>
          <w:rFonts w:ascii="Times New Roman" w:hAnsi="Times New Roman"/>
          <w:sz w:val="24"/>
        </w:rPr>
        <w:t xml:space="preserve">State of </w:t>
      </w:r>
      <w:smartTag w:uri="urn:schemas-microsoft-com:office:smarttags" w:element="place">
        <w:smartTag w:uri="urn:schemas-microsoft-com:office:smarttags" w:element="State">
          <w:r>
            <w:rPr>
              <w:rFonts w:ascii="Times New Roman" w:hAnsi="Times New Roman"/>
              <w:sz w:val="24"/>
            </w:rPr>
            <w:t>Washington</w:t>
          </w:r>
        </w:smartTag>
      </w:smartTag>
    </w:p>
    <w:p w:rsidR="00093A6E" w:rsidRDefault="00093A6E" w:rsidP="007D292A">
      <w:pPr>
        <w:pStyle w:val="PlainText"/>
        <w:tabs>
          <w:tab w:val="left" w:pos="360"/>
        </w:tabs>
        <w:ind w:right="-360"/>
        <w:rPr>
          <w:rFonts w:ascii="Times New Roman" w:hAnsi="Times New Roman"/>
          <w:sz w:val="24"/>
        </w:rPr>
      </w:pPr>
      <w:smartTag w:uri="urn:schemas-microsoft-com:office:smarttags" w:element="place">
        <w:smartTag w:uri="urn:schemas-microsoft-com:office:smarttags" w:element="State">
          <w:r>
            <w:rPr>
              <w:rFonts w:ascii="Times New Roman" w:hAnsi="Times New Roman"/>
              <w:sz w:val="24"/>
            </w:rPr>
            <w:t>Washington</w:t>
          </w:r>
        </w:smartTag>
      </w:smartTag>
      <w:r>
        <w:rPr>
          <w:rFonts w:ascii="Times New Roman" w:hAnsi="Times New Roman"/>
          <w:sz w:val="24"/>
        </w:rPr>
        <w:t xml:space="preserve"> Utilities &amp; Transportation Commission</w:t>
      </w:r>
    </w:p>
    <w:p w:rsidR="00093A6E" w:rsidRDefault="00093A6E" w:rsidP="007D292A">
      <w:pPr>
        <w:pStyle w:val="PlainText"/>
        <w:tabs>
          <w:tab w:val="left" w:pos="360"/>
        </w:tabs>
        <w:ind w:right="-360"/>
        <w:rPr>
          <w:rFonts w:ascii="Times New Roman" w:hAnsi="Times New Roman"/>
          <w:sz w:val="24"/>
        </w:rPr>
      </w:pPr>
      <w:smartTag w:uri="urn:schemas-microsoft-com:office:smarttags" w:element="Street">
        <w:smartTag w:uri="urn:schemas-microsoft-com:office:smarttags" w:element="address">
          <w:r>
            <w:rPr>
              <w:rFonts w:ascii="Times New Roman" w:hAnsi="Times New Roman"/>
              <w:sz w:val="24"/>
            </w:rPr>
            <w:t>1300 S. Evergreen Park Drive</w:t>
          </w:r>
        </w:smartTag>
      </w:smartTag>
      <w:r>
        <w:rPr>
          <w:rFonts w:ascii="Times New Roman" w:hAnsi="Times New Roman"/>
          <w:sz w:val="24"/>
        </w:rPr>
        <w:t xml:space="preserve"> </w:t>
      </w:r>
    </w:p>
    <w:p w:rsidR="00093A6E" w:rsidRDefault="00093A6E" w:rsidP="007D292A">
      <w:pPr>
        <w:pStyle w:val="PlainText"/>
        <w:tabs>
          <w:tab w:val="left" w:pos="360"/>
        </w:tabs>
        <w:ind w:right="-360"/>
        <w:rPr>
          <w:rFonts w:ascii="Times New Roman" w:hAnsi="Times New Roman"/>
          <w:sz w:val="24"/>
        </w:rPr>
      </w:pPr>
      <w:smartTag w:uri="urn:schemas-microsoft-com:office:smarttags" w:element="place">
        <w:smartTag w:uri="urn:schemas-microsoft-com:office:smarttags" w:element="City">
          <w:r>
            <w:rPr>
              <w:rFonts w:ascii="Times New Roman" w:hAnsi="Times New Roman"/>
              <w:sz w:val="24"/>
            </w:rPr>
            <w:t>Olympia</w:t>
          </w:r>
        </w:smartTag>
        <w:r>
          <w:rPr>
            <w:rFonts w:ascii="Times New Roman" w:hAnsi="Times New Roman"/>
            <w:sz w:val="24"/>
          </w:rPr>
          <w:t xml:space="preserve">, </w:t>
        </w:r>
        <w:smartTag w:uri="urn:schemas-microsoft-com:office:smarttags" w:element="State">
          <w:r>
            <w:rPr>
              <w:rFonts w:ascii="Times New Roman" w:hAnsi="Times New Roman"/>
              <w:sz w:val="24"/>
            </w:rPr>
            <w:t>Washington</w:t>
          </w:r>
        </w:smartTag>
        <w:r>
          <w:rPr>
            <w:rFonts w:ascii="Times New Roman" w:hAnsi="Times New Roman"/>
            <w:sz w:val="24"/>
          </w:rPr>
          <w:t xml:space="preserve"> </w:t>
        </w:r>
        <w:smartTag w:uri="urn:schemas-microsoft-com:office:smarttags" w:element="PostalCode">
          <w:r>
            <w:rPr>
              <w:rFonts w:ascii="Times New Roman" w:hAnsi="Times New Roman"/>
              <w:sz w:val="24"/>
            </w:rPr>
            <w:t>98504-8002</w:t>
          </w:r>
        </w:smartTag>
      </w:smartTag>
      <w:r>
        <w:rPr>
          <w:rFonts w:ascii="Times New Roman" w:hAnsi="Times New Roman"/>
          <w:sz w:val="24"/>
        </w:rPr>
        <w:br/>
        <w:t xml:space="preserve"> </w:t>
      </w:r>
    </w:p>
    <w:p w:rsidR="00093A6E" w:rsidRDefault="00093A6E" w:rsidP="007D292A">
      <w:pPr>
        <w:pStyle w:val="PlainText"/>
        <w:tabs>
          <w:tab w:val="left" w:pos="360"/>
        </w:tabs>
        <w:ind w:right="-360"/>
        <w:rPr>
          <w:rFonts w:ascii="Times New Roman" w:hAnsi="Times New Roman"/>
          <w:sz w:val="24"/>
        </w:rPr>
      </w:pPr>
      <w:r>
        <w:rPr>
          <w:rFonts w:ascii="Times New Roman" w:hAnsi="Times New Roman"/>
          <w:sz w:val="24"/>
        </w:rPr>
        <w:t>Attention: Mr. David Danner‚ Executive Director and Secretary</w:t>
      </w:r>
    </w:p>
    <w:p w:rsidR="00093A6E" w:rsidRDefault="00093A6E" w:rsidP="007D292A">
      <w:pPr>
        <w:ind w:right="-360"/>
        <w:rPr>
          <w:sz w:val="24"/>
        </w:rPr>
      </w:pPr>
    </w:p>
    <w:p w:rsidR="00093A6E" w:rsidRDefault="00093A6E" w:rsidP="007D292A">
      <w:pPr>
        <w:ind w:right="-360"/>
        <w:jc w:val="center"/>
        <w:rPr>
          <w:b/>
          <w:sz w:val="24"/>
        </w:rPr>
      </w:pPr>
    </w:p>
    <w:p w:rsidR="00093A6E" w:rsidRDefault="00093A6E" w:rsidP="007D292A">
      <w:pPr>
        <w:ind w:right="-360"/>
        <w:jc w:val="center"/>
        <w:rPr>
          <w:b/>
          <w:sz w:val="24"/>
        </w:rPr>
      </w:pPr>
      <w:r>
        <w:rPr>
          <w:b/>
          <w:sz w:val="24"/>
        </w:rPr>
        <w:t>RE:  WN U-29 – Natural Gas Service</w:t>
      </w:r>
    </w:p>
    <w:p w:rsidR="00093A6E" w:rsidRDefault="00093A6E" w:rsidP="007D292A">
      <w:pPr>
        <w:ind w:right="-360"/>
        <w:jc w:val="center"/>
        <w:rPr>
          <w:b/>
          <w:sz w:val="24"/>
          <w:u w:val="single"/>
        </w:rPr>
      </w:pPr>
      <w:r w:rsidRPr="005816CE">
        <w:rPr>
          <w:b/>
          <w:sz w:val="24"/>
          <w:u w:val="single"/>
        </w:rPr>
        <w:t xml:space="preserve">Avista’s </w:t>
      </w:r>
      <w:r>
        <w:rPr>
          <w:b/>
          <w:sz w:val="24"/>
          <w:u w:val="single"/>
        </w:rPr>
        <w:t>Annual Purchased Gas Adjustment (PGA)</w:t>
      </w:r>
    </w:p>
    <w:p w:rsidR="00093A6E" w:rsidRDefault="00093A6E" w:rsidP="007D292A">
      <w:pPr>
        <w:ind w:right="-360"/>
        <w:jc w:val="center"/>
        <w:rPr>
          <w:b/>
          <w:sz w:val="24"/>
          <w:u w:val="single"/>
        </w:rPr>
      </w:pPr>
    </w:p>
    <w:p w:rsidR="00093A6E" w:rsidRDefault="00093A6E" w:rsidP="007D292A">
      <w:pPr>
        <w:ind w:right="-360"/>
        <w:jc w:val="both"/>
        <w:rPr>
          <w:sz w:val="24"/>
        </w:rPr>
      </w:pPr>
      <w:r>
        <w:rPr>
          <w:sz w:val="24"/>
        </w:rPr>
        <w:t>Enclosed for filing with the Commission is a copy of the following proposed tariff sheet:</w:t>
      </w:r>
    </w:p>
    <w:p w:rsidR="00093A6E" w:rsidRDefault="00093A6E" w:rsidP="007D292A">
      <w:pPr>
        <w:ind w:right="-360"/>
        <w:jc w:val="both"/>
        <w:rPr>
          <w:sz w:val="24"/>
        </w:rPr>
      </w:pPr>
      <w:r>
        <w:rPr>
          <w:sz w:val="24"/>
        </w:rPr>
        <w:tab/>
      </w:r>
    </w:p>
    <w:p w:rsidR="00093A6E" w:rsidRPr="00426001" w:rsidRDefault="00025CDA" w:rsidP="002548BB">
      <w:pPr>
        <w:ind w:right="-360"/>
        <w:jc w:val="center"/>
        <w:rPr>
          <w:sz w:val="24"/>
        </w:rPr>
      </w:pPr>
      <w:r>
        <w:rPr>
          <w:sz w:val="24"/>
        </w:rPr>
        <w:t>Eleve</w:t>
      </w:r>
      <w:r w:rsidR="00426001" w:rsidRPr="00426001">
        <w:rPr>
          <w:sz w:val="24"/>
        </w:rPr>
        <w:t>nth</w:t>
      </w:r>
      <w:r w:rsidR="00093A6E" w:rsidRPr="00426001">
        <w:rPr>
          <w:sz w:val="24"/>
        </w:rPr>
        <w:t xml:space="preserve"> Revision Sheet 15</w:t>
      </w:r>
      <w:r w:rsidR="00426001" w:rsidRPr="00426001">
        <w:rPr>
          <w:sz w:val="24"/>
        </w:rPr>
        <w:t>0</w:t>
      </w:r>
      <w:r w:rsidR="00093A6E" w:rsidRPr="00426001">
        <w:rPr>
          <w:sz w:val="24"/>
        </w:rPr>
        <w:t xml:space="preserve"> canceling </w:t>
      </w:r>
      <w:r>
        <w:rPr>
          <w:sz w:val="24"/>
        </w:rPr>
        <w:t>Te</w:t>
      </w:r>
      <w:r w:rsidRPr="00426001">
        <w:rPr>
          <w:sz w:val="24"/>
        </w:rPr>
        <w:t>nth</w:t>
      </w:r>
      <w:r w:rsidR="00426001" w:rsidRPr="00426001">
        <w:rPr>
          <w:sz w:val="24"/>
        </w:rPr>
        <w:t xml:space="preserve"> Revision</w:t>
      </w:r>
      <w:r w:rsidR="00093A6E" w:rsidRPr="00426001">
        <w:rPr>
          <w:sz w:val="24"/>
        </w:rPr>
        <w:t xml:space="preserve"> Sheet 15</w:t>
      </w:r>
      <w:r w:rsidR="00426001" w:rsidRPr="00426001">
        <w:rPr>
          <w:sz w:val="24"/>
        </w:rPr>
        <w:t>0</w:t>
      </w:r>
    </w:p>
    <w:p w:rsidR="00B52A0C" w:rsidRPr="00426001" w:rsidRDefault="00B52A0C" w:rsidP="007D292A">
      <w:pPr>
        <w:ind w:right="-360" w:firstLine="720"/>
        <w:jc w:val="both"/>
        <w:rPr>
          <w:sz w:val="24"/>
        </w:rPr>
      </w:pPr>
    </w:p>
    <w:p w:rsidR="00B52A0C" w:rsidRPr="00EB4AA3" w:rsidRDefault="00602BBB" w:rsidP="007D292A">
      <w:pPr>
        <w:ind w:right="-360"/>
        <w:jc w:val="both"/>
        <w:rPr>
          <w:b/>
          <w:sz w:val="24"/>
        </w:rPr>
      </w:pPr>
      <w:r>
        <w:rPr>
          <w:b/>
          <w:sz w:val="24"/>
        </w:rPr>
        <w:t>In order to provide the benefit to customers as soon as possible, t</w:t>
      </w:r>
      <w:r w:rsidR="00B52A0C" w:rsidRPr="00EB4AA3">
        <w:rPr>
          <w:b/>
          <w:sz w:val="24"/>
        </w:rPr>
        <w:t xml:space="preserve">he Company requests that the proposed tariff </w:t>
      </w:r>
      <w:r w:rsidR="00025CDA" w:rsidRPr="00EB4AA3">
        <w:rPr>
          <w:b/>
          <w:sz w:val="24"/>
        </w:rPr>
        <w:t>change</w:t>
      </w:r>
      <w:r w:rsidR="00B52A0C" w:rsidRPr="00EB4AA3">
        <w:rPr>
          <w:b/>
          <w:sz w:val="24"/>
        </w:rPr>
        <w:t xml:space="preserve"> be m</w:t>
      </w:r>
      <w:r w:rsidR="007D292A" w:rsidRPr="00EB4AA3">
        <w:rPr>
          <w:b/>
          <w:sz w:val="24"/>
        </w:rPr>
        <w:t xml:space="preserve">ade effective on </w:t>
      </w:r>
      <w:r w:rsidR="00025CDA" w:rsidRPr="00EB4AA3">
        <w:rPr>
          <w:b/>
          <w:sz w:val="24"/>
          <w:u w:val="single"/>
        </w:rPr>
        <w:t>March</w:t>
      </w:r>
      <w:r w:rsidR="007D292A" w:rsidRPr="00EB4AA3">
        <w:rPr>
          <w:b/>
          <w:sz w:val="24"/>
          <w:u w:val="single"/>
        </w:rPr>
        <w:t xml:space="preserve"> 1, 201</w:t>
      </w:r>
      <w:r w:rsidR="00025CDA" w:rsidRPr="00EB4AA3">
        <w:rPr>
          <w:b/>
          <w:sz w:val="24"/>
          <w:u w:val="single"/>
        </w:rPr>
        <w:t>2</w:t>
      </w:r>
      <w:r w:rsidR="00025CDA" w:rsidRPr="00EB4AA3">
        <w:rPr>
          <w:b/>
          <w:sz w:val="24"/>
        </w:rPr>
        <w:t>, with less than statutory notice</w:t>
      </w:r>
      <w:r w:rsidR="00B52A0C" w:rsidRPr="00EB4AA3">
        <w:rPr>
          <w:b/>
          <w:sz w:val="24"/>
        </w:rPr>
        <w:t>.</w:t>
      </w:r>
      <w:r w:rsidR="00025CDA" w:rsidRPr="00EB4AA3">
        <w:rPr>
          <w:b/>
          <w:sz w:val="24"/>
        </w:rPr>
        <w:t xml:space="preserve">  A Less Than Statutory Notice and Waiver of Customer Notice Rules is attached.</w:t>
      </w:r>
    </w:p>
    <w:p w:rsidR="00093A6E" w:rsidRDefault="00093A6E" w:rsidP="007D292A">
      <w:pPr>
        <w:ind w:right="-360"/>
        <w:jc w:val="both"/>
        <w:rPr>
          <w:sz w:val="24"/>
        </w:rPr>
      </w:pPr>
      <w:r>
        <w:rPr>
          <w:sz w:val="24"/>
        </w:rPr>
        <w:tab/>
      </w:r>
    </w:p>
    <w:p w:rsidR="003A24DA" w:rsidRDefault="00025CDA" w:rsidP="007D292A">
      <w:pPr>
        <w:ind w:right="-360"/>
        <w:jc w:val="both"/>
        <w:rPr>
          <w:sz w:val="24"/>
          <w:szCs w:val="24"/>
        </w:rPr>
      </w:pPr>
      <w:r w:rsidRPr="00430D79">
        <w:rPr>
          <w:sz w:val="24"/>
          <w:szCs w:val="24"/>
        </w:rPr>
        <w:t xml:space="preserve">This filing reflects the Company’s proposed </w:t>
      </w:r>
      <w:r>
        <w:rPr>
          <w:sz w:val="24"/>
          <w:szCs w:val="24"/>
        </w:rPr>
        <w:t xml:space="preserve">out of period </w:t>
      </w:r>
      <w:r w:rsidRPr="00430D79">
        <w:rPr>
          <w:sz w:val="24"/>
          <w:szCs w:val="24"/>
        </w:rPr>
        <w:t xml:space="preserve">Purchased Gas Cost Adjustment (PGA) to pass through </w:t>
      </w:r>
      <w:r>
        <w:rPr>
          <w:sz w:val="24"/>
          <w:szCs w:val="24"/>
        </w:rPr>
        <w:t xml:space="preserve">to customers </w:t>
      </w:r>
      <w:r w:rsidRPr="00430D79">
        <w:rPr>
          <w:sz w:val="24"/>
          <w:szCs w:val="24"/>
        </w:rPr>
        <w:t>changes in the estimated cost of natural gas</w:t>
      </w:r>
      <w:r>
        <w:rPr>
          <w:sz w:val="24"/>
          <w:szCs w:val="24"/>
        </w:rPr>
        <w:t xml:space="preserve"> (Schedule 150) </w:t>
      </w:r>
      <w:r w:rsidRPr="00430D79">
        <w:rPr>
          <w:sz w:val="24"/>
          <w:szCs w:val="24"/>
        </w:rPr>
        <w:t xml:space="preserve">for the forthcoming </w:t>
      </w:r>
      <w:r>
        <w:rPr>
          <w:sz w:val="24"/>
          <w:szCs w:val="24"/>
        </w:rPr>
        <w:t>eight</w:t>
      </w:r>
      <w:r w:rsidRPr="00430D79">
        <w:rPr>
          <w:sz w:val="24"/>
          <w:szCs w:val="24"/>
        </w:rPr>
        <w:t xml:space="preserve"> months</w:t>
      </w:r>
      <w:r>
        <w:rPr>
          <w:sz w:val="24"/>
          <w:szCs w:val="24"/>
        </w:rPr>
        <w:t xml:space="preserve"> of March 2012 through October 2012.  </w:t>
      </w:r>
      <w:r w:rsidRPr="00430D79">
        <w:rPr>
          <w:sz w:val="24"/>
          <w:szCs w:val="24"/>
        </w:rPr>
        <w:t xml:space="preserve">Below is a table summarizing the proposed changes reflected in this filing.  </w:t>
      </w:r>
    </w:p>
    <w:p w:rsidR="00025CDA" w:rsidRPr="00C35E27" w:rsidRDefault="00025CDA" w:rsidP="007D292A">
      <w:pPr>
        <w:ind w:right="-360"/>
        <w:jc w:val="both"/>
        <w:rPr>
          <w:sz w:val="22"/>
        </w:rPr>
      </w:pPr>
    </w:p>
    <w:tbl>
      <w:tblPr>
        <w:tblW w:w="9735" w:type="dxa"/>
        <w:tblInd w:w="93" w:type="dxa"/>
        <w:tblLook w:val="0000"/>
      </w:tblPr>
      <w:tblGrid>
        <w:gridCol w:w="1725"/>
        <w:gridCol w:w="597"/>
        <w:gridCol w:w="1293"/>
        <w:gridCol w:w="1170"/>
        <w:gridCol w:w="1350"/>
        <w:gridCol w:w="1170"/>
        <w:gridCol w:w="1350"/>
        <w:gridCol w:w="1080"/>
      </w:tblGrid>
      <w:tr w:rsidR="003A24DA" w:rsidRPr="00250818" w:rsidTr="00025CDA">
        <w:trPr>
          <w:trHeight w:val="255"/>
        </w:trPr>
        <w:tc>
          <w:tcPr>
            <w:tcW w:w="1725" w:type="dxa"/>
            <w:tcBorders>
              <w:top w:val="nil"/>
              <w:left w:val="nil"/>
              <w:bottom w:val="nil"/>
              <w:right w:val="nil"/>
            </w:tcBorders>
            <w:shd w:val="clear" w:color="auto" w:fill="auto"/>
            <w:noWrap/>
            <w:vAlign w:val="bottom"/>
          </w:tcPr>
          <w:p w:rsidR="003A24DA" w:rsidRPr="00250818" w:rsidRDefault="003A24DA" w:rsidP="007D292A">
            <w:pPr>
              <w:ind w:right="-360"/>
              <w:rPr>
                <w:sz w:val="21"/>
                <w:szCs w:val="21"/>
              </w:rPr>
            </w:pPr>
          </w:p>
        </w:tc>
        <w:tc>
          <w:tcPr>
            <w:tcW w:w="597" w:type="dxa"/>
            <w:tcBorders>
              <w:top w:val="nil"/>
              <w:left w:val="nil"/>
              <w:bottom w:val="nil"/>
              <w:right w:val="nil"/>
            </w:tcBorders>
            <w:shd w:val="clear" w:color="auto" w:fill="auto"/>
            <w:noWrap/>
            <w:vAlign w:val="bottom"/>
          </w:tcPr>
          <w:p w:rsidR="003A24DA" w:rsidRPr="00250818" w:rsidRDefault="003A24DA" w:rsidP="00C35E27">
            <w:pPr>
              <w:ind w:right="-360"/>
              <w:jc w:val="center"/>
              <w:rPr>
                <w:sz w:val="21"/>
                <w:szCs w:val="21"/>
              </w:rPr>
            </w:pPr>
          </w:p>
        </w:tc>
        <w:tc>
          <w:tcPr>
            <w:tcW w:w="1293" w:type="dxa"/>
            <w:tcBorders>
              <w:top w:val="nil"/>
              <w:left w:val="nil"/>
              <w:bottom w:val="nil"/>
              <w:right w:val="nil"/>
            </w:tcBorders>
            <w:shd w:val="clear" w:color="auto" w:fill="auto"/>
            <w:noWrap/>
            <w:vAlign w:val="bottom"/>
          </w:tcPr>
          <w:p w:rsidR="003A24DA" w:rsidRPr="00250818" w:rsidRDefault="003A24DA" w:rsidP="00C35E27">
            <w:pPr>
              <w:ind w:right="-360"/>
              <w:jc w:val="center"/>
              <w:rPr>
                <w:sz w:val="21"/>
                <w:szCs w:val="21"/>
              </w:rPr>
            </w:pPr>
            <w:r w:rsidRPr="00250818">
              <w:rPr>
                <w:sz w:val="21"/>
                <w:szCs w:val="21"/>
              </w:rPr>
              <w:t>Commodity</w:t>
            </w:r>
          </w:p>
        </w:tc>
        <w:tc>
          <w:tcPr>
            <w:tcW w:w="1170" w:type="dxa"/>
            <w:tcBorders>
              <w:top w:val="nil"/>
              <w:left w:val="nil"/>
              <w:bottom w:val="nil"/>
              <w:right w:val="nil"/>
            </w:tcBorders>
            <w:shd w:val="clear" w:color="auto" w:fill="auto"/>
            <w:noWrap/>
            <w:vAlign w:val="bottom"/>
          </w:tcPr>
          <w:p w:rsidR="003A24DA" w:rsidRPr="00250818" w:rsidRDefault="003A24DA" w:rsidP="007D292A">
            <w:pPr>
              <w:ind w:right="-360"/>
              <w:jc w:val="center"/>
              <w:rPr>
                <w:sz w:val="21"/>
                <w:szCs w:val="21"/>
              </w:rPr>
            </w:pPr>
            <w:r w:rsidRPr="00250818">
              <w:rPr>
                <w:sz w:val="21"/>
                <w:szCs w:val="21"/>
              </w:rPr>
              <w:t>Demand</w:t>
            </w:r>
          </w:p>
        </w:tc>
        <w:tc>
          <w:tcPr>
            <w:tcW w:w="1350" w:type="dxa"/>
            <w:tcBorders>
              <w:top w:val="nil"/>
              <w:left w:val="nil"/>
              <w:bottom w:val="nil"/>
              <w:right w:val="nil"/>
            </w:tcBorders>
            <w:shd w:val="clear" w:color="auto" w:fill="auto"/>
            <w:noWrap/>
            <w:vAlign w:val="bottom"/>
          </w:tcPr>
          <w:p w:rsidR="003A24DA" w:rsidRPr="00250818" w:rsidRDefault="003A24DA" w:rsidP="007D292A">
            <w:pPr>
              <w:ind w:right="-360"/>
              <w:jc w:val="center"/>
              <w:rPr>
                <w:sz w:val="21"/>
                <w:szCs w:val="21"/>
              </w:rPr>
            </w:pPr>
            <w:r w:rsidRPr="00250818">
              <w:rPr>
                <w:sz w:val="21"/>
                <w:szCs w:val="21"/>
              </w:rPr>
              <w:t xml:space="preserve">Total </w:t>
            </w:r>
          </w:p>
        </w:tc>
        <w:tc>
          <w:tcPr>
            <w:tcW w:w="1170" w:type="dxa"/>
            <w:tcBorders>
              <w:top w:val="nil"/>
              <w:left w:val="nil"/>
              <w:bottom w:val="nil"/>
              <w:right w:val="nil"/>
            </w:tcBorders>
            <w:shd w:val="clear" w:color="auto" w:fill="auto"/>
            <w:noWrap/>
            <w:vAlign w:val="bottom"/>
          </w:tcPr>
          <w:p w:rsidR="003A24DA" w:rsidRPr="00250818" w:rsidRDefault="003A24DA" w:rsidP="007D292A">
            <w:pPr>
              <w:ind w:right="-360"/>
              <w:jc w:val="center"/>
              <w:rPr>
                <w:sz w:val="21"/>
                <w:szCs w:val="21"/>
              </w:rPr>
            </w:pPr>
            <w:r w:rsidRPr="00250818">
              <w:rPr>
                <w:sz w:val="21"/>
                <w:szCs w:val="21"/>
              </w:rPr>
              <w:t>Sch. 155</w:t>
            </w:r>
          </w:p>
        </w:tc>
        <w:tc>
          <w:tcPr>
            <w:tcW w:w="1350" w:type="dxa"/>
            <w:tcBorders>
              <w:top w:val="nil"/>
              <w:left w:val="nil"/>
              <w:bottom w:val="nil"/>
              <w:right w:val="nil"/>
            </w:tcBorders>
            <w:shd w:val="clear" w:color="auto" w:fill="auto"/>
            <w:noWrap/>
            <w:vAlign w:val="bottom"/>
          </w:tcPr>
          <w:p w:rsidR="003A24DA" w:rsidRPr="00250818" w:rsidRDefault="003A24DA" w:rsidP="007D292A">
            <w:pPr>
              <w:ind w:right="-360"/>
              <w:jc w:val="center"/>
              <w:rPr>
                <w:sz w:val="21"/>
                <w:szCs w:val="21"/>
              </w:rPr>
            </w:pPr>
            <w:r w:rsidRPr="00250818">
              <w:rPr>
                <w:sz w:val="21"/>
                <w:szCs w:val="21"/>
              </w:rPr>
              <w:t>Total Rate</w:t>
            </w:r>
          </w:p>
        </w:tc>
        <w:tc>
          <w:tcPr>
            <w:tcW w:w="1080" w:type="dxa"/>
            <w:tcBorders>
              <w:top w:val="nil"/>
              <w:left w:val="nil"/>
              <w:bottom w:val="nil"/>
              <w:right w:val="nil"/>
            </w:tcBorders>
            <w:shd w:val="clear" w:color="auto" w:fill="auto"/>
            <w:noWrap/>
            <w:vAlign w:val="bottom"/>
          </w:tcPr>
          <w:p w:rsidR="003A24DA" w:rsidRPr="00250818" w:rsidRDefault="003A24DA" w:rsidP="007D292A">
            <w:pPr>
              <w:ind w:right="-360"/>
              <w:jc w:val="center"/>
              <w:rPr>
                <w:b/>
                <w:sz w:val="21"/>
                <w:szCs w:val="21"/>
              </w:rPr>
            </w:pPr>
          </w:p>
        </w:tc>
      </w:tr>
      <w:tr w:rsidR="003A24DA" w:rsidRPr="00250818" w:rsidTr="00025CDA">
        <w:trPr>
          <w:trHeight w:val="255"/>
        </w:trPr>
        <w:tc>
          <w:tcPr>
            <w:tcW w:w="1725" w:type="dxa"/>
            <w:tcBorders>
              <w:top w:val="nil"/>
              <w:left w:val="nil"/>
              <w:bottom w:val="nil"/>
              <w:right w:val="nil"/>
            </w:tcBorders>
            <w:shd w:val="clear" w:color="auto" w:fill="auto"/>
            <w:noWrap/>
            <w:vAlign w:val="bottom"/>
          </w:tcPr>
          <w:p w:rsidR="003A24DA" w:rsidRPr="00250818" w:rsidRDefault="003A24DA" w:rsidP="007D292A">
            <w:pPr>
              <w:ind w:right="-360"/>
              <w:rPr>
                <w:sz w:val="21"/>
                <w:szCs w:val="21"/>
              </w:rPr>
            </w:pPr>
          </w:p>
        </w:tc>
        <w:tc>
          <w:tcPr>
            <w:tcW w:w="597" w:type="dxa"/>
            <w:tcBorders>
              <w:top w:val="nil"/>
              <w:left w:val="nil"/>
              <w:bottom w:val="nil"/>
              <w:right w:val="nil"/>
            </w:tcBorders>
            <w:shd w:val="clear" w:color="auto" w:fill="auto"/>
            <w:noWrap/>
            <w:vAlign w:val="bottom"/>
          </w:tcPr>
          <w:p w:rsidR="003A24DA" w:rsidRPr="00250818" w:rsidRDefault="003A24DA" w:rsidP="00882827">
            <w:pPr>
              <w:ind w:right="-360"/>
              <w:rPr>
                <w:sz w:val="21"/>
                <w:szCs w:val="21"/>
              </w:rPr>
            </w:pPr>
            <w:r w:rsidRPr="00250818">
              <w:rPr>
                <w:sz w:val="21"/>
                <w:szCs w:val="21"/>
              </w:rPr>
              <w:t>Sch.</w:t>
            </w:r>
          </w:p>
        </w:tc>
        <w:tc>
          <w:tcPr>
            <w:tcW w:w="1293" w:type="dxa"/>
            <w:tcBorders>
              <w:top w:val="nil"/>
              <w:left w:val="nil"/>
              <w:bottom w:val="nil"/>
              <w:right w:val="nil"/>
            </w:tcBorders>
            <w:shd w:val="clear" w:color="auto" w:fill="auto"/>
            <w:noWrap/>
            <w:vAlign w:val="bottom"/>
          </w:tcPr>
          <w:p w:rsidR="003A24DA" w:rsidRPr="00250818" w:rsidRDefault="003A24DA" w:rsidP="00C35E27">
            <w:pPr>
              <w:ind w:right="-360"/>
              <w:jc w:val="center"/>
              <w:rPr>
                <w:sz w:val="21"/>
                <w:szCs w:val="21"/>
              </w:rPr>
            </w:pPr>
            <w:r w:rsidRPr="00250818">
              <w:rPr>
                <w:sz w:val="21"/>
                <w:szCs w:val="21"/>
              </w:rPr>
              <w:t>Change</w:t>
            </w:r>
          </w:p>
        </w:tc>
        <w:tc>
          <w:tcPr>
            <w:tcW w:w="1170" w:type="dxa"/>
            <w:tcBorders>
              <w:top w:val="nil"/>
              <w:left w:val="nil"/>
              <w:bottom w:val="nil"/>
              <w:right w:val="nil"/>
            </w:tcBorders>
            <w:shd w:val="clear" w:color="auto" w:fill="auto"/>
            <w:noWrap/>
            <w:vAlign w:val="bottom"/>
          </w:tcPr>
          <w:p w:rsidR="003A24DA" w:rsidRPr="00250818" w:rsidRDefault="003A24DA" w:rsidP="007D292A">
            <w:pPr>
              <w:ind w:right="-360"/>
              <w:jc w:val="center"/>
              <w:rPr>
                <w:sz w:val="21"/>
                <w:szCs w:val="21"/>
              </w:rPr>
            </w:pPr>
            <w:r w:rsidRPr="00250818">
              <w:rPr>
                <w:sz w:val="21"/>
                <w:szCs w:val="21"/>
              </w:rPr>
              <w:t>Change</w:t>
            </w:r>
          </w:p>
        </w:tc>
        <w:tc>
          <w:tcPr>
            <w:tcW w:w="1350" w:type="dxa"/>
            <w:tcBorders>
              <w:top w:val="nil"/>
              <w:left w:val="nil"/>
              <w:bottom w:val="nil"/>
              <w:right w:val="nil"/>
            </w:tcBorders>
            <w:shd w:val="clear" w:color="auto" w:fill="auto"/>
            <w:noWrap/>
            <w:vAlign w:val="bottom"/>
          </w:tcPr>
          <w:p w:rsidR="003A24DA" w:rsidRPr="00250818" w:rsidRDefault="007642C0" w:rsidP="00426001">
            <w:pPr>
              <w:ind w:right="-360"/>
              <w:jc w:val="center"/>
              <w:rPr>
                <w:sz w:val="21"/>
                <w:szCs w:val="21"/>
              </w:rPr>
            </w:pPr>
            <w:r w:rsidRPr="00250818">
              <w:rPr>
                <w:sz w:val="21"/>
                <w:szCs w:val="21"/>
              </w:rPr>
              <w:t>Sch. 1</w:t>
            </w:r>
            <w:r w:rsidR="00426001" w:rsidRPr="00250818">
              <w:rPr>
                <w:sz w:val="21"/>
                <w:szCs w:val="21"/>
              </w:rPr>
              <w:t>50</w:t>
            </w:r>
          </w:p>
        </w:tc>
        <w:tc>
          <w:tcPr>
            <w:tcW w:w="1170" w:type="dxa"/>
            <w:tcBorders>
              <w:top w:val="nil"/>
              <w:left w:val="nil"/>
              <w:bottom w:val="nil"/>
              <w:right w:val="nil"/>
            </w:tcBorders>
            <w:shd w:val="clear" w:color="auto" w:fill="auto"/>
            <w:noWrap/>
            <w:vAlign w:val="bottom"/>
          </w:tcPr>
          <w:p w:rsidR="003A24DA" w:rsidRPr="00250818" w:rsidRDefault="003A24DA" w:rsidP="007D292A">
            <w:pPr>
              <w:ind w:right="-360"/>
              <w:jc w:val="center"/>
              <w:rPr>
                <w:sz w:val="21"/>
                <w:szCs w:val="21"/>
              </w:rPr>
            </w:pPr>
            <w:proofErr w:type="spellStart"/>
            <w:r w:rsidRPr="00250818">
              <w:rPr>
                <w:sz w:val="21"/>
                <w:szCs w:val="21"/>
              </w:rPr>
              <w:t>Amort</w:t>
            </w:r>
            <w:proofErr w:type="spellEnd"/>
            <w:r w:rsidRPr="00250818">
              <w:rPr>
                <w:sz w:val="21"/>
                <w:szCs w:val="21"/>
              </w:rPr>
              <w:t>.</w:t>
            </w:r>
          </w:p>
        </w:tc>
        <w:tc>
          <w:tcPr>
            <w:tcW w:w="1350" w:type="dxa"/>
            <w:tcBorders>
              <w:top w:val="nil"/>
              <w:left w:val="nil"/>
              <w:bottom w:val="nil"/>
              <w:right w:val="nil"/>
            </w:tcBorders>
            <w:shd w:val="clear" w:color="auto" w:fill="auto"/>
            <w:noWrap/>
            <w:vAlign w:val="bottom"/>
          </w:tcPr>
          <w:p w:rsidR="003A24DA" w:rsidRPr="00250818" w:rsidRDefault="003A24DA" w:rsidP="007D292A">
            <w:pPr>
              <w:ind w:right="-360"/>
              <w:jc w:val="center"/>
              <w:rPr>
                <w:sz w:val="21"/>
                <w:szCs w:val="21"/>
              </w:rPr>
            </w:pPr>
            <w:r w:rsidRPr="00250818">
              <w:rPr>
                <w:sz w:val="21"/>
                <w:szCs w:val="21"/>
              </w:rPr>
              <w:t xml:space="preserve">Change </w:t>
            </w:r>
          </w:p>
        </w:tc>
        <w:tc>
          <w:tcPr>
            <w:tcW w:w="1080" w:type="dxa"/>
            <w:tcBorders>
              <w:top w:val="nil"/>
              <w:left w:val="nil"/>
              <w:bottom w:val="nil"/>
              <w:right w:val="nil"/>
            </w:tcBorders>
            <w:shd w:val="clear" w:color="auto" w:fill="auto"/>
            <w:noWrap/>
            <w:vAlign w:val="bottom"/>
          </w:tcPr>
          <w:p w:rsidR="003A24DA" w:rsidRPr="00250818" w:rsidRDefault="003A24DA" w:rsidP="007D292A">
            <w:pPr>
              <w:ind w:right="-360"/>
              <w:jc w:val="center"/>
              <w:rPr>
                <w:b/>
                <w:sz w:val="21"/>
                <w:szCs w:val="21"/>
              </w:rPr>
            </w:pPr>
            <w:r w:rsidRPr="00250818">
              <w:rPr>
                <w:b/>
                <w:sz w:val="21"/>
                <w:szCs w:val="21"/>
              </w:rPr>
              <w:t>Percent</w:t>
            </w:r>
          </w:p>
        </w:tc>
      </w:tr>
      <w:tr w:rsidR="003A24DA" w:rsidRPr="00250818" w:rsidTr="00025CDA">
        <w:trPr>
          <w:trHeight w:val="255"/>
        </w:trPr>
        <w:tc>
          <w:tcPr>
            <w:tcW w:w="1725" w:type="dxa"/>
            <w:tcBorders>
              <w:top w:val="nil"/>
              <w:left w:val="nil"/>
              <w:bottom w:val="nil"/>
              <w:right w:val="nil"/>
            </w:tcBorders>
            <w:shd w:val="clear" w:color="auto" w:fill="auto"/>
            <w:noWrap/>
            <w:vAlign w:val="bottom"/>
          </w:tcPr>
          <w:p w:rsidR="003A24DA" w:rsidRPr="00250818" w:rsidRDefault="003A24DA" w:rsidP="007D292A">
            <w:pPr>
              <w:ind w:right="-360"/>
              <w:rPr>
                <w:sz w:val="21"/>
                <w:szCs w:val="21"/>
                <w:u w:val="single"/>
              </w:rPr>
            </w:pPr>
            <w:r w:rsidRPr="00250818">
              <w:rPr>
                <w:sz w:val="21"/>
                <w:szCs w:val="21"/>
                <w:u w:val="single"/>
              </w:rPr>
              <w:t>Service</w:t>
            </w:r>
          </w:p>
        </w:tc>
        <w:tc>
          <w:tcPr>
            <w:tcW w:w="597" w:type="dxa"/>
            <w:tcBorders>
              <w:top w:val="nil"/>
              <w:left w:val="nil"/>
              <w:bottom w:val="nil"/>
              <w:right w:val="nil"/>
            </w:tcBorders>
            <w:shd w:val="clear" w:color="auto" w:fill="auto"/>
            <w:noWrap/>
            <w:vAlign w:val="bottom"/>
          </w:tcPr>
          <w:p w:rsidR="003A24DA" w:rsidRPr="00250818" w:rsidRDefault="003A24DA" w:rsidP="00882827">
            <w:pPr>
              <w:ind w:right="-360"/>
              <w:rPr>
                <w:sz w:val="21"/>
                <w:szCs w:val="21"/>
                <w:u w:val="single"/>
              </w:rPr>
            </w:pPr>
            <w:r w:rsidRPr="00250818">
              <w:rPr>
                <w:sz w:val="21"/>
                <w:szCs w:val="21"/>
                <w:u w:val="single"/>
              </w:rPr>
              <w:t>No.</w:t>
            </w:r>
          </w:p>
        </w:tc>
        <w:tc>
          <w:tcPr>
            <w:tcW w:w="1293" w:type="dxa"/>
            <w:tcBorders>
              <w:top w:val="nil"/>
              <w:left w:val="nil"/>
              <w:bottom w:val="nil"/>
              <w:right w:val="nil"/>
            </w:tcBorders>
            <w:shd w:val="clear" w:color="auto" w:fill="auto"/>
            <w:noWrap/>
            <w:vAlign w:val="bottom"/>
          </w:tcPr>
          <w:p w:rsidR="003A24DA" w:rsidRPr="00250818" w:rsidRDefault="003A24DA" w:rsidP="00C35E27">
            <w:pPr>
              <w:ind w:right="-360"/>
              <w:jc w:val="center"/>
              <w:rPr>
                <w:sz w:val="21"/>
                <w:szCs w:val="21"/>
                <w:u w:val="single"/>
              </w:rPr>
            </w:pPr>
            <w:r w:rsidRPr="00250818">
              <w:rPr>
                <w:sz w:val="21"/>
                <w:szCs w:val="21"/>
                <w:u w:val="single"/>
              </w:rPr>
              <w:t>per therm</w:t>
            </w:r>
          </w:p>
        </w:tc>
        <w:tc>
          <w:tcPr>
            <w:tcW w:w="1170" w:type="dxa"/>
            <w:tcBorders>
              <w:top w:val="nil"/>
              <w:left w:val="nil"/>
              <w:bottom w:val="nil"/>
              <w:right w:val="nil"/>
            </w:tcBorders>
            <w:shd w:val="clear" w:color="auto" w:fill="auto"/>
            <w:noWrap/>
            <w:vAlign w:val="bottom"/>
          </w:tcPr>
          <w:p w:rsidR="003A24DA" w:rsidRPr="00250818" w:rsidRDefault="00B80498" w:rsidP="007D292A">
            <w:pPr>
              <w:ind w:right="-360"/>
              <w:jc w:val="center"/>
              <w:rPr>
                <w:sz w:val="21"/>
                <w:szCs w:val="21"/>
                <w:u w:val="single"/>
              </w:rPr>
            </w:pPr>
            <w:r w:rsidRPr="00250818">
              <w:rPr>
                <w:sz w:val="21"/>
                <w:szCs w:val="21"/>
                <w:u w:val="single"/>
              </w:rPr>
              <w:t xml:space="preserve">per </w:t>
            </w:r>
            <w:proofErr w:type="spellStart"/>
            <w:r w:rsidR="003A24DA" w:rsidRPr="00250818">
              <w:rPr>
                <w:sz w:val="21"/>
                <w:szCs w:val="21"/>
                <w:u w:val="single"/>
              </w:rPr>
              <w:t>thm</w:t>
            </w:r>
            <w:proofErr w:type="spellEnd"/>
          </w:p>
        </w:tc>
        <w:tc>
          <w:tcPr>
            <w:tcW w:w="1350" w:type="dxa"/>
            <w:tcBorders>
              <w:top w:val="nil"/>
              <w:left w:val="nil"/>
              <w:bottom w:val="nil"/>
              <w:right w:val="nil"/>
            </w:tcBorders>
            <w:shd w:val="clear" w:color="auto" w:fill="auto"/>
            <w:noWrap/>
            <w:vAlign w:val="bottom"/>
          </w:tcPr>
          <w:p w:rsidR="003A24DA" w:rsidRPr="00250818" w:rsidRDefault="003A24DA" w:rsidP="007D292A">
            <w:pPr>
              <w:ind w:right="-360"/>
              <w:jc w:val="center"/>
              <w:rPr>
                <w:sz w:val="21"/>
                <w:szCs w:val="21"/>
                <w:u w:val="single"/>
              </w:rPr>
            </w:pPr>
            <w:r w:rsidRPr="00250818">
              <w:rPr>
                <w:sz w:val="21"/>
                <w:szCs w:val="21"/>
                <w:u w:val="single"/>
              </w:rPr>
              <w:t>Change</w:t>
            </w:r>
          </w:p>
        </w:tc>
        <w:tc>
          <w:tcPr>
            <w:tcW w:w="1170" w:type="dxa"/>
            <w:tcBorders>
              <w:top w:val="nil"/>
              <w:left w:val="nil"/>
              <w:bottom w:val="nil"/>
              <w:right w:val="nil"/>
            </w:tcBorders>
            <w:shd w:val="clear" w:color="auto" w:fill="auto"/>
            <w:noWrap/>
            <w:vAlign w:val="bottom"/>
          </w:tcPr>
          <w:p w:rsidR="003A24DA" w:rsidRPr="00250818" w:rsidRDefault="003A24DA" w:rsidP="007D292A">
            <w:pPr>
              <w:ind w:right="-360"/>
              <w:jc w:val="center"/>
              <w:rPr>
                <w:sz w:val="21"/>
                <w:szCs w:val="21"/>
                <w:u w:val="single"/>
              </w:rPr>
            </w:pPr>
            <w:r w:rsidRPr="00250818">
              <w:rPr>
                <w:sz w:val="21"/>
                <w:szCs w:val="21"/>
                <w:u w:val="single"/>
              </w:rPr>
              <w:t>per therm</w:t>
            </w:r>
          </w:p>
        </w:tc>
        <w:tc>
          <w:tcPr>
            <w:tcW w:w="1350" w:type="dxa"/>
            <w:tcBorders>
              <w:top w:val="nil"/>
              <w:left w:val="nil"/>
              <w:bottom w:val="nil"/>
              <w:right w:val="nil"/>
            </w:tcBorders>
            <w:shd w:val="clear" w:color="auto" w:fill="auto"/>
            <w:noWrap/>
            <w:vAlign w:val="bottom"/>
          </w:tcPr>
          <w:p w:rsidR="003A24DA" w:rsidRPr="00250818" w:rsidRDefault="003A24DA" w:rsidP="007D292A">
            <w:pPr>
              <w:ind w:right="-360"/>
              <w:jc w:val="center"/>
              <w:rPr>
                <w:sz w:val="21"/>
                <w:szCs w:val="21"/>
                <w:u w:val="single"/>
              </w:rPr>
            </w:pPr>
            <w:r w:rsidRPr="00250818">
              <w:rPr>
                <w:sz w:val="21"/>
                <w:szCs w:val="21"/>
                <w:u w:val="single"/>
              </w:rPr>
              <w:t>per therm</w:t>
            </w:r>
          </w:p>
        </w:tc>
        <w:tc>
          <w:tcPr>
            <w:tcW w:w="1080" w:type="dxa"/>
            <w:tcBorders>
              <w:top w:val="nil"/>
              <w:left w:val="nil"/>
              <w:bottom w:val="nil"/>
              <w:right w:val="nil"/>
            </w:tcBorders>
            <w:shd w:val="clear" w:color="auto" w:fill="auto"/>
            <w:noWrap/>
            <w:vAlign w:val="bottom"/>
          </w:tcPr>
          <w:p w:rsidR="003A24DA" w:rsidRPr="00250818" w:rsidRDefault="003A24DA" w:rsidP="007D292A">
            <w:pPr>
              <w:ind w:right="-360"/>
              <w:jc w:val="center"/>
              <w:rPr>
                <w:b/>
                <w:sz w:val="21"/>
                <w:szCs w:val="21"/>
                <w:u w:val="single"/>
              </w:rPr>
            </w:pPr>
            <w:r w:rsidRPr="00250818">
              <w:rPr>
                <w:b/>
                <w:sz w:val="21"/>
                <w:szCs w:val="21"/>
                <w:u w:val="single"/>
              </w:rPr>
              <w:t>Change</w:t>
            </w:r>
          </w:p>
        </w:tc>
      </w:tr>
      <w:tr w:rsidR="00025CDA" w:rsidRPr="00250818" w:rsidTr="00025CDA">
        <w:trPr>
          <w:trHeight w:val="255"/>
        </w:trPr>
        <w:tc>
          <w:tcPr>
            <w:tcW w:w="1725" w:type="dxa"/>
            <w:tcBorders>
              <w:top w:val="nil"/>
              <w:left w:val="nil"/>
              <w:bottom w:val="nil"/>
              <w:right w:val="nil"/>
            </w:tcBorders>
            <w:shd w:val="clear" w:color="auto" w:fill="auto"/>
            <w:noWrap/>
            <w:vAlign w:val="bottom"/>
          </w:tcPr>
          <w:p w:rsidR="00025CDA" w:rsidRPr="00250818" w:rsidRDefault="00025CDA" w:rsidP="007D292A">
            <w:pPr>
              <w:ind w:right="-360"/>
              <w:rPr>
                <w:sz w:val="21"/>
                <w:szCs w:val="21"/>
              </w:rPr>
            </w:pPr>
            <w:r w:rsidRPr="00250818">
              <w:rPr>
                <w:sz w:val="21"/>
                <w:szCs w:val="21"/>
              </w:rPr>
              <w:t>General</w:t>
            </w:r>
          </w:p>
        </w:tc>
        <w:tc>
          <w:tcPr>
            <w:tcW w:w="597" w:type="dxa"/>
            <w:tcBorders>
              <w:top w:val="nil"/>
              <w:left w:val="nil"/>
              <w:bottom w:val="nil"/>
              <w:right w:val="nil"/>
            </w:tcBorders>
            <w:shd w:val="clear" w:color="auto" w:fill="auto"/>
            <w:noWrap/>
            <w:vAlign w:val="bottom"/>
          </w:tcPr>
          <w:p w:rsidR="00025CDA" w:rsidRPr="00250818" w:rsidRDefault="00025CDA" w:rsidP="00882827">
            <w:pPr>
              <w:ind w:right="-360"/>
              <w:rPr>
                <w:sz w:val="21"/>
                <w:szCs w:val="21"/>
              </w:rPr>
            </w:pPr>
            <w:r w:rsidRPr="00250818">
              <w:rPr>
                <w:sz w:val="21"/>
                <w:szCs w:val="21"/>
              </w:rPr>
              <w:t>101</w:t>
            </w:r>
          </w:p>
        </w:tc>
        <w:tc>
          <w:tcPr>
            <w:tcW w:w="1293" w:type="dxa"/>
            <w:tcBorders>
              <w:top w:val="nil"/>
              <w:left w:val="nil"/>
              <w:bottom w:val="nil"/>
              <w:right w:val="nil"/>
            </w:tcBorders>
            <w:shd w:val="clear" w:color="auto" w:fill="auto"/>
            <w:noWrap/>
            <w:vAlign w:val="bottom"/>
          </w:tcPr>
          <w:p w:rsidR="00025CDA" w:rsidRPr="00250818" w:rsidRDefault="00025CDA" w:rsidP="00025CDA">
            <w:pPr>
              <w:ind w:right="-360"/>
              <w:jc w:val="center"/>
              <w:rPr>
                <w:sz w:val="21"/>
                <w:szCs w:val="21"/>
              </w:rPr>
            </w:pPr>
            <w:r w:rsidRPr="00250818">
              <w:rPr>
                <w:sz w:val="21"/>
                <w:szCs w:val="21"/>
              </w:rPr>
              <w:t>($0.0</w:t>
            </w:r>
            <w:r>
              <w:rPr>
                <w:sz w:val="21"/>
                <w:szCs w:val="21"/>
              </w:rPr>
              <w:t>5818</w:t>
            </w:r>
            <w:r w:rsidRPr="00250818">
              <w:rPr>
                <w:sz w:val="21"/>
                <w:szCs w:val="21"/>
              </w:rPr>
              <w:t>)</w:t>
            </w:r>
          </w:p>
        </w:tc>
        <w:tc>
          <w:tcPr>
            <w:tcW w:w="1170" w:type="dxa"/>
            <w:tcBorders>
              <w:top w:val="nil"/>
              <w:left w:val="nil"/>
              <w:bottom w:val="nil"/>
              <w:right w:val="nil"/>
            </w:tcBorders>
            <w:shd w:val="clear" w:color="auto" w:fill="auto"/>
            <w:noWrap/>
            <w:vAlign w:val="bottom"/>
          </w:tcPr>
          <w:p w:rsidR="00025CDA" w:rsidRPr="00250818" w:rsidRDefault="00025CDA" w:rsidP="00025CDA">
            <w:pPr>
              <w:ind w:right="-360"/>
              <w:jc w:val="center"/>
              <w:rPr>
                <w:sz w:val="21"/>
                <w:szCs w:val="21"/>
              </w:rPr>
            </w:pPr>
            <w:r w:rsidRPr="00250818">
              <w:rPr>
                <w:sz w:val="21"/>
                <w:szCs w:val="21"/>
              </w:rPr>
              <w:t>$0.00</w:t>
            </w:r>
            <w:r>
              <w:rPr>
                <w:sz w:val="21"/>
                <w:szCs w:val="21"/>
              </w:rPr>
              <w:t>000</w:t>
            </w:r>
          </w:p>
        </w:tc>
        <w:tc>
          <w:tcPr>
            <w:tcW w:w="1350" w:type="dxa"/>
            <w:tcBorders>
              <w:top w:val="nil"/>
              <w:left w:val="nil"/>
              <w:bottom w:val="nil"/>
              <w:right w:val="nil"/>
            </w:tcBorders>
            <w:shd w:val="clear" w:color="auto" w:fill="auto"/>
            <w:noWrap/>
            <w:vAlign w:val="bottom"/>
          </w:tcPr>
          <w:p w:rsidR="00025CDA" w:rsidRPr="00250818" w:rsidRDefault="00025CDA" w:rsidP="00025CDA">
            <w:pPr>
              <w:ind w:right="-360"/>
              <w:jc w:val="center"/>
              <w:rPr>
                <w:sz w:val="21"/>
                <w:szCs w:val="21"/>
              </w:rPr>
            </w:pPr>
            <w:r w:rsidRPr="00250818">
              <w:rPr>
                <w:sz w:val="21"/>
                <w:szCs w:val="21"/>
              </w:rPr>
              <w:t>($0.0</w:t>
            </w:r>
            <w:r>
              <w:rPr>
                <w:sz w:val="21"/>
                <w:szCs w:val="21"/>
              </w:rPr>
              <w:t>5818</w:t>
            </w:r>
            <w:r w:rsidRPr="00250818">
              <w:rPr>
                <w:sz w:val="21"/>
                <w:szCs w:val="21"/>
              </w:rPr>
              <w:t>)</w:t>
            </w:r>
          </w:p>
        </w:tc>
        <w:tc>
          <w:tcPr>
            <w:tcW w:w="1170" w:type="dxa"/>
            <w:tcBorders>
              <w:top w:val="nil"/>
              <w:left w:val="nil"/>
              <w:bottom w:val="nil"/>
              <w:right w:val="nil"/>
            </w:tcBorders>
            <w:shd w:val="clear" w:color="auto" w:fill="auto"/>
            <w:noWrap/>
          </w:tcPr>
          <w:p w:rsidR="00025CDA" w:rsidRDefault="00025CDA" w:rsidP="00025CDA">
            <w:pPr>
              <w:jc w:val="center"/>
            </w:pPr>
            <w:r>
              <w:rPr>
                <w:sz w:val="21"/>
                <w:szCs w:val="21"/>
              </w:rPr>
              <w:t xml:space="preserve">   </w:t>
            </w:r>
            <w:r w:rsidRPr="00EA12E4">
              <w:rPr>
                <w:sz w:val="21"/>
                <w:szCs w:val="21"/>
              </w:rPr>
              <w:t>$0.00000</w:t>
            </w:r>
          </w:p>
        </w:tc>
        <w:tc>
          <w:tcPr>
            <w:tcW w:w="1350" w:type="dxa"/>
            <w:tcBorders>
              <w:top w:val="nil"/>
              <w:left w:val="nil"/>
              <w:bottom w:val="nil"/>
              <w:right w:val="nil"/>
            </w:tcBorders>
            <w:shd w:val="clear" w:color="auto" w:fill="auto"/>
            <w:noWrap/>
            <w:vAlign w:val="bottom"/>
          </w:tcPr>
          <w:p w:rsidR="00025CDA" w:rsidRPr="00250818" w:rsidRDefault="00025CDA" w:rsidP="00025CDA">
            <w:pPr>
              <w:ind w:right="-360"/>
              <w:jc w:val="center"/>
              <w:rPr>
                <w:sz w:val="21"/>
                <w:szCs w:val="21"/>
              </w:rPr>
            </w:pPr>
            <w:r w:rsidRPr="00250818">
              <w:rPr>
                <w:sz w:val="21"/>
                <w:szCs w:val="21"/>
              </w:rPr>
              <w:t>($0.0</w:t>
            </w:r>
            <w:r>
              <w:rPr>
                <w:sz w:val="21"/>
                <w:szCs w:val="21"/>
              </w:rPr>
              <w:t>5818</w:t>
            </w:r>
            <w:r w:rsidRPr="00250818">
              <w:rPr>
                <w:sz w:val="21"/>
                <w:szCs w:val="21"/>
              </w:rPr>
              <w:t>)</w:t>
            </w:r>
          </w:p>
        </w:tc>
        <w:tc>
          <w:tcPr>
            <w:tcW w:w="1080" w:type="dxa"/>
            <w:tcBorders>
              <w:top w:val="nil"/>
              <w:left w:val="nil"/>
              <w:bottom w:val="nil"/>
              <w:right w:val="nil"/>
            </w:tcBorders>
            <w:shd w:val="clear" w:color="auto" w:fill="auto"/>
            <w:noWrap/>
            <w:vAlign w:val="bottom"/>
          </w:tcPr>
          <w:p w:rsidR="00025CDA" w:rsidRPr="00250818" w:rsidRDefault="00025CDA" w:rsidP="00025CDA">
            <w:pPr>
              <w:ind w:right="-378"/>
              <w:jc w:val="center"/>
              <w:rPr>
                <w:b/>
                <w:sz w:val="21"/>
                <w:szCs w:val="21"/>
              </w:rPr>
            </w:pPr>
            <w:r>
              <w:rPr>
                <w:b/>
                <w:sz w:val="21"/>
                <w:szCs w:val="21"/>
              </w:rPr>
              <w:t>(6.03</w:t>
            </w:r>
            <w:r w:rsidRPr="00250818">
              <w:rPr>
                <w:b/>
                <w:sz w:val="21"/>
                <w:szCs w:val="21"/>
              </w:rPr>
              <w:t>%</w:t>
            </w:r>
            <w:r>
              <w:rPr>
                <w:b/>
                <w:sz w:val="21"/>
                <w:szCs w:val="21"/>
              </w:rPr>
              <w:t>)</w:t>
            </w:r>
          </w:p>
        </w:tc>
      </w:tr>
      <w:tr w:rsidR="00025CDA" w:rsidRPr="00250818" w:rsidTr="00025CDA">
        <w:trPr>
          <w:trHeight w:val="255"/>
        </w:trPr>
        <w:tc>
          <w:tcPr>
            <w:tcW w:w="1725" w:type="dxa"/>
            <w:tcBorders>
              <w:top w:val="nil"/>
              <w:left w:val="nil"/>
              <w:bottom w:val="nil"/>
              <w:right w:val="nil"/>
            </w:tcBorders>
            <w:shd w:val="clear" w:color="auto" w:fill="auto"/>
            <w:noWrap/>
            <w:vAlign w:val="bottom"/>
          </w:tcPr>
          <w:p w:rsidR="00025CDA" w:rsidRPr="00250818" w:rsidRDefault="00025CDA" w:rsidP="007D292A">
            <w:pPr>
              <w:ind w:right="-360"/>
              <w:rPr>
                <w:sz w:val="21"/>
                <w:szCs w:val="21"/>
              </w:rPr>
            </w:pPr>
            <w:r w:rsidRPr="00250818">
              <w:rPr>
                <w:sz w:val="21"/>
                <w:szCs w:val="21"/>
              </w:rPr>
              <w:t>Large General</w:t>
            </w:r>
          </w:p>
        </w:tc>
        <w:tc>
          <w:tcPr>
            <w:tcW w:w="597" w:type="dxa"/>
            <w:tcBorders>
              <w:top w:val="nil"/>
              <w:left w:val="nil"/>
              <w:bottom w:val="nil"/>
              <w:right w:val="nil"/>
            </w:tcBorders>
            <w:shd w:val="clear" w:color="auto" w:fill="auto"/>
            <w:noWrap/>
            <w:vAlign w:val="bottom"/>
          </w:tcPr>
          <w:p w:rsidR="00025CDA" w:rsidRPr="00250818" w:rsidRDefault="00025CDA" w:rsidP="00882827">
            <w:pPr>
              <w:ind w:right="-360"/>
              <w:rPr>
                <w:sz w:val="21"/>
                <w:szCs w:val="21"/>
              </w:rPr>
            </w:pPr>
            <w:r w:rsidRPr="00250818">
              <w:rPr>
                <w:sz w:val="21"/>
                <w:szCs w:val="21"/>
              </w:rPr>
              <w:t>111</w:t>
            </w:r>
          </w:p>
        </w:tc>
        <w:tc>
          <w:tcPr>
            <w:tcW w:w="1293" w:type="dxa"/>
            <w:tcBorders>
              <w:top w:val="nil"/>
              <w:left w:val="nil"/>
              <w:bottom w:val="nil"/>
              <w:right w:val="nil"/>
            </w:tcBorders>
            <w:shd w:val="clear" w:color="auto" w:fill="auto"/>
            <w:noWrap/>
            <w:vAlign w:val="bottom"/>
          </w:tcPr>
          <w:p w:rsidR="00025CDA" w:rsidRPr="00250818" w:rsidRDefault="00025CDA" w:rsidP="006C552D">
            <w:pPr>
              <w:ind w:right="-360"/>
              <w:jc w:val="center"/>
              <w:rPr>
                <w:sz w:val="21"/>
                <w:szCs w:val="21"/>
              </w:rPr>
            </w:pPr>
            <w:r w:rsidRPr="00250818">
              <w:rPr>
                <w:sz w:val="21"/>
                <w:szCs w:val="21"/>
              </w:rPr>
              <w:t>($0.0</w:t>
            </w:r>
            <w:r>
              <w:rPr>
                <w:sz w:val="21"/>
                <w:szCs w:val="21"/>
              </w:rPr>
              <w:t>5818</w:t>
            </w:r>
            <w:r w:rsidRPr="00250818">
              <w:rPr>
                <w:sz w:val="21"/>
                <w:szCs w:val="21"/>
              </w:rPr>
              <w:t>)</w:t>
            </w:r>
          </w:p>
        </w:tc>
        <w:tc>
          <w:tcPr>
            <w:tcW w:w="1170" w:type="dxa"/>
            <w:tcBorders>
              <w:top w:val="nil"/>
              <w:left w:val="nil"/>
              <w:bottom w:val="nil"/>
              <w:right w:val="nil"/>
            </w:tcBorders>
            <w:shd w:val="clear" w:color="auto" w:fill="auto"/>
            <w:noWrap/>
            <w:vAlign w:val="bottom"/>
          </w:tcPr>
          <w:p w:rsidR="00025CDA" w:rsidRPr="00250818" w:rsidRDefault="00025CDA" w:rsidP="00025CDA">
            <w:pPr>
              <w:ind w:right="-360"/>
              <w:jc w:val="center"/>
              <w:rPr>
                <w:sz w:val="21"/>
                <w:szCs w:val="21"/>
              </w:rPr>
            </w:pPr>
            <w:r w:rsidRPr="00250818">
              <w:rPr>
                <w:sz w:val="21"/>
                <w:szCs w:val="21"/>
              </w:rPr>
              <w:t>$0.00</w:t>
            </w:r>
            <w:r>
              <w:rPr>
                <w:sz w:val="21"/>
                <w:szCs w:val="21"/>
              </w:rPr>
              <w:t>000</w:t>
            </w:r>
          </w:p>
        </w:tc>
        <w:tc>
          <w:tcPr>
            <w:tcW w:w="1350" w:type="dxa"/>
            <w:tcBorders>
              <w:top w:val="nil"/>
              <w:left w:val="nil"/>
              <w:bottom w:val="nil"/>
              <w:right w:val="nil"/>
            </w:tcBorders>
            <w:shd w:val="clear" w:color="auto" w:fill="auto"/>
            <w:noWrap/>
            <w:vAlign w:val="bottom"/>
          </w:tcPr>
          <w:p w:rsidR="00025CDA" w:rsidRPr="00250818" w:rsidRDefault="00025CDA" w:rsidP="00025CDA">
            <w:pPr>
              <w:ind w:right="-360"/>
              <w:jc w:val="center"/>
              <w:rPr>
                <w:sz w:val="21"/>
                <w:szCs w:val="21"/>
              </w:rPr>
            </w:pPr>
            <w:r w:rsidRPr="00250818">
              <w:rPr>
                <w:sz w:val="21"/>
                <w:szCs w:val="21"/>
              </w:rPr>
              <w:t>($0.0</w:t>
            </w:r>
            <w:r>
              <w:rPr>
                <w:sz w:val="21"/>
                <w:szCs w:val="21"/>
              </w:rPr>
              <w:t>5818</w:t>
            </w:r>
            <w:r w:rsidRPr="00250818">
              <w:rPr>
                <w:sz w:val="21"/>
                <w:szCs w:val="21"/>
              </w:rPr>
              <w:t>)</w:t>
            </w:r>
          </w:p>
        </w:tc>
        <w:tc>
          <w:tcPr>
            <w:tcW w:w="1170" w:type="dxa"/>
            <w:tcBorders>
              <w:top w:val="nil"/>
              <w:left w:val="nil"/>
              <w:bottom w:val="nil"/>
              <w:right w:val="nil"/>
            </w:tcBorders>
            <w:shd w:val="clear" w:color="auto" w:fill="auto"/>
            <w:noWrap/>
          </w:tcPr>
          <w:p w:rsidR="00025CDA" w:rsidRDefault="00025CDA" w:rsidP="00025CDA">
            <w:pPr>
              <w:jc w:val="center"/>
            </w:pPr>
            <w:r>
              <w:rPr>
                <w:sz w:val="21"/>
                <w:szCs w:val="21"/>
              </w:rPr>
              <w:t xml:space="preserve">   </w:t>
            </w:r>
            <w:r w:rsidRPr="00EA12E4">
              <w:rPr>
                <w:sz w:val="21"/>
                <w:szCs w:val="21"/>
              </w:rPr>
              <w:t>$0.00000</w:t>
            </w:r>
          </w:p>
        </w:tc>
        <w:tc>
          <w:tcPr>
            <w:tcW w:w="1350" w:type="dxa"/>
            <w:tcBorders>
              <w:top w:val="nil"/>
              <w:left w:val="nil"/>
              <w:bottom w:val="nil"/>
              <w:right w:val="nil"/>
            </w:tcBorders>
            <w:shd w:val="clear" w:color="auto" w:fill="auto"/>
            <w:noWrap/>
            <w:vAlign w:val="bottom"/>
          </w:tcPr>
          <w:p w:rsidR="00025CDA" w:rsidRPr="00250818" w:rsidRDefault="00025CDA" w:rsidP="00025CDA">
            <w:pPr>
              <w:ind w:right="-360"/>
              <w:jc w:val="center"/>
              <w:rPr>
                <w:sz w:val="21"/>
                <w:szCs w:val="21"/>
              </w:rPr>
            </w:pPr>
            <w:r w:rsidRPr="00250818">
              <w:rPr>
                <w:sz w:val="21"/>
                <w:szCs w:val="21"/>
              </w:rPr>
              <w:t>($0.0</w:t>
            </w:r>
            <w:r>
              <w:rPr>
                <w:sz w:val="21"/>
                <w:szCs w:val="21"/>
              </w:rPr>
              <w:t>5818</w:t>
            </w:r>
            <w:r w:rsidRPr="00250818">
              <w:rPr>
                <w:sz w:val="21"/>
                <w:szCs w:val="21"/>
              </w:rPr>
              <w:t>)</w:t>
            </w:r>
          </w:p>
        </w:tc>
        <w:tc>
          <w:tcPr>
            <w:tcW w:w="1080" w:type="dxa"/>
            <w:tcBorders>
              <w:top w:val="nil"/>
              <w:left w:val="nil"/>
              <w:bottom w:val="nil"/>
              <w:right w:val="nil"/>
            </w:tcBorders>
            <w:shd w:val="clear" w:color="auto" w:fill="auto"/>
            <w:noWrap/>
            <w:vAlign w:val="bottom"/>
          </w:tcPr>
          <w:p w:rsidR="00025CDA" w:rsidRPr="00250818" w:rsidRDefault="00025CDA" w:rsidP="00025CDA">
            <w:pPr>
              <w:ind w:right="-360"/>
              <w:jc w:val="center"/>
              <w:rPr>
                <w:b/>
                <w:sz w:val="21"/>
                <w:szCs w:val="21"/>
              </w:rPr>
            </w:pPr>
            <w:r>
              <w:rPr>
                <w:b/>
                <w:sz w:val="21"/>
                <w:szCs w:val="21"/>
              </w:rPr>
              <w:t>(7.55</w:t>
            </w:r>
            <w:r w:rsidRPr="00250818">
              <w:rPr>
                <w:b/>
                <w:sz w:val="21"/>
                <w:szCs w:val="21"/>
              </w:rPr>
              <w:t>%</w:t>
            </w:r>
            <w:r>
              <w:rPr>
                <w:b/>
                <w:sz w:val="21"/>
                <w:szCs w:val="21"/>
              </w:rPr>
              <w:t>)</w:t>
            </w:r>
          </w:p>
        </w:tc>
      </w:tr>
      <w:tr w:rsidR="00025CDA" w:rsidRPr="00250818" w:rsidTr="00025CDA">
        <w:trPr>
          <w:trHeight w:val="255"/>
        </w:trPr>
        <w:tc>
          <w:tcPr>
            <w:tcW w:w="1725" w:type="dxa"/>
            <w:tcBorders>
              <w:top w:val="nil"/>
              <w:left w:val="nil"/>
              <w:bottom w:val="nil"/>
              <w:right w:val="nil"/>
            </w:tcBorders>
            <w:shd w:val="clear" w:color="auto" w:fill="auto"/>
            <w:noWrap/>
            <w:vAlign w:val="bottom"/>
          </w:tcPr>
          <w:p w:rsidR="00025CDA" w:rsidRPr="00250818" w:rsidRDefault="00025CDA" w:rsidP="00C35E27">
            <w:pPr>
              <w:ind w:right="-360"/>
              <w:rPr>
                <w:sz w:val="21"/>
                <w:szCs w:val="21"/>
              </w:rPr>
            </w:pPr>
            <w:r w:rsidRPr="00250818">
              <w:rPr>
                <w:sz w:val="21"/>
                <w:szCs w:val="21"/>
              </w:rPr>
              <w:t>Ex. Large General</w:t>
            </w:r>
          </w:p>
        </w:tc>
        <w:tc>
          <w:tcPr>
            <w:tcW w:w="597" w:type="dxa"/>
            <w:tcBorders>
              <w:top w:val="nil"/>
              <w:left w:val="nil"/>
              <w:bottom w:val="nil"/>
              <w:right w:val="nil"/>
            </w:tcBorders>
            <w:shd w:val="clear" w:color="auto" w:fill="auto"/>
            <w:noWrap/>
            <w:vAlign w:val="bottom"/>
          </w:tcPr>
          <w:p w:rsidR="00025CDA" w:rsidRPr="00250818" w:rsidRDefault="00025CDA" w:rsidP="00882827">
            <w:pPr>
              <w:ind w:right="-360"/>
              <w:rPr>
                <w:sz w:val="21"/>
                <w:szCs w:val="21"/>
              </w:rPr>
            </w:pPr>
            <w:r w:rsidRPr="00250818">
              <w:rPr>
                <w:sz w:val="21"/>
                <w:szCs w:val="21"/>
              </w:rPr>
              <w:t>121</w:t>
            </w:r>
          </w:p>
        </w:tc>
        <w:tc>
          <w:tcPr>
            <w:tcW w:w="1293" w:type="dxa"/>
            <w:tcBorders>
              <w:top w:val="nil"/>
              <w:left w:val="nil"/>
              <w:bottom w:val="nil"/>
              <w:right w:val="nil"/>
            </w:tcBorders>
            <w:shd w:val="clear" w:color="auto" w:fill="auto"/>
            <w:noWrap/>
            <w:vAlign w:val="bottom"/>
          </w:tcPr>
          <w:p w:rsidR="00025CDA" w:rsidRPr="00250818" w:rsidRDefault="00025CDA" w:rsidP="006C552D">
            <w:pPr>
              <w:ind w:right="-360"/>
              <w:jc w:val="center"/>
              <w:rPr>
                <w:sz w:val="21"/>
                <w:szCs w:val="21"/>
              </w:rPr>
            </w:pPr>
            <w:r w:rsidRPr="00250818">
              <w:rPr>
                <w:sz w:val="21"/>
                <w:szCs w:val="21"/>
              </w:rPr>
              <w:t>($0.0</w:t>
            </w:r>
            <w:r>
              <w:rPr>
                <w:sz w:val="21"/>
                <w:szCs w:val="21"/>
              </w:rPr>
              <w:t>5818</w:t>
            </w:r>
            <w:r w:rsidRPr="00250818">
              <w:rPr>
                <w:sz w:val="21"/>
                <w:szCs w:val="21"/>
              </w:rPr>
              <w:t>)</w:t>
            </w:r>
          </w:p>
        </w:tc>
        <w:tc>
          <w:tcPr>
            <w:tcW w:w="1170" w:type="dxa"/>
            <w:tcBorders>
              <w:top w:val="nil"/>
              <w:left w:val="nil"/>
              <w:bottom w:val="nil"/>
              <w:right w:val="nil"/>
            </w:tcBorders>
            <w:shd w:val="clear" w:color="auto" w:fill="auto"/>
            <w:noWrap/>
            <w:vAlign w:val="bottom"/>
          </w:tcPr>
          <w:p w:rsidR="00025CDA" w:rsidRPr="00250818" w:rsidRDefault="00025CDA" w:rsidP="00025CDA">
            <w:pPr>
              <w:ind w:right="-360"/>
              <w:jc w:val="center"/>
              <w:rPr>
                <w:sz w:val="21"/>
                <w:szCs w:val="21"/>
              </w:rPr>
            </w:pPr>
            <w:r w:rsidRPr="00250818">
              <w:rPr>
                <w:sz w:val="21"/>
                <w:szCs w:val="21"/>
              </w:rPr>
              <w:t>$0.00</w:t>
            </w:r>
            <w:r>
              <w:rPr>
                <w:sz w:val="21"/>
                <w:szCs w:val="21"/>
              </w:rPr>
              <w:t>000</w:t>
            </w:r>
          </w:p>
        </w:tc>
        <w:tc>
          <w:tcPr>
            <w:tcW w:w="1350" w:type="dxa"/>
            <w:tcBorders>
              <w:top w:val="nil"/>
              <w:left w:val="nil"/>
              <w:bottom w:val="nil"/>
              <w:right w:val="nil"/>
            </w:tcBorders>
            <w:shd w:val="clear" w:color="auto" w:fill="auto"/>
            <w:noWrap/>
            <w:vAlign w:val="bottom"/>
          </w:tcPr>
          <w:p w:rsidR="00025CDA" w:rsidRPr="00250818" w:rsidRDefault="00025CDA" w:rsidP="00025CDA">
            <w:pPr>
              <w:ind w:right="-360"/>
              <w:jc w:val="center"/>
              <w:rPr>
                <w:sz w:val="21"/>
                <w:szCs w:val="21"/>
              </w:rPr>
            </w:pPr>
            <w:r w:rsidRPr="00250818">
              <w:rPr>
                <w:sz w:val="21"/>
                <w:szCs w:val="21"/>
              </w:rPr>
              <w:t>($0.0</w:t>
            </w:r>
            <w:r>
              <w:rPr>
                <w:sz w:val="21"/>
                <w:szCs w:val="21"/>
              </w:rPr>
              <w:t>5818</w:t>
            </w:r>
            <w:r w:rsidRPr="00250818">
              <w:rPr>
                <w:sz w:val="21"/>
                <w:szCs w:val="21"/>
              </w:rPr>
              <w:t>)</w:t>
            </w:r>
          </w:p>
        </w:tc>
        <w:tc>
          <w:tcPr>
            <w:tcW w:w="1170" w:type="dxa"/>
            <w:tcBorders>
              <w:top w:val="nil"/>
              <w:left w:val="nil"/>
              <w:bottom w:val="nil"/>
              <w:right w:val="nil"/>
            </w:tcBorders>
            <w:shd w:val="clear" w:color="auto" w:fill="auto"/>
            <w:noWrap/>
          </w:tcPr>
          <w:p w:rsidR="00025CDA" w:rsidRDefault="00025CDA" w:rsidP="00025CDA">
            <w:pPr>
              <w:jc w:val="center"/>
            </w:pPr>
            <w:r>
              <w:rPr>
                <w:sz w:val="21"/>
                <w:szCs w:val="21"/>
              </w:rPr>
              <w:t xml:space="preserve">   </w:t>
            </w:r>
            <w:r w:rsidRPr="00EA12E4">
              <w:rPr>
                <w:sz w:val="21"/>
                <w:szCs w:val="21"/>
              </w:rPr>
              <w:t>$0.00000</w:t>
            </w:r>
          </w:p>
        </w:tc>
        <w:tc>
          <w:tcPr>
            <w:tcW w:w="1350" w:type="dxa"/>
            <w:tcBorders>
              <w:top w:val="nil"/>
              <w:left w:val="nil"/>
              <w:bottom w:val="nil"/>
              <w:right w:val="nil"/>
            </w:tcBorders>
            <w:shd w:val="clear" w:color="auto" w:fill="auto"/>
            <w:noWrap/>
            <w:vAlign w:val="bottom"/>
          </w:tcPr>
          <w:p w:rsidR="00025CDA" w:rsidRPr="00250818" w:rsidRDefault="00025CDA" w:rsidP="00025CDA">
            <w:pPr>
              <w:ind w:right="-360"/>
              <w:jc w:val="center"/>
              <w:rPr>
                <w:sz w:val="21"/>
                <w:szCs w:val="21"/>
              </w:rPr>
            </w:pPr>
            <w:r w:rsidRPr="00250818">
              <w:rPr>
                <w:sz w:val="21"/>
                <w:szCs w:val="21"/>
              </w:rPr>
              <w:t>($0.0</w:t>
            </w:r>
            <w:r>
              <w:rPr>
                <w:sz w:val="21"/>
                <w:szCs w:val="21"/>
              </w:rPr>
              <w:t>5818</w:t>
            </w:r>
            <w:r w:rsidRPr="00250818">
              <w:rPr>
                <w:sz w:val="21"/>
                <w:szCs w:val="21"/>
              </w:rPr>
              <w:t>)</w:t>
            </w:r>
          </w:p>
        </w:tc>
        <w:tc>
          <w:tcPr>
            <w:tcW w:w="1080" w:type="dxa"/>
            <w:tcBorders>
              <w:top w:val="nil"/>
              <w:left w:val="nil"/>
              <w:bottom w:val="nil"/>
              <w:right w:val="nil"/>
            </w:tcBorders>
            <w:shd w:val="clear" w:color="auto" w:fill="auto"/>
            <w:noWrap/>
            <w:vAlign w:val="bottom"/>
          </w:tcPr>
          <w:p w:rsidR="00025CDA" w:rsidRPr="00250818" w:rsidRDefault="00025CDA" w:rsidP="00025CDA">
            <w:pPr>
              <w:ind w:right="-360"/>
              <w:jc w:val="center"/>
              <w:rPr>
                <w:b/>
                <w:sz w:val="21"/>
                <w:szCs w:val="21"/>
              </w:rPr>
            </w:pPr>
            <w:r>
              <w:rPr>
                <w:b/>
                <w:sz w:val="21"/>
                <w:szCs w:val="21"/>
              </w:rPr>
              <w:t>(8.20</w:t>
            </w:r>
            <w:r w:rsidRPr="00250818">
              <w:rPr>
                <w:b/>
                <w:sz w:val="21"/>
                <w:szCs w:val="21"/>
              </w:rPr>
              <w:t>%</w:t>
            </w:r>
            <w:r>
              <w:rPr>
                <w:b/>
                <w:sz w:val="21"/>
                <w:szCs w:val="21"/>
              </w:rPr>
              <w:t>)</w:t>
            </w:r>
          </w:p>
        </w:tc>
      </w:tr>
      <w:tr w:rsidR="00025CDA" w:rsidRPr="00250818" w:rsidTr="00025CDA">
        <w:trPr>
          <w:trHeight w:val="255"/>
        </w:trPr>
        <w:tc>
          <w:tcPr>
            <w:tcW w:w="1725" w:type="dxa"/>
            <w:tcBorders>
              <w:top w:val="nil"/>
              <w:left w:val="nil"/>
              <w:bottom w:val="nil"/>
              <w:right w:val="nil"/>
            </w:tcBorders>
            <w:shd w:val="clear" w:color="auto" w:fill="auto"/>
            <w:noWrap/>
            <w:vAlign w:val="bottom"/>
          </w:tcPr>
          <w:p w:rsidR="00025CDA" w:rsidRPr="00250818" w:rsidRDefault="00025CDA" w:rsidP="007D292A">
            <w:pPr>
              <w:ind w:right="-360"/>
              <w:rPr>
                <w:sz w:val="21"/>
                <w:szCs w:val="21"/>
              </w:rPr>
            </w:pPr>
            <w:r w:rsidRPr="00250818">
              <w:rPr>
                <w:sz w:val="21"/>
                <w:szCs w:val="21"/>
              </w:rPr>
              <w:t>Interruptible</w:t>
            </w:r>
          </w:p>
        </w:tc>
        <w:tc>
          <w:tcPr>
            <w:tcW w:w="597" w:type="dxa"/>
            <w:tcBorders>
              <w:top w:val="nil"/>
              <w:left w:val="nil"/>
              <w:bottom w:val="nil"/>
              <w:right w:val="nil"/>
            </w:tcBorders>
            <w:shd w:val="clear" w:color="auto" w:fill="auto"/>
            <w:noWrap/>
            <w:vAlign w:val="bottom"/>
          </w:tcPr>
          <w:p w:rsidR="00025CDA" w:rsidRPr="00250818" w:rsidRDefault="00025CDA" w:rsidP="00882827">
            <w:pPr>
              <w:ind w:right="-360"/>
              <w:rPr>
                <w:sz w:val="21"/>
                <w:szCs w:val="21"/>
              </w:rPr>
            </w:pPr>
            <w:r w:rsidRPr="00250818">
              <w:rPr>
                <w:sz w:val="21"/>
                <w:szCs w:val="21"/>
              </w:rPr>
              <w:t>131</w:t>
            </w:r>
          </w:p>
        </w:tc>
        <w:tc>
          <w:tcPr>
            <w:tcW w:w="1293" w:type="dxa"/>
            <w:tcBorders>
              <w:top w:val="nil"/>
              <w:left w:val="nil"/>
              <w:bottom w:val="nil"/>
              <w:right w:val="nil"/>
            </w:tcBorders>
            <w:shd w:val="clear" w:color="auto" w:fill="auto"/>
            <w:noWrap/>
            <w:vAlign w:val="bottom"/>
          </w:tcPr>
          <w:p w:rsidR="00025CDA" w:rsidRPr="00250818" w:rsidRDefault="00025CDA" w:rsidP="006C552D">
            <w:pPr>
              <w:ind w:right="-360"/>
              <w:jc w:val="center"/>
              <w:rPr>
                <w:b/>
                <w:sz w:val="21"/>
                <w:szCs w:val="21"/>
              </w:rPr>
            </w:pPr>
            <w:r w:rsidRPr="00250818">
              <w:rPr>
                <w:sz w:val="21"/>
                <w:szCs w:val="21"/>
              </w:rPr>
              <w:t>($0.0</w:t>
            </w:r>
            <w:r>
              <w:rPr>
                <w:sz w:val="21"/>
                <w:szCs w:val="21"/>
              </w:rPr>
              <w:t>5818</w:t>
            </w:r>
            <w:r w:rsidRPr="00250818">
              <w:rPr>
                <w:sz w:val="21"/>
                <w:szCs w:val="21"/>
              </w:rPr>
              <w:t>)</w:t>
            </w:r>
          </w:p>
        </w:tc>
        <w:tc>
          <w:tcPr>
            <w:tcW w:w="1170" w:type="dxa"/>
            <w:tcBorders>
              <w:top w:val="nil"/>
              <w:left w:val="nil"/>
              <w:bottom w:val="nil"/>
              <w:right w:val="nil"/>
            </w:tcBorders>
            <w:shd w:val="clear" w:color="auto" w:fill="auto"/>
            <w:noWrap/>
            <w:vAlign w:val="bottom"/>
          </w:tcPr>
          <w:p w:rsidR="00025CDA" w:rsidRPr="00250818" w:rsidRDefault="00025CDA" w:rsidP="00025CDA">
            <w:pPr>
              <w:ind w:right="-360"/>
              <w:jc w:val="center"/>
              <w:rPr>
                <w:sz w:val="21"/>
                <w:szCs w:val="21"/>
              </w:rPr>
            </w:pPr>
            <w:r w:rsidRPr="00250818">
              <w:rPr>
                <w:sz w:val="21"/>
                <w:szCs w:val="21"/>
              </w:rPr>
              <w:t>$0.00</w:t>
            </w:r>
            <w:r>
              <w:rPr>
                <w:sz w:val="21"/>
                <w:szCs w:val="21"/>
              </w:rPr>
              <w:t>000</w:t>
            </w:r>
          </w:p>
        </w:tc>
        <w:tc>
          <w:tcPr>
            <w:tcW w:w="1350" w:type="dxa"/>
            <w:tcBorders>
              <w:top w:val="nil"/>
              <w:left w:val="nil"/>
              <w:bottom w:val="nil"/>
              <w:right w:val="nil"/>
            </w:tcBorders>
            <w:shd w:val="clear" w:color="auto" w:fill="auto"/>
            <w:noWrap/>
            <w:vAlign w:val="bottom"/>
          </w:tcPr>
          <w:p w:rsidR="00025CDA" w:rsidRPr="00250818" w:rsidRDefault="00025CDA" w:rsidP="00025CDA">
            <w:pPr>
              <w:ind w:right="-360"/>
              <w:jc w:val="center"/>
              <w:rPr>
                <w:b/>
                <w:sz w:val="21"/>
                <w:szCs w:val="21"/>
              </w:rPr>
            </w:pPr>
            <w:r w:rsidRPr="00250818">
              <w:rPr>
                <w:sz w:val="21"/>
                <w:szCs w:val="21"/>
              </w:rPr>
              <w:t>($0.0</w:t>
            </w:r>
            <w:r>
              <w:rPr>
                <w:sz w:val="21"/>
                <w:szCs w:val="21"/>
              </w:rPr>
              <w:t>5818</w:t>
            </w:r>
            <w:r w:rsidRPr="00250818">
              <w:rPr>
                <w:sz w:val="21"/>
                <w:szCs w:val="21"/>
              </w:rPr>
              <w:t>)</w:t>
            </w:r>
          </w:p>
        </w:tc>
        <w:tc>
          <w:tcPr>
            <w:tcW w:w="1170" w:type="dxa"/>
            <w:tcBorders>
              <w:top w:val="nil"/>
              <w:left w:val="nil"/>
              <w:bottom w:val="nil"/>
              <w:right w:val="nil"/>
            </w:tcBorders>
            <w:shd w:val="clear" w:color="auto" w:fill="auto"/>
            <w:noWrap/>
          </w:tcPr>
          <w:p w:rsidR="00025CDA" w:rsidRDefault="00025CDA" w:rsidP="00025CDA">
            <w:pPr>
              <w:jc w:val="center"/>
            </w:pPr>
            <w:r>
              <w:rPr>
                <w:sz w:val="21"/>
                <w:szCs w:val="21"/>
              </w:rPr>
              <w:t xml:space="preserve">   </w:t>
            </w:r>
            <w:r w:rsidRPr="00EA12E4">
              <w:rPr>
                <w:sz w:val="21"/>
                <w:szCs w:val="21"/>
              </w:rPr>
              <w:t>$0.00000</w:t>
            </w:r>
          </w:p>
        </w:tc>
        <w:tc>
          <w:tcPr>
            <w:tcW w:w="1350" w:type="dxa"/>
            <w:tcBorders>
              <w:top w:val="nil"/>
              <w:left w:val="nil"/>
              <w:bottom w:val="nil"/>
              <w:right w:val="nil"/>
            </w:tcBorders>
            <w:shd w:val="clear" w:color="auto" w:fill="auto"/>
            <w:noWrap/>
            <w:vAlign w:val="bottom"/>
          </w:tcPr>
          <w:p w:rsidR="00025CDA" w:rsidRPr="00250818" w:rsidRDefault="00025CDA" w:rsidP="00025CDA">
            <w:pPr>
              <w:ind w:right="-360"/>
              <w:jc w:val="center"/>
              <w:rPr>
                <w:b/>
                <w:sz w:val="21"/>
                <w:szCs w:val="21"/>
              </w:rPr>
            </w:pPr>
            <w:r w:rsidRPr="00250818">
              <w:rPr>
                <w:sz w:val="21"/>
                <w:szCs w:val="21"/>
              </w:rPr>
              <w:t>($0.0</w:t>
            </w:r>
            <w:r>
              <w:rPr>
                <w:sz w:val="21"/>
                <w:szCs w:val="21"/>
              </w:rPr>
              <w:t>5818</w:t>
            </w:r>
            <w:r w:rsidRPr="00250818">
              <w:rPr>
                <w:sz w:val="21"/>
                <w:szCs w:val="21"/>
              </w:rPr>
              <w:t>)</w:t>
            </w:r>
          </w:p>
        </w:tc>
        <w:tc>
          <w:tcPr>
            <w:tcW w:w="1080" w:type="dxa"/>
            <w:tcBorders>
              <w:top w:val="nil"/>
              <w:left w:val="nil"/>
              <w:bottom w:val="nil"/>
              <w:right w:val="nil"/>
            </w:tcBorders>
            <w:shd w:val="clear" w:color="auto" w:fill="auto"/>
            <w:noWrap/>
            <w:vAlign w:val="bottom"/>
          </w:tcPr>
          <w:p w:rsidR="00025CDA" w:rsidRPr="00250818" w:rsidRDefault="00025CDA" w:rsidP="00025CDA">
            <w:pPr>
              <w:ind w:right="-360"/>
              <w:jc w:val="center"/>
              <w:rPr>
                <w:b/>
                <w:sz w:val="21"/>
                <w:szCs w:val="21"/>
              </w:rPr>
            </w:pPr>
            <w:r>
              <w:rPr>
                <w:b/>
                <w:sz w:val="21"/>
                <w:szCs w:val="21"/>
              </w:rPr>
              <w:t>(9.46</w:t>
            </w:r>
            <w:r w:rsidRPr="00250818">
              <w:rPr>
                <w:b/>
                <w:sz w:val="21"/>
                <w:szCs w:val="21"/>
              </w:rPr>
              <w:t>%</w:t>
            </w:r>
            <w:r>
              <w:rPr>
                <w:b/>
                <w:sz w:val="21"/>
                <w:szCs w:val="21"/>
              </w:rPr>
              <w:t>)</w:t>
            </w:r>
          </w:p>
        </w:tc>
      </w:tr>
      <w:tr w:rsidR="00025CDA" w:rsidRPr="00250818" w:rsidTr="00025CDA">
        <w:trPr>
          <w:trHeight w:val="255"/>
        </w:trPr>
        <w:tc>
          <w:tcPr>
            <w:tcW w:w="1725" w:type="dxa"/>
            <w:tcBorders>
              <w:top w:val="nil"/>
              <w:left w:val="nil"/>
              <w:bottom w:val="nil"/>
              <w:right w:val="nil"/>
            </w:tcBorders>
            <w:shd w:val="clear" w:color="auto" w:fill="auto"/>
            <w:noWrap/>
            <w:vAlign w:val="bottom"/>
          </w:tcPr>
          <w:p w:rsidR="00025CDA" w:rsidRPr="00250818" w:rsidRDefault="00025CDA" w:rsidP="007D292A">
            <w:pPr>
              <w:ind w:right="-360"/>
              <w:rPr>
                <w:sz w:val="21"/>
                <w:szCs w:val="21"/>
              </w:rPr>
            </w:pPr>
            <w:r>
              <w:rPr>
                <w:sz w:val="21"/>
                <w:szCs w:val="21"/>
              </w:rPr>
              <w:t>Transportation</w:t>
            </w:r>
          </w:p>
        </w:tc>
        <w:tc>
          <w:tcPr>
            <w:tcW w:w="597" w:type="dxa"/>
            <w:tcBorders>
              <w:top w:val="nil"/>
              <w:left w:val="nil"/>
              <w:bottom w:val="nil"/>
              <w:right w:val="nil"/>
            </w:tcBorders>
            <w:shd w:val="clear" w:color="auto" w:fill="auto"/>
            <w:noWrap/>
            <w:vAlign w:val="bottom"/>
          </w:tcPr>
          <w:p w:rsidR="00025CDA" w:rsidRPr="00250818" w:rsidRDefault="00025CDA" w:rsidP="00882827">
            <w:pPr>
              <w:ind w:right="-360"/>
              <w:rPr>
                <w:sz w:val="21"/>
                <w:szCs w:val="21"/>
              </w:rPr>
            </w:pPr>
            <w:r>
              <w:rPr>
                <w:sz w:val="21"/>
                <w:szCs w:val="21"/>
              </w:rPr>
              <w:t>146</w:t>
            </w:r>
          </w:p>
        </w:tc>
        <w:tc>
          <w:tcPr>
            <w:tcW w:w="1293" w:type="dxa"/>
            <w:tcBorders>
              <w:top w:val="nil"/>
              <w:left w:val="nil"/>
              <w:bottom w:val="nil"/>
              <w:right w:val="nil"/>
            </w:tcBorders>
            <w:shd w:val="clear" w:color="auto" w:fill="auto"/>
            <w:noWrap/>
            <w:vAlign w:val="bottom"/>
          </w:tcPr>
          <w:p w:rsidR="00025CDA" w:rsidRPr="00250818" w:rsidRDefault="00025CDA" w:rsidP="006C552D">
            <w:pPr>
              <w:ind w:right="-360"/>
              <w:jc w:val="center"/>
              <w:rPr>
                <w:sz w:val="21"/>
                <w:szCs w:val="21"/>
              </w:rPr>
            </w:pPr>
            <w:r>
              <w:rPr>
                <w:sz w:val="21"/>
                <w:szCs w:val="21"/>
              </w:rPr>
              <w:t>$0.00000</w:t>
            </w:r>
          </w:p>
        </w:tc>
        <w:tc>
          <w:tcPr>
            <w:tcW w:w="1170" w:type="dxa"/>
            <w:tcBorders>
              <w:top w:val="nil"/>
              <w:left w:val="nil"/>
              <w:bottom w:val="nil"/>
              <w:right w:val="nil"/>
            </w:tcBorders>
            <w:shd w:val="clear" w:color="auto" w:fill="auto"/>
            <w:noWrap/>
            <w:vAlign w:val="bottom"/>
          </w:tcPr>
          <w:p w:rsidR="00025CDA" w:rsidRPr="00250818" w:rsidRDefault="00025CDA" w:rsidP="006C552D">
            <w:pPr>
              <w:ind w:right="-360"/>
              <w:jc w:val="center"/>
              <w:rPr>
                <w:sz w:val="21"/>
                <w:szCs w:val="21"/>
              </w:rPr>
            </w:pPr>
            <w:r>
              <w:rPr>
                <w:sz w:val="21"/>
                <w:szCs w:val="21"/>
              </w:rPr>
              <w:t>$0.00000</w:t>
            </w:r>
          </w:p>
        </w:tc>
        <w:tc>
          <w:tcPr>
            <w:tcW w:w="1350" w:type="dxa"/>
            <w:tcBorders>
              <w:top w:val="nil"/>
              <w:left w:val="nil"/>
              <w:bottom w:val="nil"/>
              <w:right w:val="nil"/>
            </w:tcBorders>
            <w:shd w:val="clear" w:color="auto" w:fill="auto"/>
            <w:noWrap/>
            <w:vAlign w:val="bottom"/>
          </w:tcPr>
          <w:p w:rsidR="00025CDA" w:rsidRPr="00250818" w:rsidRDefault="00025CDA" w:rsidP="00025CDA">
            <w:pPr>
              <w:ind w:right="-360"/>
              <w:jc w:val="center"/>
              <w:rPr>
                <w:sz w:val="21"/>
                <w:szCs w:val="21"/>
              </w:rPr>
            </w:pPr>
            <w:r>
              <w:rPr>
                <w:sz w:val="21"/>
                <w:szCs w:val="21"/>
              </w:rPr>
              <w:t>$0.00000</w:t>
            </w:r>
          </w:p>
        </w:tc>
        <w:tc>
          <w:tcPr>
            <w:tcW w:w="1170" w:type="dxa"/>
            <w:tcBorders>
              <w:top w:val="nil"/>
              <w:left w:val="nil"/>
              <w:bottom w:val="nil"/>
              <w:right w:val="nil"/>
            </w:tcBorders>
            <w:shd w:val="clear" w:color="auto" w:fill="auto"/>
            <w:noWrap/>
          </w:tcPr>
          <w:p w:rsidR="00025CDA" w:rsidRDefault="00025CDA" w:rsidP="00025CDA">
            <w:pPr>
              <w:jc w:val="center"/>
            </w:pPr>
            <w:r>
              <w:rPr>
                <w:sz w:val="21"/>
                <w:szCs w:val="21"/>
              </w:rPr>
              <w:t xml:space="preserve">   </w:t>
            </w:r>
            <w:r w:rsidRPr="00EA12E4">
              <w:rPr>
                <w:sz w:val="21"/>
                <w:szCs w:val="21"/>
              </w:rPr>
              <w:t>$0.00000</w:t>
            </w:r>
          </w:p>
        </w:tc>
        <w:tc>
          <w:tcPr>
            <w:tcW w:w="1350" w:type="dxa"/>
            <w:tcBorders>
              <w:top w:val="nil"/>
              <w:left w:val="nil"/>
              <w:bottom w:val="nil"/>
              <w:right w:val="nil"/>
            </w:tcBorders>
            <w:shd w:val="clear" w:color="auto" w:fill="auto"/>
            <w:noWrap/>
            <w:vAlign w:val="bottom"/>
          </w:tcPr>
          <w:p w:rsidR="00025CDA" w:rsidRPr="00250818" w:rsidRDefault="00025CDA" w:rsidP="00025CDA">
            <w:pPr>
              <w:ind w:right="-360"/>
              <w:jc w:val="center"/>
              <w:rPr>
                <w:sz w:val="21"/>
                <w:szCs w:val="21"/>
              </w:rPr>
            </w:pPr>
            <w:r>
              <w:rPr>
                <w:sz w:val="21"/>
                <w:szCs w:val="21"/>
              </w:rPr>
              <w:t>$0.00000</w:t>
            </w:r>
          </w:p>
        </w:tc>
        <w:tc>
          <w:tcPr>
            <w:tcW w:w="1080" w:type="dxa"/>
            <w:tcBorders>
              <w:top w:val="nil"/>
              <w:left w:val="nil"/>
              <w:bottom w:val="nil"/>
              <w:right w:val="nil"/>
            </w:tcBorders>
            <w:shd w:val="clear" w:color="auto" w:fill="auto"/>
            <w:noWrap/>
            <w:vAlign w:val="bottom"/>
          </w:tcPr>
          <w:p w:rsidR="00025CDA" w:rsidRPr="00250818" w:rsidRDefault="00025CDA" w:rsidP="00025CDA">
            <w:pPr>
              <w:ind w:right="-360"/>
              <w:jc w:val="center"/>
              <w:rPr>
                <w:b/>
                <w:sz w:val="21"/>
                <w:szCs w:val="21"/>
              </w:rPr>
            </w:pPr>
            <w:r>
              <w:rPr>
                <w:b/>
                <w:sz w:val="21"/>
                <w:szCs w:val="21"/>
              </w:rPr>
              <w:t>0.0%</w:t>
            </w:r>
          </w:p>
        </w:tc>
      </w:tr>
    </w:tbl>
    <w:p w:rsidR="003A24DA" w:rsidRPr="002E0138" w:rsidRDefault="003A24DA" w:rsidP="007D292A">
      <w:pPr>
        <w:ind w:right="-360"/>
        <w:rPr>
          <w:sz w:val="21"/>
          <w:szCs w:val="21"/>
        </w:rPr>
      </w:pPr>
    </w:p>
    <w:p w:rsidR="003A24DA" w:rsidRPr="00EE2529" w:rsidRDefault="003A24DA" w:rsidP="007D292A">
      <w:pPr>
        <w:ind w:right="-360"/>
        <w:jc w:val="both"/>
        <w:rPr>
          <w:sz w:val="24"/>
          <w:szCs w:val="24"/>
        </w:rPr>
      </w:pPr>
      <w:r w:rsidRPr="00EE2529">
        <w:rPr>
          <w:b/>
          <w:sz w:val="24"/>
          <w:szCs w:val="24"/>
          <w:u w:val="single"/>
        </w:rPr>
        <w:t>Commodity Costs</w:t>
      </w:r>
    </w:p>
    <w:p w:rsidR="004C7E4C" w:rsidRDefault="004C7E4C" w:rsidP="007D292A">
      <w:pPr>
        <w:ind w:right="-360"/>
        <w:jc w:val="both"/>
        <w:rPr>
          <w:sz w:val="24"/>
          <w:szCs w:val="24"/>
        </w:rPr>
      </w:pPr>
    </w:p>
    <w:p w:rsidR="00EB4AA3" w:rsidRDefault="004538BD" w:rsidP="00EB4AA3">
      <w:pPr>
        <w:ind w:right="-360"/>
        <w:jc w:val="both"/>
        <w:rPr>
          <w:sz w:val="24"/>
          <w:szCs w:val="24"/>
        </w:rPr>
      </w:pPr>
      <w:r w:rsidRPr="004538BD">
        <w:rPr>
          <w:sz w:val="24"/>
          <w:szCs w:val="24"/>
        </w:rPr>
        <w:t xml:space="preserve">As shown in the table above, the estimated </w:t>
      </w:r>
      <w:r w:rsidRPr="004C40BD">
        <w:rPr>
          <w:sz w:val="24"/>
          <w:szCs w:val="24"/>
        </w:rPr>
        <w:t xml:space="preserve">commodity cost (WACOG) change is a </w:t>
      </w:r>
      <w:r w:rsidRPr="004C40BD">
        <w:rPr>
          <w:i/>
          <w:sz w:val="24"/>
          <w:szCs w:val="24"/>
        </w:rPr>
        <w:t>decrease</w:t>
      </w:r>
      <w:r w:rsidRPr="004C40BD">
        <w:rPr>
          <w:sz w:val="24"/>
          <w:szCs w:val="24"/>
        </w:rPr>
        <w:t xml:space="preserve"> of </w:t>
      </w:r>
      <w:r w:rsidR="00025CDA">
        <w:rPr>
          <w:sz w:val="24"/>
          <w:szCs w:val="24"/>
        </w:rPr>
        <w:t>5.8</w:t>
      </w:r>
      <w:r w:rsidRPr="004C40BD">
        <w:rPr>
          <w:sz w:val="24"/>
          <w:szCs w:val="24"/>
        </w:rPr>
        <w:t xml:space="preserve"> cents per therm.  The proposed WACOG is </w:t>
      </w:r>
      <w:r w:rsidR="00025CDA">
        <w:rPr>
          <w:sz w:val="24"/>
          <w:szCs w:val="24"/>
        </w:rPr>
        <w:t>37.6</w:t>
      </w:r>
      <w:r w:rsidRPr="004C40BD">
        <w:rPr>
          <w:sz w:val="24"/>
          <w:szCs w:val="24"/>
        </w:rPr>
        <w:t xml:space="preserve"> cents per therm</w:t>
      </w:r>
      <w:r w:rsidRPr="004538BD">
        <w:rPr>
          <w:sz w:val="24"/>
          <w:szCs w:val="24"/>
        </w:rPr>
        <w:t xml:space="preserve"> compared to the present WACOG </w:t>
      </w:r>
      <w:r w:rsidRPr="007D292A">
        <w:rPr>
          <w:sz w:val="24"/>
          <w:szCs w:val="24"/>
        </w:rPr>
        <w:t xml:space="preserve">of </w:t>
      </w:r>
      <w:r w:rsidR="00025CDA">
        <w:rPr>
          <w:sz w:val="24"/>
          <w:szCs w:val="24"/>
        </w:rPr>
        <w:t>43.4</w:t>
      </w:r>
      <w:r w:rsidRPr="007D292A">
        <w:rPr>
          <w:sz w:val="24"/>
          <w:szCs w:val="24"/>
        </w:rPr>
        <w:t xml:space="preserve"> cents per therm included in rates.  </w:t>
      </w:r>
    </w:p>
    <w:p w:rsidR="00EB4AA3" w:rsidRDefault="00EB4AA3" w:rsidP="00EB4AA3">
      <w:pPr>
        <w:ind w:right="-360"/>
        <w:jc w:val="both"/>
        <w:rPr>
          <w:sz w:val="24"/>
          <w:szCs w:val="24"/>
        </w:rPr>
      </w:pPr>
    </w:p>
    <w:p w:rsidR="002548BB" w:rsidRPr="00EE2529" w:rsidRDefault="00EB4AA3" w:rsidP="00EB4AA3">
      <w:pPr>
        <w:ind w:right="-360"/>
        <w:jc w:val="both"/>
        <w:rPr>
          <w:sz w:val="24"/>
          <w:szCs w:val="24"/>
        </w:rPr>
      </w:pPr>
      <w:r>
        <w:rPr>
          <w:sz w:val="24"/>
          <w:szCs w:val="24"/>
        </w:rPr>
        <w:t>In its 2011 PGA filing, t</w:t>
      </w:r>
      <w:r w:rsidR="002548BB" w:rsidRPr="007D292A">
        <w:rPr>
          <w:sz w:val="24"/>
          <w:szCs w:val="24"/>
        </w:rPr>
        <w:t xml:space="preserve">he Company </w:t>
      </w:r>
      <w:r w:rsidR="002548BB" w:rsidRPr="00AD7189">
        <w:rPr>
          <w:sz w:val="24"/>
          <w:szCs w:val="24"/>
        </w:rPr>
        <w:t>used a 30-day historical average of forward prices (</w:t>
      </w:r>
      <w:r w:rsidR="002548BB" w:rsidRPr="004C40BD">
        <w:rPr>
          <w:sz w:val="24"/>
          <w:szCs w:val="24"/>
        </w:rPr>
        <w:t xml:space="preserve">ending </w:t>
      </w:r>
      <w:r w:rsidR="004C40BD" w:rsidRPr="004C40BD">
        <w:rPr>
          <w:sz w:val="24"/>
          <w:szCs w:val="24"/>
        </w:rPr>
        <w:t>August 22</w:t>
      </w:r>
      <w:r w:rsidR="002548BB" w:rsidRPr="004C40BD">
        <w:rPr>
          <w:sz w:val="24"/>
          <w:szCs w:val="24"/>
        </w:rPr>
        <w:t>, 2011) by</w:t>
      </w:r>
      <w:r w:rsidR="002548BB" w:rsidRPr="00AD7189">
        <w:rPr>
          <w:sz w:val="24"/>
          <w:szCs w:val="24"/>
        </w:rPr>
        <w:t xml:space="preserve"> supply basin to develop an estimated cost associated with index/spot purchases.  </w:t>
      </w:r>
      <w:r w:rsidR="002548BB" w:rsidRPr="00AD7189">
        <w:rPr>
          <w:sz w:val="24"/>
          <w:szCs w:val="24"/>
        </w:rPr>
        <w:lastRenderedPageBreak/>
        <w:t>The estimated monthly volumes to be purchased by basin are multiplied by the (30-day)</w:t>
      </w:r>
      <w:r w:rsidR="002548BB">
        <w:rPr>
          <w:sz w:val="24"/>
          <w:szCs w:val="24"/>
        </w:rPr>
        <w:t xml:space="preserve"> average </w:t>
      </w:r>
      <w:r w:rsidR="00811A10">
        <w:rPr>
          <w:sz w:val="24"/>
          <w:szCs w:val="24"/>
        </w:rPr>
        <w:t xml:space="preserve">historical forward </w:t>
      </w:r>
      <w:r w:rsidR="002548BB">
        <w:rPr>
          <w:sz w:val="24"/>
          <w:szCs w:val="24"/>
        </w:rPr>
        <w:t xml:space="preserve">price for the corresponding month and basin.  These index/spot volumes represent approximately </w:t>
      </w:r>
      <w:r w:rsidR="002548BB" w:rsidRPr="006F32E4">
        <w:rPr>
          <w:sz w:val="24"/>
          <w:szCs w:val="24"/>
        </w:rPr>
        <w:t>30%</w:t>
      </w:r>
      <w:r w:rsidR="002548BB">
        <w:rPr>
          <w:sz w:val="24"/>
          <w:szCs w:val="24"/>
        </w:rPr>
        <w:t xml:space="preserve"> of estimated annual load requirements for the </w:t>
      </w:r>
      <w:r>
        <w:rPr>
          <w:sz w:val="24"/>
          <w:szCs w:val="24"/>
        </w:rPr>
        <w:t>PGA</w:t>
      </w:r>
      <w:r w:rsidR="002548BB">
        <w:rPr>
          <w:sz w:val="24"/>
          <w:szCs w:val="24"/>
        </w:rPr>
        <w:t xml:space="preserve"> year</w:t>
      </w:r>
      <w:r w:rsidR="002548BB" w:rsidRPr="004C40BD">
        <w:rPr>
          <w:sz w:val="24"/>
          <w:szCs w:val="24"/>
        </w:rPr>
        <w:t>.</w:t>
      </w:r>
    </w:p>
    <w:p w:rsidR="002548BB" w:rsidRPr="004538BD" w:rsidRDefault="002548BB" w:rsidP="002548BB">
      <w:pPr>
        <w:ind w:right="-360"/>
        <w:jc w:val="both"/>
        <w:rPr>
          <w:sz w:val="24"/>
          <w:szCs w:val="24"/>
        </w:rPr>
      </w:pPr>
    </w:p>
    <w:p w:rsidR="002548BB" w:rsidRDefault="00EB4AA3" w:rsidP="002548BB">
      <w:pPr>
        <w:ind w:right="-360"/>
        <w:jc w:val="both"/>
        <w:rPr>
          <w:sz w:val="24"/>
          <w:szCs w:val="24"/>
        </w:rPr>
      </w:pPr>
      <w:r>
        <w:rPr>
          <w:sz w:val="24"/>
          <w:szCs w:val="24"/>
        </w:rPr>
        <w:t xml:space="preserve">Since that filing, on average, daily wholesale prices of natural gas have declined substantially over the past several months.  While a majority of the WACOG is fixed either through fixed price hedges or storage injections, the one variable that is not fixed is the approximately 30% of estimated index/spot volumes.   While we are now four months in to the present twelve month PGA year (November 2011 through October 2012), the Company believes that it is in the best interest of customers to update the pricing of the remaining estimated index/spot volumes and pass those lower index prices to customers now through a lower overall rate.  </w:t>
      </w:r>
      <w:r w:rsidR="00602BBB">
        <w:rPr>
          <w:sz w:val="24"/>
          <w:szCs w:val="24"/>
        </w:rPr>
        <w:t>This filing updates the 30-day historical average of forward prices to February 5, 2012.</w:t>
      </w:r>
    </w:p>
    <w:p w:rsidR="004538BD" w:rsidRDefault="004538BD" w:rsidP="002548BB">
      <w:pPr>
        <w:ind w:right="-360"/>
        <w:jc w:val="both"/>
        <w:rPr>
          <w:sz w:val="24"/>
          <w:szCs w:val="24"/>
        </w:rPr>
      </w:pPr>
    </w:p>
    <w:p w:rsidR="00025CDA" w:rsidRPr="00EE2529" w:rsidRDefault="003A24DA" w:rsidP="00025CDA">
      <w:pPr>
        <w:ind w:right="-360"/>
        <w:jc w:val="both"/>
        <w:rPr>
          <w:b/>
          <w:sz w:val="24"/>
          <w:szCs w:val="24"/>
          <w:u w:val="single"/>
        </w:rPr>
      </w:pPr>
      <w:r w:rsidRPr="00EE2529">
        <w:rPr>
          <w:b/>
          <w:sz w:val="24"/>
          <w:szCs w:val="24"/>
          <w:u w:val="single"/>
        </w:rPr>
        <w:t>Demand Costs</w:t>
      </w:r>
      <w:r w:rsidR="00025CDA">
        <w:rPr>
          <w:b/>
          <w:sz w:val="24"/>
          <w:szCs w:val="24"/>
          <w:u w:val="single"/>
        </w:rPr>
        <w:t xml:space="preserve"> and </w:t>
      </w:r>
      <w:r w:rsidR="00025CDA" w:rsidRPr="00EE2529">
        <w:rPr>
          <w:b/>
          <w:sz w:val="24"/>
          <w:szCs w:val="24"/>
          <w:u w:val="single"/>
        </w:rPr>
        <w:t>Schedule 155 / Amortization Rate Change</w:t>
      </w:r>
    </w:p>
    <w:p w:rsidR="004C7E4C" w:rsidRDefault="004C7E4C" w:rsidP="007D292A">
      <w:pPr>
        <w:ind w:right="-360"/>
        <w:jc w:val="both"/>
        <w:rPr>
          <w:sz w:val="24"/>
          <w:szCs w:val="24"/>
        </w:rPr>
      </w:pPr>
    </w:p>
    <w:p w:rsidR="002548BB" w:rsidRPr="004F7C32" w:rsidRDefault="00025CDA" w:rsidP="002548BB">
      <w:pPr>
        <w:ind w:right="-360"/>
        <w:jc w:val="both"/>
        <w:rPr>
          <w:i/>
          <w:sz w:val="24"/>
          <w:szCs w:val="24"/>
        </w:rPr>
      </w:pPr>
      <w:r>
        <w:rPr>
          <w:sz w:val="24"/>
          <w:szCs w:val="24"/>
        </w:rPr>
        <w:t>The Company is not requesting any changes related to demand charges or Schedule 155 (Amortization Rate) in this filing.</w:t>
      </w:r>
    </w:p>
    <w:p w:rsidR="00025CDA" w:rsidRDefault="00025CDA" w:rsidP="00936FE5">
      <w:pPr>
        <w:jc w:val="both"/>
        <w:outlineLvl w:val="0"/>
        <w:rPr>
          <w:b/>
          <w:sz w:val="24"/>
          <w:szCs w:val="24"/>
          <w:u w:val="single"/>
        </w:rPr>
      </w:pPr>
    </w:p>
    <w:p w:rsidR="00936FE5" w:rsidRPr="00936FE5" w:rsidRDefault="00936FE5" w:rsidP="00936FE5">
      <w:pPr>
        <w:jc w:val="both"/>
        <w:outlineLvl w:val="0"/>
        <w:rPr>
          <w:b/>
          <w:sz w:val="24"/>
          <w:szCs w:val="24"/>
          <w:u w:val="single"/>
        </w:rPr>
      </w:pPr>
      <w:r w:rsidRPr="00936FE5">
        <w:rPr>
          <w:b/>
          <w:sz w:val="24"/>
          <w:szCs w:val="24"/>
          <w:u w:val="single"/>
        </w:rPr>
        <w:t>Other Information</w:t>
      </w:r>
    </w:p>
    <w:p w:rsidR="00936FE5" w:rsidRPr="00936FE5" w:rsidRDefault="00936FE5" w:rsidP="007D292A">
      <w:pPr>
        <w:ind w:right="-360"/>
        <w:jc w:val="both"/>
        <w:rPr>
          <w:sz w:val="24"/>
          <w:szCs w:val="24"/>
        </w:rPr>
      </w:pPr>
    </w:p>
    <w:p w:rsidR="003A24DA" w:rsidRDefault="00B52A0C" w:rsidP="007D292A">
      <w:pPr>
        <w:tabs>
          <w:tab w:val="left" w:pos="720"/>
          <w:tab w:val="left" w:pos="3240"/>
        </w:tabs>
        <w:ind w:right="-360"/>
        <w:jc w:val="both"/>
        <w:rPr>
          <w:sz w:val="24"/>
        </w:rPr>
      </w:pPr>
      <w:r w:rsidRPr="005155A9">
        <w:rPr>
          <w:sz w:val="24"/>
          <w:szCs w:val="24"/>
        </w:rPr>
        <w:t xml:space="preserve">The </w:t>
      </w:r>
      <w:r w:rsidRPr="004C40BD">
        <w:rPr>
          <w:sz w:val="24"/>
          <w:szCs w:val="24"/>
        </w:rPr>
        <w:t>annual revenue change reflected in this filing is a</w:t>
      </w:r>
      <w:r w:rsidR="004D23AE" w:rsidRPr="004C40BD">
        <w:rPr>
          <w:sz w:val="24"/>
          <w:szCs w:val="24"/>
        </w:rPr>
        <w:t xml:space="preserve">n </w:t>
      </w:r>
      <w:r w:rsidR="00025CDA">
        <w:rPr>
          <w:sz w:val="24"/>
          <w:szCs w:val="24"/>
        </w:rPr>
        <w:t>de</w:t>
      </w:r>
      <w:r w:rsidR="004D23AE" w:rsidRPr="004C40BD">
        <w:rPr>
          <w:sz w:val="24"/>
          <w:szCs w:val="24"/>
        </w:rPr>
        <w:t>crease</w:t>
      </w:r>
      <w:r w:rsidR="00F014F1" w:rsidRPr="004C40BD">
        <w:rPr>
          <w:sz w:val="24"/>
          <w:szCs w:val="24"/>
        </w:rPr>
        <w:t xml:space="preserve"> of $</w:t>
      </w:r>
      <w:r w:rsidR="00025CDA">
        <w:rPr>
          <w:sz w:val="24"/>
          <w:szCs w:val="24"/>
        </w:rPr>
        <w:t>9.9</w:t>
      </w:r>
      <w:r w:rsidR="00F014F1" w:rsidRPr="004C40BD">
        <w:rPr>
          <w:sz w:val="24"/>
          <w:szCs w:val="24"/>
        </w:rPr>
        <w:t xml:space="preserve"> million, or a</w:t>
      </w:r>
      <w:r w:rsidR="004D23AE" w:rsidRPr="004C40BD">
        <w:rPr>
          <w:sz w:val="24"/>
          <w:szCs w:val="24"/>
        </w:rPr>
        <w:t xml:space="preserve"> </w:t>
      </w:r>
      <w:r w:rsidR="00025CDA">
        <w:rPr>
          <w:sz w:val="24"/>
          <w:szCs w:val="24"/>
        </w:rPr>
        <w:t>decrease</w:t>
      </w:r>
      <w:r w:rsidRPr="004C40BD">
        <w:rPr>
          <w:sz w:val="24"/>
          <w:szCs w:val="24"/>
        </w:rPr>
        <w:t xml:space="preserve"> in annual gas revenue of </w:t>
      </w:r>
      <w:r w:rsidR="00025CDA">
        <w:rPr>
          <w:sz w:val="24"/>
          <w:szCs w:val="24"/>
        </w:rPr>
        <w:t>6.43</w:t>
      </w:r>
      <w:r w:rsidRPr="004C40BD">
        <w:rPr>
          <w:sz w:val="24"/>
          <w:szCs w:val="24"/>
        </w:rPr>
        <w:t xml:space="preserve">%.  </w:t>
      </w:r>
      <w:r w:rsidR="003A24DA" w:rsidRPr="004C40BD">
        <w:rPr>
          <w:sz w:val="24"/>
          <w:szCs w:val="24"/>
        </w:rPr>
        <w:t xml:space="preserve">The average residential or small commercial customer using </w:t>
      </w:r>
      <w:r w:rsidR="004D23AE" w:rsidRPr="004C40BD">
        <w:rPr>
          <w:sz w:val="24"/>
          <w:szCs w:val="24"/>
        </w:rPr>
        <w:t>6</w:t>
      </w:r>
      <w:r w:rsidR="002548BB" w:rsidRPr="004C40BD">
        <w:rPr>
          <w:sz w:val="24"/>
          <w:szCs w:val="24"/>
        </w:rPr>
        <w:t>7</w:t>
      </w:r>
      <w:r w:rsidR="003A24DA" w:rsidRPr="004C40BD">
        <w:rPr>
          <w:sz w:val="24"/>
          <w:szCs w:val="24"/>
        </w:rPr>
        <w:t xml:space="preserve"> therms per month</w:t>
      </w:r>
      <w:r w:rsidR="003A24DA" w:rsidRPr="004C40BD">
        <w:rPr>
          <w:sz w:val="24"/>
        </w:rPr>
        <w:t xml:space="preserve"> will see a</w:t>
      </w:r>
      <w:r w:rsidR="005155A9" w:rsidRPr="004C40BD">
        <w:rPr>
          <w:sz w:val="24"/>
        </w:rPr>
        <w:t xml:space="preserve"> </w:t>
      </w:r>
      <w:r w:rsidR="00025CDA">
        <w:rPr>
          <w:sz w:val="24"/>
        </w:rPr>
        <w:t>decrease</w:t>
      </w:r>
      <w:r w:rsidR="003A24DA" w:rsidRPr="004C40BD">
        <w:rPr>
          <w:sz w:val="24"/>
        </w:rPr>
        <w:t xml:space="preserve"> of $</w:t>
      </w:r>
      <w:r w:rsidR="00025CDA">
        <w:rPr>
          <w:sz w:val="24"/>
        </w:rPr>
        <w:t>3.90</w:t>
      </w:r>
      <w:r w:rsidR="003A24DA" w:rsidRPr="004C40BD">
        <w:rPr>
          <w:sz w:val="24"/>
        </w:rPr>
        <w:t xml:space="preserve"> per month, or approximately </w:t>
      </w:r>
      <w:r w:rsidR="00025CDA">
        <w:rPr>
          <w:sz w:val="24"/>
        </w:rPr>
        <w:t>6.03</w:t>
      </w:r>
      <w:r w:rsidR="003A24DA" w:rsidRPr="004C40BD">
        <w:rPr>
          <w:sz w:val="24"/>
        </w:rPr>
        <w:t xml:space="preserve">%.  The present bill for </w:t>
      </w:r>
      <w:r w:rsidR="004D23AE" w:rsidRPr="004C40BD">
        <w:rPr>
          <w:sz w:val="24"/>
        </w:rPr>
        <w:t>6</w:t>
      </w:r>
      <w:r w:rsidR="002548BB" w:rsidRPr="004C40BD">
        <w:rPr>
          <w:sz w:val="24"/>
        </w:rPr>
        <w:t>7</w:t>
      </w:r>
      <w:r w:rsidR="003A24DA" w:rsidRPr="004C40BD">
        <w:rPr>
          <w:sz w:val="24"/>
        </w:rPr>
        <w:t xml:space="preserve"> therms is $</w:t>
      </w:r>
      <w:r w:rsidR="00025CDA">
        <w:rPr>
          <w:sz w:val="24"/>
        </w:rPr>
        <w:t>64.63</w:t>
      </w:r>
      <w:r w:rsidR="003A24DA" w:rsidRPr="004C40BD">
        <w:rPr>
          <w:sz w:val="24"/>
        </w:rPr>
        <w:t xml:space="preserve"> while the proposed bill is $</w:t>
      </w:r>
      <w:r w:rsidR="00025CDA">
        <w:rPr>
          <w:sz w:val="24"/>
        </w:rPr>
        <w:t>60.73</w:t>
      </w:r>
      <w:r w:rsidR="003A24DA" w:rsidRPr="004C40BD">
        <w:rPr>
          <w:sz w:val="24"/>
        </w:rPr>
        <w:t>.</w:t>
      </w:r>
      <w:r w:rsidR="00CC5157">
        <w:rPr>
          <w:sz w:val="24"/>
        </w:rPr>
        <w:t xml:space="preserve">  </w:t>
      </w:r>
    </w:p>
    <w:p w:rsidR="00CC5157" w:rsidRDefault="00CC5157" w:rsidP="007D292A">
      <w:pPr>
        <w:tabs>
          <w:tab w:val="left" w:pos="720"/>
          <w:tab w:val="left" w:pos="3240"/>
        </w:tabs>
        <w:ind w:right="-360"/>
        <w:jc w:val="both"/>
        <w:rPr>
          <w:sz w:val="24"/>
        </w:rPr>
      </w:pPr>
    </w:p>
    <w:p w:rsidR="00B52A0C" w:rsidRDefault="00B52A0C" w:rsidP="00025CDA">
      <w:pPr>
        <w:tabs>
          <w:tab w:val="left" w:pos="720"/>
          <w:tab w:val="left" w:pos="3240"/>
        </w:tabs>
        <w:ind w:right="-360"/>
        <w:jc w:val="both"/>
        <w:rPr>
          <w:sz w:val="24"/>
        </w:rPr>
      </w:pPr>
      <w:r>
        <w:rPr>
          <w:sz w:val="24"/>
        </w:rPr>
        <w:t>Also enclosed are the workpapers supporting the proposed rate changes</w:t>
      </w:r>
      <w:r w:rsidR="00D95D14">
        <w:rPr>
          <w:sz w:val="24"/>
        </w:rPr>
        <w:t xml:space="preserve"> and</w:t>
      </w:r>
      <w:r w:rsidR="00CC5157">
        <w:rPr>
          <w:sz w:val="24"/>
        </w:rPr>
        <w:t xml:space="preserve"> a media release </w:t>
      </w:r>
      <w:r w:rsidR="00D95D14">
        <w:rPr>
          <w:sz w:val="24"/>
        </w:rPr>
        <w:t xml:space="preserve">which will be issued </w:t>
      </w:r>
      <w:r w:rsidR="00CC5157">
        <w:rPr>
          <w:sz w:val="24"/>
        </w:rPr>
        <w:t>coincident with this filing</w:t>
      </w:r>
      <w:r w:rsidR="00D95D14">
        <w:rPr>
          <w:sz w:val="24"/>
        </w:rPr>
        <w:t xml:space="preserve">.  </w:t>
      </w:r>
      <w:r>
        <w:rPr>
          <w:sz w:val="24"/>
        </w:rPr>
        <w:t xml:space="preserve">If you have any questions regarding this filing, please call Craig Bertholf at 509-495-4124 or </w:t>
      </w:r>
      <w:r w:rsidR="009F6C11">
        <w:rPr>
          <w:sz w:val="24"/>
        </w:rPr>
        <w:t>Patrick Ehrbar</w:t>
      </w:r>
      <w:r>
        <w:rPr>
          <w:sz w:val="24"/>
        </w:rPr>
        <w:t xml:space="preserve"> at 509-495-</w:t>
      </w:r>
      <w:r w:rsidR="009F6C11">
        <w:rPr>
          <w:sz w:val="24"/>
        </w:rPr>
        <w:t>8620</w:t>
      </w:r>
      <w:r>
        <w:rPr>
          <w:sz w:val="24"/>
        </w:rPr>
        <w:t>.</w:t>
      </w:r>
    </w:p>
    <w:p w:rsidR="00B52A0C" w:rsidRDefault="00B52A0C" w:rsidP="007D292A">
      <w:pPr>
        <w:ind w:right="-360"/>
        <w:rPr>
          <w:sz w:val="24"/>
        </w:rPr>
      </w:pPr>
    </w:p>
    <w:p w:rsidR="00146B7E" w:rsidRDefault="00146B7E" w:rsidP="007D292A">
      <w:pPr>
        <w:ind w:right="-360"/>
        <w:rPr>
          <w:sz w:val="24"/>
        </w:rPr>
      </w:pPr>
    </w:p>
    <w:p w:rsidR="00B52A0C" w:rsidRDefault="00B52A0C" w:rsidP="007D292A">
      <w:pPr>
        <w:ind w:right="-360"/>
        <w:rPr>
          <w:sz w:val="24"/>
        </w:rPr>
      </w:pPr>
      <w:r>
        <w:rPr>
          <w:sz w:val="24"/>
        </w:rPr>
        <w:t>Sincerely,</w:t>
      </w:r>
    </w:p>
    <w:p w:rsidR="00B52A0C" w:rsidRDefault="00735E8D" w:rsidP="007D292A">
      <w:pPr>
        <w:ind w:right="-360"/>
        <w:rPr>
          <w:sz w:val="24"/>
        </w:rPr>
      </w:pPr>
      <w:r>
        <w:rPr>
          <w:noProof/>
          <w:sz w:val="24"/>
        </w:rPr>
        <w:drawing>
          <wp:inline distT="0" distB="0" distL="0" distR="0">
            <wp:extent cx="1658112" cy="542544"/>
            <wp:effectExtent l="19050" t="0" r="0" b="0"/>
            <wp:docPr id="2" name="Picture 1" descr="KellyNorw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llyNorwood.jpg"/>
                    <pic:cNvPicPr/>
                  </pic:nvPicPr>
                  <pic:blipFill>
                    <a:blip r:embed="rId7" cstate="print"/>
                    <a:stretch>
                      <a:fillRect/>
                    </a:stretch>
                  </pic:blipFill>
                  <pic:spPr>
                    <a:xfrm>
                      <a:off x="0" y="0"/>
                      <a:ext cx="1658112" cy="542544"/>
                    </a:xfrm>
                    <a:prstGeom prst="rect">
                      <a:avLst/>
                    </a:prstGeom>
                  </pic:spPr>
                </pic:pic>
              </a:graphicData>
            </a:graphic>
          </wp:inline>
        </w:drawing>
      </w:r>
    </w:p>
    <w:p w:rsidR="004C40BD" w:rsidRDefault="004C40BD" w:rsidP="007D292A">
      <w:pPr>
        <w:ind w:right="-360"/>
        <w:rPr>
          <w:sz w:val="24"/>
        </w:rPr>
      </w:pPr>
      <w:r>
        <w:rPr>
          <w:sz w:val="24"/>
        </w:rPr>
        <w:t>Kelly O. Norwood</w:t>
      </w:r>
      <w:r w:rsidR="00B52A0C">
        <w:rPr>
          <w:sz w:val="24"/>
        </w:rPr>
        <w:t xml:space="preserve"> </w:t>
      </w:r>
    </w:p>
    <w:p w:rsidR="00B52A0C" w:rsidRDefault="00B52A0C" w:rsidP="007D292A">
      <w:pPr>
        <w:ind w:right="-360"/>
        <w:rPr>
          <w:sz w:val="24"/>
        </w:rPr>
      </w:pPr>
      <w:r>
        <w:rPr>
          <w:sz w:val="24"/>
        </w:rPr>
        <w:t>Vice President</w:t>
      </w:r>
      <w:r w:rsidR="004C40BD">
        <w:rPr>
          <w:sz w:val="24"/>
        </w:rPr>
        <w:t xml:space="preserve">, </w:t>
      </w:r>
      <w:r>
        <w:rPr>
          <w:sz w:val="24"/>
        </w:rPr>
        <w:t>State &amp; Federal Regulation</w:t>
      </w:r>
    </w:p>
    <w:p w:rsidR="00C93E1E" w:rsidRDefault="00C93E1E" w:rsidP="007D292A">
      <w:pPr>
        <w:ind w:right="-360"/>
        <w:rPr>
          <w:sz w:val="24"/>
        </w:rPr>
      </w:pPr>
    </w:p>
    <w:p w:rsidR="00B52A0C" w:rsidRPr="00107B79" w:rsidRDefault="00C93E1E" w:rsidP="007D292A">
      <w:pPr>
        <w:ind w:right="-360"/>
        <w:rPr>
          <w:sz w:val="24"/>
        </w:rPr>
      </w:pPr>
      <w:r>
        <w:rPr>
          <w:sz w:val="24"/>
        </w:rPr>
        <w:t>e</w:t>
      </w:r>
      <w:r w:rsidR="00B52A0C">
        <w:rPr>
          <w:sz w:val="24"/>
        </w:rPr>
        <w:t>nc</w:t>
      </w:r>
      <w:r w:rsidR="00150E5A">
        <w:rPr>
          <w:sz w:val="24"/>
        </w:rPr>
        <w:t>losures</w:t>
      </w:r>
      <w:r w:rsidR="00B52A0C">
        <w:rPr>
          <w:sz w:val="24"/>
        </w:rPr>
        <w:t xml:space="preserve"> </w:t>
      </w:r>
    </w:p>
    <w:p w:rsidR="00CC5157" w:rsidRDefault="00093A6E" w:rsidP="007D292A">
      <w:pPr>
        <w:tabs>
          <w:tab w:val="left" w:pos="720"/>
          <w:tab w:val="left" w:pos="3240"/>
        </w:tabs>
        <w:ind w:right="-360"/>
      </w:pPr>
      <w:r>
        <w:rPr>
          <w:sz w:val="24"/>
        </w:rPr>
        <w:t xml:space="preserve"> </w:t>
      </w:r>
    </w:p>
    <w:sectPr w:rsidR="00CC5157" w:rsidSect="00C93E1E">
      <w:headerReference w:type="default" r:id="rId8"/>
      <w:pgSz w:w="12240" w:h="15840" w:code="1"/>
      <w:pgMar w:top="807" w:right="1440" w:bottom="1080" w:left="1440" w:header="540" w:footer="48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5CDA" w:rsidRDefault="00025CDA">
      <w:r>
        <w:separator/>
      </w:r>
    </w:p>
  </w:endnote>
  <w:endnote w:type="continuationSeparator" w:id="0">
    <w:p w:rsidR="00025CDA" w:rsidRDefault="00025C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5CDA" w:rsidRDefault="00025CDA">
      <w:r>
        <w:separator/>
      </w:r>
    </w:p>
  </w:footnote>
  <w:footnote w:type="continuationSeparator" w:id="0">
    <w:p w:rsidR="00025CDA" w:rsidRDefault="00025C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CDA" w:rsidRPr="00C93E1E" w:rsidRDefault="00025CDA" w:rsidP="00C93E1E">
    <w:pPr>
      <w:pStyle w:val="Header"/>
      <w:tabs>
        <w:tab w:val="clear" w:pos="8640"/>
        <w:tab w:val="right" w:pos="9720"/>
      </w:tabs>
      <w:jc w:val="right"/>
    </w:pPr>
    <w:r w:rsidRPr="00C93E1E">
      <w:t>Avista Utilities 201</w:t>
    </w:r>
    <w:r>
      <w:t>2 Out of Cycle</w:t>
    </w:r>
    <w:r w:rsidRPr="00C93E1E">
      <w:t xml:space="preserve"> PGA Filing</w:t>
    </w:r>
  </w:p>
  <w:p w:rsidR="00025CDA" w:rsidRDefault="00025CDA" w:rsidP="00C93E1E">
    <w:pPr>
      <w:pStyle w:val="Header"/>
      <w:tabs>
        <w:tab w:val="clear" w:pos="8640"/>
        <w:tab w:val="right" w:pos="9720"/>
      </w:tabs>
      <w:jc w:val="right"/>
    </w:pPr>
    <w:r>
      <w:t>February 13, 2012</w:t>
    </w:r>
  </w:p>
  <w:sdt>
    <w:sdtPr>
      <w:id w:val="250395305"/>
      <w:docPartObj>
        <w:docPartGallery w:val="Page Numbers (Top of Page)"/>
        <w:docPartUnique/>
      </w:docPartObj>
    </w:sdtPr>
    <w:sdtContent>
      <w:p w:rsidR="00025CDA" w:rsidRDefault="00025CDA" w:rsidP="006203D9">
        <w:pPr>
          <w:jc w:val="right"/>
        </w:pPr>
        <w:r>
          <w:t xml:space="preserve">Page </w:t>
        </w:r>
        <w:fldSimple w:instr=" PAGE ">
          <w:r w:rsidR="00602BBB">
            <w:rPr>
              <w:noProof/>
            </w:rPr>
            <w:t>2</w:t>
          </w:r>
        </w:fldSimple>
        <w:r>
          <w:t xml:space="preserve"> of </w:t>
        </w:r>
        <w:fldSimple w:instr=" NUMPAGES  ">
          <w:r w:rsidR="00602BBB">
            <w:rPr>
              <w:noProof/>
            </w:rPr>
            <w:t>2</w:t>
          </w:r>
        </w:fldSimple>
      </w:p>
    </w:sdtContent>
  </w:sdt>
  <w:p w:rsidR="00025CDA" w:rsidRPr="007D292A" w:rsidRDefault="00025CDA" w:rsidP="007D292A">
    <w:pPr>
      <w:pStyle w:val="Header"/>
      <w:tabs>
        <w:tab w:val="clear" w:pos="8640"/>
        <w:tab w:val="right" w:pos="9720"/>
      </w:tabs>
      <w:rPr>
        <w:sz w:val="24"/>
      </w:rPr>
    </w:pPr>
    <w:r w:rsidRPr="007D292A">
      <w:rPr>
        <w:sz w:val="24"/>
      </w:rPr>
      <w:tab/>
    </w:r>
    <w:r w:rsidRPr="007D292A">
      <w:rPr>
        <w:sz w:val="24"/>
      </w:rP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stylePaneFormatFilter w:val="3F01"/>
  <w:defaultTabStop w:val="720"/>
  <w:characterSpacingControl w:val="doNotCompress"/>
  <w:footnotePr>
    <w:footnote w:id="-1"/>
    <w:footnote w:id="0"/>
  </w:footnotePr>
  <w:endnotePr>
    <w:endnote w:id="-1"/>
    <w:endnote w:id="0"/>
  </w:endnotePr>
  <w:compat/>
  <w:rsids>
    <w:rsidRoot w:val="003A24DA"/>
    <w:rsid w:val="00025CDA"/>
    <w:rsid w:val="00072517"/>
    <w:rsid w:val="0008299C"/>
    <w:rsid w:val="00093A6E"/>
    <w:rsid w:val="000A588D"/>
    <w:rsid w:val="000E4BA2"/>
    <w:rsid w:val="000F44EE"/>
    <w:rsid w:val="00106994"/>
    <w:rsid w:val="00121427"/>
    <w:rsid w:val="00143B12"/>
    <w:rsid w:val="00146B7E"/>
    <w:rsid w:val="00150E5A"/>
    <w:rsid w:val="001F1AB3"/>
    <w:rsid w:val="002453FB"/>
    <w:rsid w:val="00250818"/>
    <w:rsid w:val="002548BB"/>
    <w:rsid w:val="002605A3"/>
    <w:rsid w:val="00267B6F"/>
    <w:rsid w:val="0029109F"/>
    <w:rsid w:val="002B54C8"/>
    <w:rsid w:val="002E0138"/>
    <w:rsid w:val="002E5BF1"/>
    <w:rsid w:val="002F728C"/>
    <w:rsid w:val="00312EDD"/>
    <w:rsid w:val="00321B58"/>
    <w:rsid w:val="00323710"/>
    <w:rsid w:val="00337E03"/>
    <w:rsid w:val="00344E20"/>
    <w:rsid w:val="00390FCA"/>
    <w:rsid w:val="003973C5"/>
    <w:rsid w:val="003A24DA"/>
    <w:rsid w:val="003C7D54"/>
    <w:rsid w:val="003E5C53"/>
    <w:rsid w:val="00402A34"/>
    <w:rsid w:val="0042436D"/>
    <w:rsid w:val="00426001"/>
    <w:rsid w:val="00444594"/>
    <w:rsid w:val="004538BD"/>
    <w:rsid w:val="004A436F"/>
    <w:rsid w:val="004A6644"/>
    <w:rsid w:val="004B6222"/>
    <w:rsid w:val="004C40BD"/>
    <w:rsid w:val="004C7E4C"/>
    <w:rsid w:val="004D23AE"/>
    <w:rsid w:val="004F6F7C"/>
    <w:rsid w:val="00512704"/>
    <w:rsid w:val="005155A9"/>
    <w:rsid w:val="00564352"/>
    <w:rsid w:val="005A1F17"/>
    <w:rsid w:val="005C6EA3"/>
    <w:rsid w:val="005F7CE5"/>
    <w:rsid w:val="00602BBB"/>
    <w:rsid w:val="006203D9"/>
    <w:rsid w:val="00640CA6"/>
    <w:rsid w:val="006468F1"/>
    <w:rsid w:val="006475D9"/>
    <w:rsid w:val="0065654E"/>
    <w:rsid w:val="00656B7D"/>
    <w:rsid w:val="00672292"/>
    <w:rsid w:val="00682FCA"/>
    <w:rsid w:val="006C552D"/>
    <w:rsid w:val="006F011A"/>
    <w:rsid w:val="00735E8D"/>
    <w:rsid w:val="007641AB"/>
    <w:rsid w:val="007642C0"/>
    <w:rsid w:val="0077674F"/>
    <w:rsid w:val="007815D4"/>
    <w:rsid w:val="007D292A"/>
    <w:rsid w:val="00811A10"/>
    <w:rsid w:val="00844730"/>
    <w:rsid w:val="00852594"/>
    <w:rsid w:val="00882827"/>
    <w:rsid w:val="008A5F60"/>
    <w:rsid w:val="008B59DE"/>
    <w:rsid w:val="008B796C"/>
    <w:rsid w:val="008B7BB4"/>
    <w:rsid w:val="008F7ADD"/>
    <w:rsid w:val="00903C5C"/>
    <w:rsid w:val="00925257"/>
    <w:rsid w:val="009309F5"/>
    <w:rsid w:val="00936FE5"/>
    <w:rsid w:val="00944B3C"/>
    <w:rsid w:val="00964324"/>
    <w:rsid w:val="00965BCA"/>
    <w:rsid w:val="009B74B5"/>
    <w:rsid w:val="009C5D8A"/>
    <w:rsid w:val="009F6C11"/>
    <w:rsid w:val="00A12281"/>
    <w:rsid w:val="00A16EB7"/>
    <w:rsid w:val="00A64FEA"/>
    <w:rsid w:val="00A951EC"/>
    <w:rsid w:val="00AD42C8"/>
    <w:rsid w:val="00AF683D"/>
    <w:rsid w:val="00B015DB"/>
    <w:rsid w:val="00B52A0C"/>
    <w:rsid w:val="00B70A00"/>
    <w:rsid w:val="00B80498"/>
    <w:rsid w:val="00BA3629"/>
    <w:rsid w:val="00BB0F82"/>
    <w:rsid w:val="00C115AF"/>
    <w:rsid w:val="00C319FC"/>
    <w:rsid w:val="00C35E27"/>
    <w:rsid w:val="00C452A0"/>
    <w:rsid w:val="00C56B8F"/>
    <w:rsid w:val="00C5768C"/>
    <w:rsid w:val="00C62E6E"/>
    <w:rsid w:val="00C754CB"/>
    <w:rsid w:val="00C8150B"/>
    <w:rsid w:val="00C93815"/>
    <w:rsid w:val="00C93E1E"/>
    <w:rsid w:val="00CC5157"/>
    <w:rsid w:val="00CC7AC5"/>
    <w:rsid w:val="00CC7BF0"/>
    <w:rsid w:val="00D03DA3"/>
    <w:rsid w:val="00D33C85"/>
    <w:rsid w:val="00D806D0"/>
    <w:rsid w:val="00D818A1"/>
    <w:rsid w:val="00D95D14"/>
    <w:rsid w:val="00DB6D7D"/>
    <w:rsid w:val="00E1008D"/>
    <w:rsid w:val="00E15CBB"/>
    <w:rsid w:val="00E80E37"/>
    <w:rsid w:val="00EA5E42"/>
    <w:rsid w:val="00EB0D09"/>
    <w:rsid w:val="00EB4AA3"/>
    <w:rsid w:val="00EF548D"/>
    <w:rsid w:val="00F014F1"/>
    <w:rsid w:val="00F1298E"/>
    <w:rsid w:val="00F279A7"/>
    <w:rsid w:val="00FB15A0"/>
    <w:rsid w:val="00FC3B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City"/>
  <w:smartTagType w:namespaceuri="urn:schemas-microsoft-com:office:smarttags" w:name="addres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24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093A6E"/>
    <w:rPr>
      <w:rFonts w:ascii="Courier New" w:hAnsi="Courier New"/>
    </w:rPr>
  </w:style>
  <w:style w:type="paragraph" w:styleId="Header">
    <w:name w:val="header"/>
    <w:basedOn w:val="Normal"/>
    <w:link w:val="HeaderChar"/>
    <w:uiPriority w:val="99"/>
    <w:rsid w:val="00E80E37"/>
    <w:pPr>
      <w:tabs>
        <w:tab w:val="center" w:pos="4320"/>
        <w:tab w:val="right" w:pos="8640"/>
      </w:tabs>
    </w:pPr>
  </w:style>
  <w:style w:type="paragraph" w:styleId="Footer">
    <w:name w:val="footer"/>
    <w:basedOn w:val="Normal"/>
    <w:rsid w:val="00E80E37"/>
    <w:pPr>
      <w:tabs>
        <w:tab w:val="center" w:pos="4320"/>
        <w:tab w:val="right" w:pos="8640"/>
      </w:tabs>
    </w:pPr>
  </w:style>
  <w:style w:type="character" w:styleId="PageNumber">
    <w:name w:val="page number"/>
    <w:basedOn w:val="DefaultParagraphFont"/>
    <w:rsid w:val="00D95D14"/>
  </w:style>
  <w:style w:type="character" w:customStyle="1" w:styleId="HeaderChar">
    <w:name w:val="Header Char"/>
    <w:basedOn w:val="DefaultParagraphFont"/>
    <w:link w:val="Header"/>
    <w:uiPriority w:val="99"/>
    <w:rsid w:val="007D292A"/>
  </w:style>
  <w:style w:type="paragraph" w:styleId="BalloonText">
    <w:name w:val="Balloon Text"/>
    <w:basedOn w:val="Normal"/>
    <w:link w:val="BalloonTextChar"/>
    <w:rsid w:val="00682FCA"/>
    <w:rPr>
      <w:rFonts w:ascii="Tahoma" w:hAnsi="Tahoma" w:cs="Tahoma"/>
      <w:sz w:val="16"/>
      <w:szCs w:val="16"/>
    </w:rPr>
  </w:style>
  <w:style w:type="character" w:customStyle="1" w:styleId="BalloonTextChar">
    <w:name w:val="Balloon Text Char"/>
    <w:basedOn w:val="DefaultParagraphFont"/>
    <w:link w:val="BalloonText"/>
    <w:rsid w:val="00682FCA"/>
    <w:rPr>
      <w:rFonts w:ascii="Tahoma" w:hAnsi="Tahoma" w:cs="Tahoma"/>
      <w:sz w:val="16"/>
      <w:szCs w:val="16"/>
    </w:rPr>
  </w:style>
  <w:style w:type="character" w:styleId="CommentReference">
    <w:name w:val="annotation reference"/>
    <w:basedOn w:val="DefaultParagraphFont"/>
    <w:rsid w:val="00811A10"/>
    <w:rPr>
      <w:sz w:val="16"/>
      <w:szCs w:val="16"/>
    </w:rPr>
  </w:style>
  <w:style w:type="paragraph" w:styleId="CommentText">
    <w:name w:val="annotation text"/>
    <w:basedOn w:val="Normal"/>
    <w:link w:val="CommentTextChar"/>
    <w:rsid w:val="00811A10"/>
  </w:style>
  <w:style w:type="character" w:customStyle="1" w:styleId="CommentTextChar">
    <w:name w:val="Comment Text Char"/>
    <w:basedOn w:val="DefaultParagraphFont"/>
    <w:link w:val="CommentText"/>
    <w:rsid w:val="00811A10"/>
  </w:style>
  <w:style w:type="paragraph" w:styleId="CommentSubject">
    <w:name w:val="annotation subject"/>
    <w:basedOn w:val="CommentText"/>
    <w:next w:val="CommentText"/>
    <w:link w:val="CommentSubjectChar"/>
    <w:rsid w:val="00811A10"/>
    <w:rPr>
      <w:b/>
      <w:bCs/>
    </w:rPr>
  </w:style>
  <w:style w:type="character" w:customStyle="1" w:styleId="CommentSubjectChar">
    <w:name w:val="Comment Subject Char"/>
    <w:basedOn w:val="CommentTextChar"/>
    <w:link w:val="CommentSubject"/>
    <w:rsid w:val="00811A1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2012-02-13T08:00:00+00:00</OpenedDate>
    <Date1 xmlns="dc463f71-b30c-4ab2-9473-d307f9d35888">2012-02-13T08:00:00+00:00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120195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A711509A10A89409056E33CA6EA72B9" ma:contentTypeVersion="139" ma:contentTypeDescription="" ma:contentTypeScope="" ma:versionID="8abab98d156617dbf0b07af5c7f9213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B1AA6044-916E-418C-B7C8-E2E5C9FA1B46}"/>
</file>

<file path=customXml/itemProps2.xml><?xml version="1.0" encoding="utf-8"?>
<ds:datastoreItem xmlns:ds="http://schemas.openxmlformats.org/officeDocument/2006/customXml" ds:itemID="{7900F8CA-6F96-4CA5-8F16-CAD744A049AD}"/>
</file>

<file path=customXml/itemProps3.xml><?xml version="1.0" encoding="utf-8"?>
<ds:datastoreItem xmlns:ds="http://schemas.openxmlformats.org/officeDocument/2006/customXml" ds:itemID="{B548388A-19E2-45B7-8040-FEEBF769C17B}"/>
</file>

<file path=customXml/itemProps4.xml><?xml version="1.0" encoding="utf-8"?>
<ds:datastoreItem xmlns:ds="http://schemas.openxmlformats.org/officeDocument/2006/customXml" ds:itemID="{2A6765AD-4047-422D-9EFC-CBCD7A4D91F4}"/>
</file>

<file path=docProps/app.xml><?xml version="1.0" encoding="utf-8"?>
<Properties xmlns="http://schemas.openxmlformats.org/officeDocument/2006/extended-properties" xmlns:vt="http://schemas.openxmlformats.org/officeDocument/2006/docPropsVTypes">
  <Template>Normal.dotm</Template>
  <TotalTime>35</TotalTime>
  <Pages>2</Pages>
  <Words>620</Words>
  <Characters>3488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This filing reflects the Company’s proposed annual Purchased Gas Cost Adjustment (PGA) to: 1) pass through changes in the estimated cost of natural gas for the forthcoming year (Schedule 150), and 2) revise the amortization rate(s) to refund or collect t</vt:lpstr>
    </vt:vector>
  </TitlesOfParts>
  <Company>Corp</Company>
  <LinksUpToDate>false</LinksUpToDate>
  <CharactersWithSpaces>4100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filing reflects the Company’s proposed annual Purchased Gas Cost Adjustment (PGA) to: 1) pass through changes in the estimated cost of natural gas for the forthcoming year (Schedule 150), and 2) revise the amortization rate(s) to refund or collect t</dc:title>
  <dc:subject/>
  <dc:creator>zz1x44</dc:creator>
  <cp:keywords/>
  <dc:description/>
  <cp:lastModifiedBy>Avista - Patrick Ehrbar</cp:lastModifiedBy>
  <cp:revision>15</cp:revision>
  <cp:lastPrinted>2012-02-10T16:40:00Z</cp:lastPrinted>
  <dcterms:created xsi:type="dcterms:W3CDTF">2011-09-14T14:05:00Z</dcterms:created>
  <dcterms:modified xsi:type="dcterms:W3CDTF">2012-02-10T18:47:00Z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0x0101006E56B4D1795A2E4DB2F0B01679ED314A000A711509A10A89409056E33CA6EA72B9</vt:lpwstr>
  </property>
  <property fmtid="{D5CDD505-2E9C-101B-9397-08002B2CF9AE}" pid="3" name="_docset_NoMedatataSyncRequired">
    <vt:lpwstr>False</vt:lpwstr>
  </property>
</Properties>
</file>