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588"/>
      </w:tblGrid>
      <w:tr w:rsidR="00A710DF" w:rsidRPr="00021A52" w:rsidTr="00021A52">
        <w:tc>
          <w:tcPr>
            <w:tcW w:w="2268" w:type="dxa"/>
            <w:tcBorders>
              <w:top w:val="nil"/>
              <w:left w:val="nil"/>
              <w:bottom w:val="nil"/>
              <w:right w:val="nil"/>
            </w:tcBorders>
            <w:shd w:val="clear" w:color="auto" w:fill="auto"/>
          </w:tcPr>
          <w:p w:rsidR="00A710DF" w:rsidRPr="00021A52" w:rsidRDefault="008D2969" w:rsidP="00157517">
            <w:pPr>
              <w:rPr>
                <w:rFonts w:ascii="SansSerif" w:hAnsi="SansSerif"/>
                <w:b/>
                <w:color w:val="0000FF"/>
              </w:rPr>
            </w:pPr>
            <w:r>
              <w:rPr>
                <w:noProof/>
              </w:rPr>
              <w:drawing>
                <wp:inline distT="0" distB="0" distL="0" distR="0">
                  <wp:extent cx="1264920" cy="7239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264920" cy="723900"/>
                          </a:xfrm>
                          <a:prstGeom prst="rect">
                            <a:avLst/>
                          </a:prstGeom>
                          <a:noFill/>
                          <a:ln w="9525">
                            <a:noFill/>
                            <a:miter lim="800000"/>
                            <a:headEnd/>
                            <a:tailEnd/>
                          </a:ln>
                        </pic:spPr>
                      </pic:pic>
                    </a:graphicData>
                  </a:graphic>
                </wp:inline>
              </w:drawing>
            </w:r>
          </w:p>
        </w:tc>
        <w:tc>
          <w:tcPr>
            <w:tcW w:w="6588" w:type="dxa"/>
            <w:tcBorders>
              <w:top w:val="nil"/>
              <w:left w:val="nil"/>
              <w:bottom w:val="nil"/>
              <w:right w:val="nil"/>
            </w:tcBorders>
            <w:shd w:val="clear" w:color="auto" w:fill="auto"/>
          </w:tcPr>
          <w:p w:rsidR="00A710DF" w:rsidRPr="00021A52" w:rsidRDefault="00A710DF" w:rsidP="00157517">
            <w:pPr>
              <w:rPr>
                <w:rFonts w:ascii="SansSerif" w:hAnsi="SansSerif"/>
                <w:b/>
                <w:color w:val="0000FF"/>
              </w:rPr>
            </w:pPr>
          </w:p>
          <w:p w:rsidR="00A710DF" w:rsidRPr="00BE69C2" w:rsidRDefault="00A710DF" w:rsidP="00157517">
            <w:pPr>
              <w:rPr>
                <w:rFonts w:ascii="SansSerif" w:hAnsi="SansSerif"/>
                <w:b/>
                <w:color w:val="0000FF"/>
                <w:sz w:val="22"/>
                <w:szCs w:val="22"/>
              </w:rPr>
            </w:pPr>
          </w:p>
          <w:p w:rsidR="00A710DF" w:rsidRPr="00BE69C2" w:rsidRDefault="00A710DF" w:rsidP="00157517">
            <w:pPr>
              <w:rPr>
                <w:b/>
                <w:sz w:val="22"/>
                <w:szCs w:val="22"/>
              </w:rPr>
            </w:pPr>
            <w:r w:rsidRPr="00BE69C2">
              <w:rPr>
                <w:b/>
                <w:sz w:val="22"/>
                <w:szCs w:val="22"/>
              </w:rPr>
              <w:t>Planning ● Management ● Engineering</w:t>
            </w:r>
          </w:p>
          <w:p w:rsidR="00A710DF" w:rsidRPr="00A710DF" w:rsidRDefault="00A710DF" w:rsidP="00157517">
            <w:r w:rsidRPr="00BE69C2">
              <w:rPr>
                <w:sz w:val="22"/>
                <w:szCs w:val="22"/>
              </w:rPr>
              <w:t xml:space="preserve">P.O. Box 123 </w:t>
            </w:r>
            <w:r w:rsidRPr="00BE69C2">
              <w:rPr>
                <w:b/>
                <w:sz w:val="22"/>
                <w:szCs w:val="22"/>
              </w:rPr>
              <w:t>●</w:t>
            </w:r>
            <w:r w:rsidRPr="00BE69C2">
              <w:rPr>
                <w:sz w:val="22"/>
                <w:szCs w:val="22"/>
              </w:rPr>
              <w:t xml:space="preserve"> Port Orchard, WA 98366 </w:t>
            </w:r>
            <w:r w:rsidRPr="00BE69C2">
              <w:rPr>
                <w:b/>
                <w:sz w:val="22"/>
                <w:szCs w:val="22"/>
              </w:rPr>
              <w:t xml:space="preserve">● </w:t>
            </w:r>
            <w:r w:rsidRPr="00BE69C2">
              <w:rPr>
                <w:sz w:val="22"/>
                <w:szCs w:val="22"/>
              </w:rPr>
              <w:t>1-888-881-0958</w:t>
            </w:r>
          </w:p>
        </w:tc>
      </w:tr>
    </w:tbl>
    <w:p w:rsidR="00770A94" w:rsidRDefault="00770A94" w:rsidP="00A710DF">
      <w:pPr>
        <w:rPr>
          <w:rFonts w:ascii="SansSerif" w:hAnsi="SansSerif"/>
          <w:b/>
          <w:color w:val="0000FF"/>
        </w:rPr>
      </w:pPr>
    </w:p>
    <w:p w:rsidR="00821B49" w:rsidRDefault="00821B49">
      <w:pPr>
        <w:rPr>
          <w:sz w:val="20"/>
          <w:szCs w:val="20"/>
        </w:rPr>
      </w:pPr>
    </w:p>
    <w:p w:rsidR="00821B49" w:rsidRPr="00A074B9" w:rsidRDefault="00821B49">
      <w:pPr>
        <w:rPr>
          <w:sz w:val="22"/>
          <w:szCs w:val="22"/>
        </w:rPr>
      </w:pPr>
    </w:p>
    <w:p w:rsidR="00086137" w:rsidRPr="00A074B9" w:rsidRDefault="00A47BC6">
      <w:pPr>
        <w:rPr>
          <w:sz w:val="22"/>
          <w:szCs w:val="22"/>
        </w:rPr>
      </w:pPr>
      <w:r w:rsidRPr="00A074B9">
        <w:rPr>
          <w:sz w:val="22"/>
          <w:szCs w:val="22"/>
        </w:rPr>
        <w:t xml:space="preserve">December </w:t>
      </w:r>
      <w:r w:rsidR="00703E2C">
        <w:rPr>
          <w:sz w:val="22"/>
          <w:szCs w:val="22"/>
        </w:rPr>
        <w:t>20</w:t>
      </w:r>
      <w:r w:rsidR="00703E2C" w:rsidRPr="00703E2C">
        <w:rPr>
          <w:sz w:val="22"/>
          <w:szCs w:val="22"/>
          <w:vertAlign w:val="superscript"/>
        </w:rPr>
        <w:t>th</w:t>
      </w:r>
      <w:r w:rsidRPr="00A074B9">
        <w:rPr>
          <w:sz w:val="22"/>
          <w:szCs w:val="22"/>
        </w:rPr>
        <w:t>, 2010</w:t>
      </w:r>
    </w:p>
    <w:p w:rsidR="00A47BC6" w:rsidRPr="00A074B9" w:rsidRDefault="00A47BC6" w:rsidP="001560CB">
      <w:pPr>
        <w:rPr>
          <w:sz w:val="22"/>
          <w:szCs w:val="22"/>
        </w:rPr>
      </w:pPr>
    </w:p>
    <w:p w:rsidR="00F65CDE" w:rsidRPr="00A074B9" w:rsidRDefault="00F65CDE" w:rsidP="00F65CDE">
      <w:pPr>
        <w:rPr>
          <w:sz w:val="22"/>
          <w:szCs w:val="22"/>
        </w:rPr>
      </w:pPr>
      <w:r w:rsidRPr="00A074B9">
        <w:rPr>
          <w:sz w:val="22"/>
          <w:szCs w:val="22"/>
        </w:rPr>
        <w:t>Mr. David Danner, Executive Director and Secretary</w:t>
      </w:r>
    </w:p>
    <w:p w:rsidR="00F65CDE" w:rsidRPr="00A074B9" w:rsidRDefault="00F65CDE" w:rsidP="00F65CDE">
      <w:pPr>
        <w:rPr>
          <w:sz w:val="22"/>
          <w:szCs w:val="22"/>
        </w:rPr>
      </w:pPr>
      <w:r w:rsidRPr="00A074B9">
        <w:rPr>
          <w:sz w:val="22"/>
          <w:szCs w:val="22"/>
        </w:rPr>
        <w:t>Washington Utilities and Transportation Commission</w:t>
      </w:r>
    </w:p>
    <w:p w:rsidR="00F65CDE" w:rsidRPr="00A074B9" w:rsidRDefault="00F65CDE" w:rsidP="00F65CDE">
      <w:pPr>
        <w:rPr>
          <w:sz w:val="22"/>
          <w:szCs w:val="22"/>
        </w:rPr>
      </w:pPr>
      <w:r w:rsidRPr="00A074B9">
        <w:rPr>
          <w:sz w:val="22"/>
          <w:szCs w:val="22"/>
        </w:rPr>
        <w:t>P.O.  Box 47250</w:t>
      </w:r>
    </w:p>
    <w:p w:rsidR="00F65CDE" w:rsidRPr="00A074B9" w:rsidRDefault="00F65CDE" w:rsidP="00F65CDE">
      <w:pPr>
        <w:rPr>
          <w:sz w:val="22"/>
          <w:szCs w:val="22"/>
        </w:rPr>
      </w:pPr>
      <w:r w:rsidRPr="00A074B9">
        <w:rPr>
          <w:sz w:val="22"/>
          <w:szCs w:val="22"/>
        </w:rPr>
        <w:t>Olympia, WA  98504-7250</w:t>
      </w:r>
    </w:p>
    <w:p w:rsidR="00C833F7" w:rsidRPr="00A074B9" w:rsidRDefault="00C833F7">
      <w:pPr>
        <w:rPr>
          <w:sz w:val="22"/>
          <w:szCs w:val="22"/>
        </w:rPr>
      </w:pPr>
    </w:p>
    <w:p w:rsidR="00C833F7" w:rsidRPr="00A074B9" w:rsidRDefault="00C833F7">
      <w:pPr>
        <w:rPr>
          <w:sz w:val="22"/>
          <w:szCs w:val="22"/>
        </w:rPr>
      </w:pPr>
      <w:r w:rsidRPr="00A074B9">
        <w:rPr>
          <w:sz w:val="22"/>
          <w:szCs w:val="22"/>
        </w:rPr>
        <w:t xml:space="preserve">Subject: </w:t>
      </w:r>
      <w:r w:rsidR="004D7B6D" w:rsidRPr="00A074B9">
        <w:rPr>
          <w:sz w:val="22"/>
          <w:szCs w:val="22"/>
        </w:rPr>
        <w:t>Country Meadows East #2 Tariff Filing</w:t>
      </w:r>
    </w:p>
    <w:p w:rsidR="001560CB" w:rsidRPr="00A074B9" w:rsidRDefault="001560CB">
      <w:pPr>
        <w:rPr>
          <w:sz w:val="22"/>
          <w:szCs w:val="22"/>
        </w:rPr>
      </w:pPr>
    </w:p>
    <w:p w:rsidR="00C833F7" w:rsidRPr="00A074B9" w:rsidRDefault="00F65CDE">
      <w:pPr>
        <w:rPr>
          <w:sz w:val="22"/>
          <w:szCs w:val="22"/>
        </w:rPr>
      </w:pPr>
      <w:r w:rsidRPr="00A074B9">
        <w:rPr>
          <w:sz w:val="22"/>
          <w:szCs w:val="22"/>
        </w:rPr>
        <w:t>Dear Mr. Danner</w:t>
      </w:r>
      <w:r w:rsidR="004D7B6D" w:rsidRPr="00A074B9">
        <w:rPr>
          <w:sz w:val="22"/>
          <w:szCs w:val="22"/>
        </w:rPr>
        <w:t>:</w:t>
      </w:r>
    </w:p>
    <w:p w:rsidR="001560CB" w:rsidRDefault="001560CB" w:rsidP="001560CB">
      <w:pPr>
        <w:jc w:val="both"/>
        <w:rPr>
          <w:sz w:val="22"/>
          <w:szCs w:val="22"/>
        </w:rPr>
      </w:pPr>
    </w:p>
    <w:p w:rsidR="00727093" w:rsidRDefault="00727093" w:rsidP="001560CB">
      <w:pPr>
        <w:jc w:val="both"/>
        <w:rPr>
          <w:sz w:val="22"/>
          <w:szCs w:val="22"/>
        </w:rPr>
      </w:pPr>
      <w:r>
        <w:rPr>
          <w:sz w:val="22"/>
          <w:szCs w:val="22"/>
        </w:rPr>
        <w:t xml:space="preserve">The </w:t>
      </w:r>
      <w:r w:rsidR="00F65CDE" w:rsidRPr="00A074B9">
        <w:rPr>
          <w:sz w:val="22"/>
          <w:szCs w:val="22"/>
        </w:rPr>
        <w:t>Country Meadows East #2 water system, WSID #62021B</w:t>
      </w:r>
      <w:r>
        <w:rPr>
          <w:sz w:val="22"/>
          <w:szCs w:val="22"/>
        </w:rPr>
        <w:t xml:space="preserve"> is requesting approval of the attached tariff prepared by its satellite management agency, Northwest Water Systems.  The water system has operated at a loss for several years, and only </w:t>
      </w:r>
      <w:r w:rsidR="002D7057">
        <w:rPr>
          <w:sz w:val="22"/>
          <w:szCs w:val="22"/>
        </w:rPr>
        <w:t>remains solvent due to frequent</w:t>
      </w:r>
      <w:r>
        <w:rPr>
          <w:sz w:val="22"/>
          <w:szCs w:val="22"/>
        </w:rPr>
        <w:t xml:space="preserve"> large infusions of money from the owner.</w:t>
      </w:r>
      <w:r w:rsidR="002D7057">
        <w:rPr>
          <w:sz w:val="22"/>
          <w:szCs w:val="22"/>
        </w:rPr>
        <w:t xml:space="preserve"> </w:t>
      </w:r>
      <w:r w:rsidR="00004F0A">
        <w:rPr>
          <w:sz w:val="22"/>
          <w:szCs w:val="22"/>
        </w:rPr>
        <w:t xml:space="preserve"> </w:t>
      </w:r>
      <w:r w:rsidR="0094318B">
        <w:rPr>
          <w:sz w:val="22"/>
          <w:szCs w:val="22"/>
        </w:rPr>
        <w:t>The system has not filed a new tariff in nearly 8 years, and thereby has not kept pace with inflation</w:t>
      </w:r>
      <w:r w:rsidR="00821602">
        <w:rPr>
          <w:sz w:val="22"/>
          <w:szCs w:val="22"/>
        </w:rPr>
        <w:t xml:space="preserve"> in fees or materials</w:t>
      </w:r>
      <w:r w:rsidR="0094318B">
        <w:rPr>
          <w:sz w:val="22"/>
          <w:szCs w:val="22"/>
        </w:rPr>
        <w:t>.  Further</w:t>
      </w:r>
      <w:r w:rsidR="008417CA">
        <w:rPr>
          <w:sz w:val="22"/>
          <w:szCs w:val="22"/>
        </w:rPr>
        <w:t>,</w:t>
      </w:r>
      <w:r w:rsidR="0094318B">
        <w:rPr>
          <w:sz w:val="22"/>
          <w:szCs w:val="22"/>
        </w:rPr>
        <w:t xml:space="preserve"> heavy system use has resulted in very high treatment costs to the water system over the past several years.</w:t>
      </w:r>
      <w:r w:rsidR="004066BA">
        <w:rPr>
          <w:sz w:val="22"/>
          <w:szCs w:val="22"/>
        </w:rPr>
        <w:t xml:space="preserve">  All of these factors combined have resulted in the </w:t>
      </w:r>
      <w:r w:rsidR="008417CA">
        <w:rPr>
          <w:sz w:val="22"/>
          <w:szCs w:val="22"/>
        </w:rPr>
        <w:t>need for the sstem to adjust their tariffs to remain financially viable.</w:t>
      </w:r>
    </w:p>
    <w:p w:rsidR="00727093" w:rsidRDefault="00727093" w:rsidP="001560CB">
      <w:pPr>
        <w:jc w:val="both"/>
        <w:rPr>
          <w:sz w:val="22"/>
          <w:szCs w:val="22"/>
        </w:rPr>
      </w:pPr>
    </w:p>
    <w:p w:rsidR="00BC63C6" w:rsidRPr="00BC63C6" w:rsidRDefault="00BC63C6" w:rsidP="001560CB">
      <w:pPr>
        <w:jc w:val="both"/>
        <w:rPr>
          <w:b/>
          <w:sz w:val="22"/>
          <w:szCs w:val="22"/>
        </w:rPr>
      </w:pPr>
      <w:r>
        <w:rPr>
          <w:b/>
          <w:sz w:val="22"/>
          <w:szCs w:val="22"/>
        </w:rPr>
        <w:t>Filing Purpose</w:t>
      </w:r>
    </w:p>
    <w:p w:rsidR="00F65CDE" w:rsidRPr="00A074B9" w:rsidRDefault="00F65CDE" w:rsidP="001560CB">
      <w:pPr>
        <w:jc w:val="both"/>
        <w:rPr>
          <w:sz w:val="22"/>
          <w:szCs w:val="22"/>
        </w:rPr>
      </w:pPr>
      <w:r w:rsidRPr="00A074B9">
        <w:rPr>
          <w:sz w:val="22"/>
          <w:szCs w:val="22"/>
        </w:rPr>
        <w:t xml:space="preserve">This rate filing has </w:t>
      </w:r>
      <w:r w:rsidR="00104052" w:rsidRPr="00A074B9">
        <w:rPr>
          <w:sz w:val="22"/>
          <w:szCs w:val="22"/>
        </w:rPr>
        <w:t xml:space="preserve">several </w:t>
      </w:r>
      <w:r w:rsidRPr="00A074B9">
        <w:rPr>
          <w:sz w:val="22"/>
          <w:szCs w:val="22"/>
        </w:rPr>
        <w:t xml:space="preserve">purposes: (1) to increase revenues in order to meet the financial burden of operating the system, (2) to establish </w:t>
      </w:r>
      <w:r w:rsidR="00104052" w:rsidRPr="00A074B9">
        <w:rPr>
          <w:sz w:val="22"/>
          <w:szCs w:val="22"/>
        </w:rPr>
        <w:t>a tiered rate structure to encourage conservation and (3) to ensure that the users of the system are e</w:t>
      </w:r>
      <w:r w:rsidR="00BC486F">
        <w:rPr>
          <w:sz w:val="22"/>
          <w:szCs w:val="22"/>
        </w:rPr>
        <w:t>quitably charged for their use</w:t>
      </w:r>
      <w:r w:rsidR="00104052" w:rsidRPr="00A074B9">
        <w:rPr>
          <w:sz w:val="22"/>
          <w:szCs w:val="22"/>
        </w:rPr>
        <w:t>.</w:t>
      </w:r>
      <w:r w:rsidR="00727093">
        <w:rPr>
          <w:sz w:val="22"/>
          <w:szCs w:val="22"/>
        </w:rPr>
        <w:t xml:space="preserve">  The water system has significant quality issues that require treatment, the cost of which is proporti</w:t>
      </w:r>
      <w:r w:rsidR="004A4ECA">
        <w:rPr>
          <w:sz w:val="22"/>
          <w:szCs w:val="22"/>
        </w:rPr>
        <w:t>onal to the usage on the system;</w:t>
      </w:r>
      <w:r w:rsidR="00727093">
        <w:rPr>
          <w:sz w:val="22"/>
          <w:szCs w:val="22"/>
        </w:rPr>
        <w:t xml:space="preserve"> </w:t>
      </w:r>
      <w:r w:rsidR="004A4ECA">
        <w:rPr>
          <w:sz w:val="22"/>
          <w:szCs w:val="22"/>
        </w:rPr>
        <w:t>t</w:t>
      </w:r>
      <w:r w:rsidR="00727093">
        <w:rPr>
          <w:sz w:val="22"/>
          <w:szCs w:val="22"/>
        </w:rPr>
        <w:t xml:space="preserve">herefore </w:t>
      </w:r>
      <w:r w:rsidR="004A4ECA">
        <w:rPr>
          <w:sz w:val="22"/>
          <w:szCs w:val="22"/>
        </w:rPr>
        <w:t xml:space="preserve">it is </w:t>
      </w:r>
      <w:r w:rsidR="00004F0A">
        <w:rPr>
          <w:sz w:val="22"/>
          <w:szCs w:val="22"/>
        </w:rPr>
        <w:t xml:space="preserve">very </w:t>
      </w:r>
      <w:r w:rsidR="00436C06">
        <w:rPr>
          <w:sz w:val="22"/>
          <w:szCs w:val="22"/>
        </w:rPr>
        <w:t xml:space="preserve">important that users </w:t>
      </w:r>
      <w:r w:rsidR="00BC63C6">
        <w:rPr>
          <w:sz w:val="22"/>
          <w:szCs w:val="22"/>
        </w:rPr>
        <w:t xml:space="preserve">are </w:t>
      </w:r>
      <w:r w:rsidR="00436C06">
        <w:rPr>
          <w:sz w:val="22"/>
          <w:szCs w:val="22"/>
        </w:rPr>
        <w:t xml:space="preserve">proportionally charged for their </w:t>
      </w:r>
      <w:r w:rsidR="004A4ECA">
        <w:rPr>
          <w:sz w:val="22"/>
          <w:szCs w:val="22"/>
        </w:rPr>
        <w:t>consumption</w:t>
      </w:r>
      <w:r w:rsidR="00436C06">
        <w:rPr>
          <w:sz w:val="22"/>
          <w:szCs w:val="22"/>
        </w:rPr>
        <w:t>.</w:t>
      </w:r>
    </w:p>
    <w:p w:rsidR="00F65CDE" w:rsidRDefault="00F65CDE" w:rsidP="001560CB">
      <w:pPr>
        <w:jc w:val="both"/>
        <w:rPr>
          <w:sz w:val="22"/>
          <w:szCs w:val="22"/>
        </w:rPr>
      </w:pPr>
    </w:p>
    <w:p w:rsidR="00BC63C6" w:rsidRPr="00BC63C6" w:rsidRDefault="00BC63C6" w:rsidP="001560CB">
      <w:pPr>
        <w:jc w:val="both"/>
        <w:rPr>
          <w:b/>
          <w:sz w:val="22"/>
          <w:szCs w:val="22"/>
        </w:rPr>
      </w:pPr>
      <w:r>
        <w:rPr>
          <w:b/>
          <w:sz w:val="22"/>
          <w:szCs w:val="22"/>
        </w:rPr>
        <w:t>System History</w:t>
      </w:r>
    </w:p>
    <w:p w:rsidR="004E6F5B" w:rsidRDefault="00BC63C6" w:rsidP="001560CB">
      <w:pPr>
        <w:jc w:val="both"/>
        <w:rPr>
          <w:sz w:val="22"/>
          <w:szCs w:val="22"/>
        </w:rPr>
      </w:pPr>
      <w:r>
        <w:rPr>
          <w:sz w:val="22"/>
          <w:szCs w:val="22"/>
        </w:rPr>
        <w:t xml:space="preserve">The community </w:t>
      </w:r>
      <w:r w:rsidR="008417CA">
        <w:rPr>
          <w:sz w:val="22"/>
          <w:szCs w:val="22"/>
        </w:rPr>
        <w:t xml:space="preserve">was </w:t>
      </w:r>
      <w:r w:rsidR="004E6F5B">
        <w:rPr>
          <w:sz w:val="22"/>
          <w:szCs w:val="22"/>
        </w:rPr>
        <w:t>developed by Horizons West Development</w:t>
      </w:r>
      <w:r>
        <w:rPr>
          <w:sz w:val="22"/>
          <w:szCs w:val="22"/>
        </w:rPr>
        <w:t xml:space="preserve"> </w:t>
      </w:r>
      <w:r w:rsidR="004E6F5B">
        <w:rPr>
          <w:sz w:val="22"/>
          <w:szCs w:val="22"/>
        </w:rPr>
        <w:t>and served by 4 Group B water systems</w:t>
      </w:r>
      <w:r>
        <w:rPr>
          <w:sz w:val="22"/>
          <w:szCs w:val="22"/>
        </w:rPr>
        <w:t xml:space="preserve">.  The developer </w:t>
      </w:r>
      <w:r w:rsidR="00004F0A">
        <w:rPr>
          <w:sz w:val="22"/>
          <w:szCs w:val="22"/>
        </w:rPr>
        <w:t xml:space="preserve">used </w:t>
      </w:r>
      <w:r>
        <w:rPr>
          <w:sz w:val="22"/>
          <w:szCs w:val="22"/>
        </w:rPr>
        <w:t xml:space="preserve">loans from </w:t>
      </w:r>
      <w:r w:rsidR="004A4ECA">
        <w:rPr>
          <w:sz w:val="22"/>
          <w:szCs w:val="22"/>
        </w:rPr>
        <w:t>Olympic</w:t>
      </w:r>
      <w:r>
        <w:rPr>
          <w:sz w:val="22"/>
          <w:szCs w:val="22"/>
        </w:rPr>
        <w:t xml:space="preserve"> Coast Investments, owned by Robert Hoss.  The developer defaulted on the loans and </w:t>
      </w:r>
      <w:r w:rsidR="004E6F5B">
        <w:rPr>
          <w:sz w:val="22"/>
          <w:szCs w:val="22"/>
        </w:rPr>
        <w:t xml:space="preserve">two of </w:t>
      </w:r>
      <w:r w:rsidR="00471109">
        <w:rPr>
          <w:sz w:val="22"/>
          <w:szCs w:val="22"/>
        </w:rPr>
        <w:t>the water system</w:t>
      </w:r>
      <w:r w:rsidR="004E6F5B">
        <w:rPr>
          <w:sz w:val="22"/>
          <w:szCs w:val="22"/>
        </w:rPr>
        <w:t>s</w:t>
      </w:r>
      <w:r w:rsidR="00471109">
        <w:rPr>
          <w:sz w:val="22"/>
          <w:szCs w:val="22"/>
        </w:rPr>
        <w:t xml:space="preserve"> </w:t>
      </w:r>
      <w:r w:rsidR="00004F0A">
        <w:rPr>
          <w:sz w:val="22"/>
          <w:szCs w:val="22"/>
        </w:rPr>
        <w:t xml:space="preserve">became the </w:t>
      </w:r>
      <w:r w:rsidR="00471109">
        <w:rPr>
          <w:sz w:val="22"/>
          <w:szCs w:val="22"/>
        </w:rPr>
        <w:t>property of</w:t>
      </w:r>
      <w:r w:rsidR="004E6F5B">
        <w:rPr>
          <w:sz w:val="22"/>
          <w:szCs w:val="22"/>
        </w:rPr>
        <w:t xml:space="preserve"> </w:t>
      </w:r>
      <w:r w:rsidR="004A4ECA">
        <w:rPr>
          <w:sz w:val="22"/>
          <w:szCs w:val="22"/>
        </w:rPr>
        <w:t xml:space="preserve">Olympic </w:t>
      </w:r>
      <w:r w:rsidR="004E6F5B">
        <w:rPr>
          <w:sz w:val="22"/>
          <w:szCs w:val="22"/>
        </w:rPr>
        <w:t>Coast Investments</w:t>
      </w:r>
      <w:r w:rsidR="00471109">
        <w:rPr>
          <w:sz w:val="22"/>
          <w:szCs w:val="22"/>
        </w:rPr>
        <w:t>.  During the course of this process, and the years</w:t>
      </w:r>
      <w:r w:rsidR="004E6F5B">
        <w:rPr>
          <w:sz w:val="22"/>
          <w:szCs w:val="22"/>
        </w:rPr>
        <w:t xml:space="preserve"> that followed</w:t>
      </w:r>
      <w:r w:rsidR="00471109">
        <w:rPr>
          <w:sz w:val="22"/>
          <w:szCs w:val="22"/>
        </w:rPr>
        <w:t xml:space="preserve">, </w:t>
      </w:r>
      <w:r w:rsidR="00004F0A">
        <w:rPr>
          <w:sz w:val="22"/>
          <w:szCs w:val="22"/>
        </w:rPr>
        <w:t xml:space="preserve">most of </w:t>
      </w:r>
      <w:r w:rsidR="00471109">
        <w:rPr>
          <w:sz w:val="22"/>
          <w:szCs w:val="22"/>
        </w:rPr>
        <w:t>t</w:t>
      </w:r>
      <w:r>
        <w:rPr>
          <w:sz w:val="22"/>
          <w:szCs w:val="22"/>
        </w:rPr>
        <w:t xml:space="preserve">he </w:t>
      </w:r>
      <w:r w:rsidR="00104052" w:rsidRPr="00A074B9">
        <w:rPr>
          <w:sz w:val="22"/>
          <w:szCs w:val="22"/>
        </w:rPr>
        <w:t xml:space="preserve">water system </w:t>
      </w:r>
      <w:r w:rsidR="00004F0A">
        <w:rPr>
          <w:sz w:val="22"/>
          <w:szCs w:val="22"/>
        </w:rPr>
        <w:t xml:space="preserve">documentation was </w:t>
      </w:r>
      <w:r w:rsidR="008417CA">
        <w:rPr>
          <w:sz w:val="22"/>
          <w:szCs w:val="22"/>
        </w:rPr>
        <w:t>not provided to Olympic Cost Investments</w:t>
      </w:r>
      <w:r w:rsidR="00471109">
        <w:rPr>
          <w:sz w:val="22"/>
          <w:szCs w:val="22"/>
        </w:rPr>
        <w:t xml:space="preserve">.  </w:t>
      </w:r>
      <w:r w:rsidR="004E6F5B">
        <w:rPr>
          <w:sz w:val="22"/>
          <w:szCs w:val="22"/>
        </w:rPr>
        <w:t xml:space="preserve">At an unknown </w:t>
      </w:r>
      <w:r w:rsidR="004A4ECA">
        <w:rPr>
          <w:sz w:val="22"/>
          <w:szCs w:val="22"/>
        </w:rPr>
        <w:t xml:space="preserve">point in </w:t>
      </w:r>
      <w:r w:rsidR="00004F0A">
        <w:rPr>
          <w:sz w:val="22"/>
          <w:szCs w:val="22"/>
        </w:rPr>
        <w:t>time</w:t>
      </w:r>
      <w:r w:rsidR="004E6F5B">
        <w:rPr>
          <w:sz w:val="22"/>
          <w:szCs w:val="22"/>
        </w:rPr>
        <w:t xml:space="preserve">, </w:t>
      </w:r>
      <w:r w:rsidR="00004F0A">
        <w:rPr>
          <w:sz w:val="22"/>
          <w:szCs w:val="22"/>
        </w:rPr>
        <w:t xml:space="preserve">the original </w:t>
      </w:r>
      <w:r w:rsidR="004E6F5B">
        <w:rPr>
          <w:sz w:val="22"/>
          <w:szCs w:val="22"/>
        </w:rPr>
        <w:t xml:space="preserve">systems “2” and “4” were </w:t>
      </w:r>
      <w:r w:rsidR="00004F0A">
        <w:rPr>
          <w:sz w:val="22"/>
          <w:szCs w:val="22"/>
        </w:rPr>
        <w:t xml:space="preserve">intertied </w:t>
      </w:r>
      <w:r w:rsidR="004E6F5B">
        <w:rPr>
          <w:sz w:val="22"/>
          <w:szCs w:val="22"/>
        </w:rPr>
        <w:t xml:space="preserve">and reclassified as a </w:t>
      </w:r>
      <w:r w:rsidR="00004F0A">
        <w:rPr>
          <w:sz w:val="22"/>
          <w:szCs w:val="22"/>
        </w:rPr>
        <w:t xml:space="preserve">community </w:t>
      </w:r>
      <w:r w:rsidR="004E6F5B">
        <w:rPr>
          <w:sz w:val="22"/>
          <w:szCs w:val="22"/>
        </w:rPr>
        <w:t xml:space="preserve">Group A system.  </w:t>
      </w:r>
    </w:p>
    <w:p w:rsidR="004E6F5B" w:rsidRDefault="004E6F5B" w:rsidP="001560CB">
      <w:pPr>
        <w:jc w:val="both"/>
        <w:rPr>
          <w:sz w:val="22"/>
          <w:szCs w:val="22"/>
        </w:rPr>
      </w:pPr>
    </w:p>
    <w:p w:rsidR="00104052" w:rsidRDefault="004A4ECA" w:rsidP="001560CB">
      <w:pPr>
        <w:jc w:val="both"/>
        <w:rPr>
          <w:sz w:val="22"/>
          <w:szCs w:val="22"/>
        </w:rPr>
      </w:pPr>
      <w:r>
        <w:rPr>
          <w:sz w:val="22"/>
          <w:szCs w:val="22"/>
        </w:rPr>
        <w:t>Because of t</w:t>
      </w:r>
      <w:r w:rsidR="004E6F5B">
        <w:rPr>
          <w:sz w:val="22"/>
          <w:szCs w:val="22"/>
        </w:rPr>
        <w:t xml:space="preserve">he </w:t>
      </w:r>
      <w:r>
        <w:rPr>
          <w:sz w:val="22"/>
          <w:szCs w:val="22"/>
        </w:rPr>
        <w:t xml:space="preserve">poor documentation the system has only recently </w:t>
      </w:r>
      <w:r w:rsidR="004E6F5B">
        <w:rPr>
          <w:sz w:val="22"/>
          <w:szCs w:val="22"/>
        </w:rPr>
        <w:t>discovered 6 additional houses on the system</w:t>
      </w:r>
      <w:r w:rsidR="00C571E2">
        <w:rPr>
          <w:sz w:val="22"/>
          <w:szCs w:val="22"/>
        </w:rPr>
        <w:t>, increasing the paying base from 8 homes to 14</w:t>
      </w:r>
      <w:r w:rsidR="004E6F5B">
        <w:rPr>
          <w:sz w:val="22"/>
          <w:szCs w:val="22"/>
        </w:rPr>
        <w:t xml:space="preserve">.  This discovery was made during a routine water service disruption to install service meters.  </w:t>
      </w:r>
      <w:r>
        <w:rPr>
          <w:sz w:val="22"/>
          <w:szCs w:val="22"/>
        </w:rPr>
        <w:t xml:space="preserve">This documentation problem extends to nearly every part of the water system, and consequently </w:t>
      </w:r>
      <w:r w:rsidR="00104052" w:rsidRPr="00A074B9">
        <w:rPr>
          <w:sz w:val="22"/>
          <w:szCs w:val="22"/>
        </w:rPr>
        <w:t>much of the utility plant cannot be used as rate base.  Only that hardware for which there is a clear record of purchase and installation is included in the depreciation schedule.</w:t>
      </w:r>
      <w:r w:rsidR="004E6F5B">
        <w:rPr>
          <w:sz w:val="22"/>
          <w:szCs w:val="22"/>
        </w:rPr>
        <w:t xml:space="preserve">  All known </w:t>
      </w:r>
      <w:r w:rsidR="00004F0A">
        <w:rPr>
          <w:sz w:val="22"/>
          <w:szCs w:val="22"/>
        </w:rPr>
        <w:t>active users are included for rate setting</w:t>
      </w:r>
      <w:r w:rsidR="004E6F5B">
        <w:rPr>
          <w:sz w:val="22"/>
          <w:szCs w:val="22"/>
        </w:rPr>
        <w:t xml:space="preserve">, although </w:t>
      </w:r>
      <w:r w:rsidR="00C571E2">
        <w:rPr>
          <w:sz w:val="22"/>
          <w:szCs w:val="22"/>
        </w:rPr>
        <w:t xml:space="preserve">only those users who have had reliable service meter data were used in </w:t>
      </w:r>
      <w:r w:rsidR="00004F0A">
        <w:rPr>
          <w:sz w:val="22"/>
          <w:szCs w:val="22"/>
        </w:rPr>
        <w:t>determining the tiered rates</w:t>
      </w:r>
      <w:r w:rsidR="00C571E2">
        <w:rPr>
          <w:sz w:val="22"/>
          <w:szCs w:val="22"/>
        </w:rPr>
        <w:t>.</w:t>
      </w:r>
    </w:p>
    <w:p w:rsidR="004A4ECA" w:rsidRDefault="004A4ECA" w:rsidP="001560CB">
      <w:pPr>
        <w:jc w:val="both"/>
        <w:rPr>
          <w:sz w:val="22"/>
          <w:szCs w:val="22"/>
        </w:rPr>
      </w:pPr>
    </w:p>
    <w:p w:rsidR="004A4ECA" w:rsidRDefault="004A4ECA" w:rsidP="001560CB">
      <w:pPr>
        <w:jc w:val="both"/>
        <w:rPr>
          <w:sz w:val="22"/>
          <w:szCs w:val="22"/>
        </w:rPr>
      </w:pPr>
      <w:r>
        <w:rPr>
          <w:sz w:val="22"/>
          <w:szCs w:val="22"/>
        </w:rPr>
        <w:lastRenderedPageBreak/>
        <w:t xml:space="preserve">The system was managed for much of the past 10 years by Helens Pump.  The water system recently contracted with </w:t>
      </w:r>
      <w:r w:rsidRPr="004A4ECA">
        <w:rPr>
          <w:sz w:val="22"/>
          <w:szCs w:val="22"/>
        </w:rPr>
        <w:t>Northwest Water Systems</w:t>
      </w:r>
      <w:r>
        <w:rPr>
          <w:sz w:val="22"/>
          <w:szCs w:val="22"/>
        </w:rPr>
        <w:t xml:space="preserve"> as their satellite management agency.  Financial records were provided by Christina Williams of Olympic Coast Investments.  </w:t>
      </w:r>
    </w:p>
    <w:p w:rsidR="00C571E2" w:rsidRDefault="00C571E2" w:rsidP="001560CB">
      <w:pPr>
        <w:jc w:val="both"/>
        <w:rPr>
          <w:sz w:val="22"/>
          <w:szCs w:val="22"/>
        </w:rPr>
      </w:pPr>
    </w:p>
    <w:p w:rsidR="00C571E2" w:rsidRPr="00C571E2" w:rsidRDefault="00366B5C" w:rsidP="001560CB">
      <w:pPr>
        <w:jc w:val="both"/>
        <w:rPr>
          <w:b/>
          <w:sz w:val="22"/>
          <w:szCs w:val="22"/>
        </w:rPr>
      </w:pPr>
      <w:r>
        <w:rPr>
          <w:b/>
          <w:sz w:val="22"/>
          <w:szCs w:val="22"/>
        </w:rPr>
        <w:t>Impact on system users</w:t>
      </w:r>
    </w:p>
    <w:p w:rsidR="00C571E2" w:rsidRDefault="00C571E2" w:rsidP="001560CB">
      <w:pPr>
        <w:jc w:val="both"/>
        <w:rPr>
          <w:sz w:val="22"/>
          <w:szCs w:val="22"/>
        </w:rPr>
      </w:pPr>
    </w:p>
    <w:p w:rsidR="00104052" w:rsidRDefault="00004F0A" w:rsidP="001560CB">
      <w:pPr>
        <w:jc w:val="both"/>
        <w:rPr>
          <w:sz w:val="22"/>
          <w:szCs w:val="22"/>
        </w:rPr>
      </w:pPr>
      <w:r>
        <w:rPr>
          <w:sz w:val="22"/>
          <w:szCs w:val="22"/>
        </w:rPr>
        <w:t>A</w:t>
      </w:r>
      <w:r w:rsidR="00104052" w:rsidRPr="00A074B9">
        <w:rPr>
          <w:sz w:val="22"/>
          <w:szCs w:val="22"/>
        </w:rPr>
        <w:t xml:space="preserve">ll metered water service connections will be billed on a tiered basis according to the attached tariff.  One home is currently uninhabited, and should water service be requested before meter installation can be completed, a tariff for flat rate service is included.  </w:t>
      </w:r>
      <w:r w:rsidR="00C571E2">
        <w:rPr>
          <w:sz w:val="22"/>
          <w:szCs w:val="22"/>
        </w:rPr>
        <w:t>The new tariff will result in a very large increase in system rates, and relatively high overall system rates.  This is the unfortunate consequence of a number of factors</w:t>
      </w:r>
      <w:r>
        <w:rPr>
          <w:sz w:val="22"/>
          <w:szCs w:val="22"/>
        </w:rPr>
        <w:t>:</w:t>
      </w:r>
      <w:r w:rsidR="00C571E2">
        <w:rPr>
          <w:sz w:val="22"/>
          <w:szCs w:val="22"/>
        </w:rPr>
        <w:t xml:space="preserve"> (1) The water system has a small subscriber base, with only 14 customers to pay the fixed costs of operating the system, (2) The system has </w:t>
      </w:r>
      <w:r>
        <w:rPr>
          <w:sz w:val="22"/>
          <w:szCs w:val="22"/>
        </w:rPr>
        <w:t>relatively high sampling costs because of its unmixed wells</w:t>
      </w:r>
      <w:r w:rsidR="00C571E2">
        <w:rPr>
          <w:sz w:val="22"/>
          <w:szCs w:val="22"/>
        </w:rPr>
        <w:t xml:space="preserve"> (3) Water from the sources must undergo treatment </w:t>
      </w:r>
      <w:r w:rsidR="003613B2">
        <w:rPr>
          <w:sz w:val="22"/>
          <w:szCs w:val="22"/>
        </w:rPr>
        <w:t xml:space="preserve">utilizing </w:t>
      </w:r>
      <w:r w:rsidR="00C571E2">
        <w:rPr>
          <w:sz w:val="22"/>
          <w:szCs w:val="22"/>
        </w:rPr>
        <w:t>salt</w:t>
      </w:r>
      <w:r w:rsidR="003613B2">
        <w:rPr>
          <w:sz w:val="22"/>
          <w:szCs w:val="22"/>
        </w:rPr>
        <w:t>,</w:t>
      </w:r>
      <w:r w:rsidR="00C571E2">
        <w:rPr>
          <w:sz w:val="22"/>
          <w:szCs w:val="22"/>
        </w:rPr>
        <w:t xml:space="preserve"> which has resulted high historical costs to the water system, and (4) The system has been unmetered historically and several of the users have very high usage</w:t>
      </w:r>
      <w:r>
        <w:rPr>
          <w:sz w:val="22"/>
          <w:szCs w:val="22"/>
        </w:rPr>
        <w:t>,</w:t>
      </w:r>
      <w:r w:rsidR="00C571E2">
        <w:rPr>
          <w:sz w:val="22"/>
          <w:szCs w:val="22"/>
        </w:rPr>
        <w:t xml:space="preserve"> </w:t>
      </w:r>
      <w:r>
        <w:rPr>
          <w:sz w:val="22"/>
          <w:szCs w:val="22"/>
        </w:rPr>
        <w:t xml:space="preserve">which has increased treatment </w:t>
      </w:r>
      <w:r w:rsidR="003613B2">
        <w:rPr>
          <w:sz w:val="22"/>
          <w:szCs w:val="22"/>
        </w:rPr>
        <w:t xml:space="preserve">and other operational </w:t>
      </w:r>
      <w:r>
        <w:rPr>
          <w:sz w:val="22"/>
          <w:szCs w:val="22"/>
        </w:rPr>
        <w:t>costs</w:t>
      </w:r>
      <w:r w:rsidR="00C571E2">
        <w:rPr>
          <w:sz w:val="22"/>
          <w:szCs w:val="22"/>
        </w:rPr>
        <w:t xml:space="preserve">.  </w:t>
      </w:r>
      <w:r w:rsidR="00104052" w:rsidRPr="00A074B9">
        <w:rPr>
          <w:sz w:val="22"/>
          <w:szCs w:val="22"/>
        </w:rPr>
        <w:t xml:space="preserve">The overall system revenues must increase by </w:t>
      </w:r>
      <w:r w:rsidR="00D50789">
        <w:rPr>
          <w:sz w:val="22"/>
          <w:szCs w:val="22"/>
        </w:rPr>
        <w:t>9</w:t>
      </w:r>
      <w:r w:rsidR="00703E2C">
        <w:rPr>
          <w:sz w:val="22"/>
          <w:szCs w:val="22"/>
        </w:rPr>
        <w:t>6</w:t>
      </w:r>
      <w:r w:rsidR="0042728E">
        <w:rPr>
          <w:sz w:val="22"/>
          <w:szCs w:val="22"/>
        </w:rPr>
        <w:t>.3</w:t>
      </w:r>
      <w:r w:rsidR="003613B2">
        <w:rPr>
          <w:sz w:val="22"/>
          <w:szCs w:val="22"/>
        </w:rPr>
        <w:t>%;</w:t>
      </w:r>
      <w:r w:rsidR="00104052" w:rsidRPr="00A074B9">
        <w:rPr>
          <w:sz w:val="22"/>
          <w:szCs w:val="22"/>
        </w:rPr>
        <w:t xml:space="preserve"> therefore</w:t>
      </w:r>
      <w:r w:rsidR="003613B2">
        <w:rPr>
          <w:sz w:val="22"/>
          <w:szCs w:val="22"/>
        </w:rPr>
        <w:t>,</w:t>
      </w:r>
      <w:r w:rsidR="00104052" w:rsidRPr="00A074B9">
        <w:rPr>
          <w:sz w:val="22"/>
          <w:szCs w:val="22"/>
        </w:rPr>
        <w:t xml:space="preserve"> the rates charged to the individual customers will be increased by this amount.  </w:t>
      </w:r>
      <w:r w:rsidR="00571AAF">
        <w:rPr>
          <w:sz w:val="22"/>
          <w:szCs w:val="22"/>
        </w:rPr>
        <w:t xml:space="preserve">Only residential service is discussed </w:t>
      </w:r>
      <w:r w:rsidR="003613B2">
        <w:rPr>
          <w:sz w:val="22"/>
          <w:szCs w:val="22"/>
        </w:rPr>
        <w:t xml:space="preserve">because </w:t>
      </w:r>
      <w:r w:rsidR="00571AAF">
        <w:rPr>
          <w:sz w:val="22"/>
          <w:szCs w:val="22"/>
        </w:rPr>
        <w:t>there are no business</w:t>
      </w:r>
      <w:r w:rsidR="00C571E2">
        <w:rPr>
          <w:sz w:val="22"/>
          <w:szCs w:val="22"/>
        </w:rPr>
        <w:t>, wholesale or other types of</w:t>
      </w:r>
      <w:r w:rsidR="00571AAF">
        <w:rPr>
          <w:sz w:val="22"/>
          <w:szCs w:val="22"/>
        </w:rPr>
        <w:t xml:space="preserve"> connections on this system</w:t>
      </w:r>
      <w:r w:rsidR="00104052" w:rsidRPr="00A074B9">
        <w:rPr>
          <w:sz w:val="22"/>
          <w:szCs w:val="22"/>
        </w:rPr>
        <w:t>.</w:t>
      </w:r>
    </w:p>
    <w:p w:rsidR="00C571E2" w:rsidRDefault="00C571E2" w:rsidP="001560CB">
      <w:pPr>
        <w:jc w:val="both"/>
        <w:rPr>
          <w:sz w:val="22"/>
          <w:szCs w:val="22"/>
        </w:rPr>
      </w:pPr>
    </w:p>
    <w:p w:rsidR="00297FBF" w:rsidRPr="00A074B9" w:rsidRDefault="009F3FCC" w:rsidP="001560CB">
      <w:pPr>
        <w:jc w:val="both"/>
        <w:rPr>
          <w:sz w:val="22"/>
          <w:szCs w:val="22"/>
        </w:rPr>
      </w:pPr>
      <w:r>
        <w:rPr>
          <w:sz w:val="22"/>
          <w:szCs w:val="22"/>
        </w:rPr>
        <w:t xml:space="preserve">The </w:t>
      </w:r>
      <w:r w:rsidR="0094318B">
        <w:rPr>
          <w:sz w:val="22"/>
          <w:szCs w:val="22"/>
        </w:rPr>
        <w:t xml:space="preserve">resulting </w:t>
      </w:r>
      <w:r w:rsidR="00297FBF">
        <w:rPr>
          <w:sz w:val="22"/>
          <w:szCs w:val="22"/>
        </w:rPr>
        <w:t xml:space="preserve">increase in revenue </w:t>
      </w:r>
      <w:r>
        <w:rPr>
          <w:sz w:val="22"/>
          <w:szCs w:val="22"/>
        </w:rPr>
        <w:t xml:space="preserve">will likely be </w:t>
      </w:r>
      <w:r w:rsidR="00297FBF">
        <w:rPr>
          <w:sz w:val="22"/>
          <w:szCs w:val="22"/>
        </w:rPr>
        <w:t>somewhat lower than what is calculated</w:t>
      </w:r>
      <w:r>
        <w:rPr>
          <w:sz w:val="22"/>
          <w:szCs w:val="22"/>
        </w:rPr>
        <w:t xml:space="preserve">.  Once a tiered price model is imposed, the users are likely to reduce their consumption considerably.  Many of the users exceed 1,000 gpd through the summer, </w:t>
      </w:r>
      <w:r w:rsidR="00297FBF">
        <w:rPr>
          <w:sz w:val="22"/>
          <w:szCs w:val="22"/>
        </w:rPr>
        <w:t xml:space="preserve">and several exceed 3,000 gpd.  Once these very heavy users either reign in their consumption, or begin paying their fair portion of the cost of the system the overall increase </w:t>
      </w:r>
      <w:r w:rsidR="003613B2">
        <w:rPr>
          <w:sz w:val="22"/>
          <w:szCs w:val="22"/>
        </w:rPr>
        <w:t xml:space="preserve">in revenue </w:t>
      </w:r>
      <w:r w:rsidR="00297FBF">
        <w:rPr>
          <w:sz w:val="22"/>
          <w:szCs w:val="22"/>
        </w:rPr>
        <w:t xml:space="preserve">will likely be more modest.  Several </w:t>
      </w:r>
      <w:r w:rsidR="003613B2">
        <w:rPr>
          <w:sz w:val="22"/>
          <w:szCs w:val="22"/>
        </w:rPr>
        <w:t xml:space="preserve">customers </w:t>
      </w:r>
      <w:r w:rsidR="00297FBF">
        <w:rPr>
          <w:sz w:val="22"/>
          <w:szCs w:val="22"/>
        </w:rPr>
        <w:t xml:space="preserve">with lower use will see much more modest rate increases and will be rewarded for their conservative use of the water system.  </w:t>
      </w:r>
      <w:r w:rsidR="003613B2">
        <w:rPr>
          <w:sz w:val="22"/>
          <w:szCs w:val="22"/>
        </w:rPr>
        <w:t>I</w:t>
      </w:r>
      <w:r w:rsidR="00297FBF">
        <w:rPr>
          <w:sz w:val="22"/>
          <w:szCs w:val="22"/>
        </w:rPr>
        <w:t>t is likely the rates will require amendment within the next 18 months.</w:t>
      </w:r>
    </w:p>
    <w:p w:rsidR="00422B5F" w:rsidRDefault="00422B5F" w:rsidP="001560CB">
      <w:pPr>
        <w:jc w:val="both"/>
        <w:rPr>
          <w:sz w:val="22"/>
          <w:szCs w:val="22"/>
        </w:rPr>
      </w:pPr>
    </w:p>
    <w:p w:rsidR="004A4ECA" w:rsidRPr="004A4ECA" w:rsidRDefault="004A4ECA" w:rsidP="001560CB">
      <w:pPr>
        <w:jc w:val="both"/>
        <w:rPr>
          <w:b/>
          <w:sz w:val="22"/>
          <w:szCs w:val="22"/>
        </w:rPr>
      </w:pPr>
      <w:r>
        <w:rPr>
          <w:b/>
          <w:sz w:val="22"/>
          <w:szCs w:val="22"/>
        </w:rPr>
        <w:t>Included Documentation</w:t>
      </w:r>
    </w:p>
    <w:p w:rsidR="004A4ECA" w:rsidRDefault="004A4ECA" w:rsidP="001560CB">
      <w:pPr>
        <w:jc w:val="both"/>
        <w:rPr>
          <w:sz w:val="22"/>
          <w:szCs w:val="22"/>
        </w:rPr>
      </w:pPr>
    </w:p>
    <w:p w:rsidR="004A4ECA" w:rsidRDefault="004A4ECA" w:rsidP="001560CB">
      <w:pPr>
        <w:jc w:val="both"/>
        <w:rPr>
          <w:sz w:val="22"/>
          <w:szCs w:val="22"/>
        </w:rPr>
      </w:pPr>
      <w:r>
        <w:rPr>
          <w:sz w:val="22"/>
          <w:szCs w:val="22"/>
        </w:rPr>
        <w:t>Attached with this filing are the proposed Tariff pages marked WN-U2, which are to completely replace the existing tariff.  Also attached are the work papers as required in WAC 480-07-530(4) with a cover sheet that describes where necessary the calculations used in</w:t>
      </w:r>
      <w:r w:rsidR="007217CD">
        <w:rPr>
          <w:sz w:val="22"/>
          <w:szCs w:val="22"/>
        </w:rPr>
        <w:t xml:space="preserve"> the work papers.  Also attached</w:t>
      </w:r>
      <w:r>
        <w:rPr>
          <w:sz w:val="22"/>
          <w:szCs w:val="22"/>
        </w:rPr>
        <w:t xml:space="preserve"> is the “General Rate Case Workbook (small).xlsx” provided by WUTC to construct the work papers.  </w:t>
      </w:r>
      <w:r w:rsidR="00643CCC">
        <w:rPr>
          <w:sz w:val="22"/>
          <w:szCs w:val="22"/>
        </w:rPr>
        <w:t>The attachment</w:t>
      </w:r>
      <w:r w:rsidR="00E81DDB">
        <w:rPr>
          <w:sz w:val="22"/>
          <w:szCs w:val="22"/>
        </w:rPr>
        <w:t xml:space="preserve">s “Invoices – Capital Projects.pdf” and “Invoices – Operations” are </w:t>
      </w:r>
      <w:r w:rsidR="007217CD">
        <w:rPr>
          <w:sz w:val="22"/>
          <w:szCs w:val="22"/>
        </w:rPr>
        <w:t xml:space="preserve">included showing the source information used to </w:t>
      </w:r>
      <w:r w:rsidR="00643CCC">
        <w:rPr>
          <w:sz w:val="22"/>
          <w:szCs w:val="22"/>
        </w:rPr>
        <w:t xml:space="preserve">complete </w:t>
      </w:r>
      <w:r w:rsidR="007217CD">
        <w:rPr>
          <w:sz w:val="22"/>
          <w:szCs w:val="22"/>
        </w:rPr>
        <w:t>the workbook.  The file “Tariff Impact.pdf” shows the user by user, billing by billing impact that the proposed rate structure would have once implemented, based on last service meter data from the past year.</w:t>
      </w:r>
    </w:p>
    <w:p w:rsidR="004A4ECA" w:rsidRPr="00A074B9" w:rsidRDefault="004A4ECA" w:rsidP="001560CB">
      <w:pPr>
        <w:jc w:val="both"/>
        <w:rPr>
          <w:sz w:val="22"/>
          <w:szCs w:val="22"/>
        </w:rPr>
      </w:pPr>
    </w:p>
    <w:p w:rsidR="00104052" w:rsidRDefault="00104052" w:rsidP="001560CB">
      <w:pPr>
        <w:jc w:val="both"/>
        <w:rPr>
          <w:sz w:val="22"/>
          <w:szCs w:val="22"/>
        </w:rPr>
      </w:pPr>
      <w:r w:rsidRPr="00A074B9">
        <w:rPr>
          <w:sz w:val="22"/>
          <w:szCs w:val="22"/>
        </w:rPr>
        <w:t xml:space="preserve">Any additional request for information should be directed to me, Jester Purtteman, at the number above, or at </w:t>
      </w:r>
      <w:hyperlink r:id="rId8" w:history="1">
        <w:r w:rsidRPr="00A074B9">
          <w:rPr>
            <w:rStyle w:val="Hyperlink"/>
            <w:sz w:val="22"/>
            <w:szCs w:val="22"/>
          </w:rPr>
          <w:t>jester@nwwatersystems.com</w:t>
        </w:r>
      </w:hyperlink>
      <w:r w:rsidR="007217CD">
        <w:rPr>
          <w:sz w:val="22"/>
          <w:szCs w:val="22"/>
        </w:rPr>
        <w:t>,</w:t>
      </w:r>
      <w:r w:rsidRPr="00A074B9">
        <w:rPr>
          <w:sz w:val="22"/>
          <w:szCs w:val="22"/>
        </w:rPr>
        <w:t xml:space="preserve"> </w:t>
      </w:r>
      <w:r w:rsidR="007217CD">
        <w:rPr>
          <w:sz w:val="22"/>
          <w:szCs w:val="22"/>
        </w:rPr>
        <w:t>thank you.</w:t>
      </w:r>
    </w:p>
    <w:p w:rsidR="007217CD" w:rsidRPr="00A074B9" w:rsidRDefault="007217CD" w:rsidP="001560CB">
      <w:pPr>
        <w:jc w:val="both"/>
        <w:rPr>
          <w:sz w:val="22"/>
          <w:szCs w:val="22"/>
        </w:rPr>
      </w:pPr>
    </w:p>
    <w:p w:rsidR="00104052" w:rsidRPr="00A074B9" w:rsidRDefault="00104052" w:rsidP="001560CB">
      <w:pPr>
        <w:jc w:val="both"/>
        <w:rPr>
          <w:sz w:val="22"/>
          <w:szCs w:val="22"/>
        </w:rPr>
      </w:pPr>
    </w:p>
    <w:p w:rsidR="00C833F7" w:rsidRPr="00A074B9" w:rsidRDefault="00C833F7">
      <w:pPr>
        <w:rPr>
          <w:sz w:val="22"/>
          <w:szCs w:val="22"/>
        </w:rPr>
      </w:pPr>
      <w:r w:rsidRPr="00A074B9">
        <w:rPr>
          <w:sz w:val="22"/>
          <w:szCs w:val="22"/>
        </w:rPr>
        <w:t>Sincerely</w:t>
      </w:r>
    </w:p>
    <w:p w:rsidR="00C833F7" w:rsidRDefault="00C833F7">
      <w:pPr>
        <w:rPr>
          <w:sz w:val="22"/>
          <w:szCs w:val="22"/>
        </w:rPr>
      </w:pPr>
    </w:p>
    <w:p w:rsidR="007217CD" w:rsidRPr="00A074B9" w:rsidRDefault="007217CD">
      <w:pPr>
        <w:rPr>
          <w:sz w:val="22"/>
          <w:szCs w:val="22"/>
        </w:rPr>
      </w:pPr>
    </w:p>
    <w:p w:rsidR="00C833F7" w:rsidRPr="00A074B9" w:rsidRDefault="00C833F7">
      <w:pPr>
        <w:rPr>
          <w:sz w:val="22"/>
          <w:szCs w:val="22"/>
        </w:rPr>
      </w:pPr>
    </w:p>
    <w:p w:rsidR="00C833F7" w:rsidRPr="00A074B9" w:rsidRDefault="00C833F7">
      <w:pPr>
        <w:rPr>
          <w:sz w:val="22"/>
          <w:szCs w:val="22"/>
        </w:rPr>
      </w:pPr>
      <w:r w:rsidRPr="00A074B9">
        <w:rPr>
          <w:sz w:val="22"/>
          <w:szCs w:val="22"/>
        </w:rPr>
        <w:t>Jester Purtteman, E.I.T.</w:t>
      </w:r>
    </w:p>
    <w:p w:rsidR="00C833F7" w:rsidRPr="00A074B9" w:rsidRDefault="00C833F7" w:rsidP="00C833F7">
      <w:pPr>
        <w:rPr>
          <w:sz w:val="22"/>
          <w:szCs w:val="22"/>
        </w:rPr>
      </w:pPr>
      <w:r w:rsidRPr="00A074B9">
        <w:rPr>
          <w:sz w:val="22"/>
          <w:szCs w:val="22"/>
        </w:rPr>
        <w:t>Northwest Water Systems</w:t>
      </w:r>
    </w:p>
    <w:p w:rsidR="00C833F7" w:rsidRDefault="00C833F7">
      <w:pPr>
        <w:rPr>
          <w:sz w:val="22"/>
          <w:szCs w:val="22"/>
        </w:rPr>
      </w:pPr>
    </w:p>
    <w:p w:rsidR="00A074B9" w:rsidRDefault="00A074B9">
      <w:pPr>
        <w:rPr>
          <w:sz w:val="22"/>
          <w:szCs w:val="22"/>
        </w:rPr>
      </w:pPr>
    </w:p>
    <w:p w:rsidR="00A074B9" w:rsidRDefault="00A074B9">
      <w:pPr>
        <w:rPr>
          <w:sz w:val="22"/>
          <w:szCs w:val="22"/>
        </w:rPr>
      </w:pPr>
    </w:p>
    <w:p w:rsidR="00A074B9" w:rsidRDefault="00A074B9">
      <w:pPr>
        <w:rPr>
          <w:sz w:val="22"/>
          <w:szCs w:val="22"/>
        </w:rPr>
      </w:pPr>
    </w:p>
    <w:p w:rsidR="00A074B9" w:rsidRDefault="00A074B9">
      <w:pPr>
        <w:rPr>
          <w:sz w:val="22"/>
          <w:szCs w:val="22"/>
        </w:rPr>
      </w:pPr>
    </w:p>
    <w:p w:rsidR="00A074B9" w:rsidRPr="00A074B9" w:rsidRDefault="00A074B9">
      <w:pPr>
        <w:rPr>
          <w:sz w:val="22"/>
          <w:szCs w:val="22"/>
        </w:rPr>
      </w:pPr>
    </w:p>
    <w:p w:rsidR="00C833F7" w:rsidRPr="00A074B9" w:rsidRDefault="00C833F7">
      <w:pPr>
        <w:rPr>
          <w:sz w:val="22"/>
          <w:szCs w:val="22"/>
        </w:rPr>
      </w:pPr>
      <w:r w:rsidRPr="00A074B9">
        <w:rPr>
          <w:sz w:val="22"/>
          <w:szCs w:val="22"/>
        </w:rPr>
        <w:t xml:space="preserve"> </w:t>
      </w:r>
      <w:r w:rsidR="004D7B6D" w:rsidRPr="00A074B9">
        <w:rPr>
          <w:sz w:val="22"/>
          <w:szCs w:val="22"/>
        </w:rPr>
        <w:t>Attached</w:t>
      </w:r>
      <w:r w:rsidR="001560CB" w:rsidRPr="00A074B9">
        <w:rPr>
          <w:sz w:val="22"/>
          <w:szCs w:val="22"/>
        </w:rPr>
        <w:t>:</w:t>
      </w:r>
    </w:p>
    <w:p w:rsidR="001560CB" w:rsidRPr="00A074B9" w:rsidRDefault="001560CB">
      <w:pPr>
        <w:rPr>
          <w:sz w:val="22"/>
          <w:szCs w:val="22"/>
        </w:rPr>
      </w:pPr>
      <w:r w:rsidRPr="00A074B9">
        <w:rPr>
          <w:sz w:val="22"/>
          <w:szCs w:val="22"/>
        </w:rPr>
        <w:tab/>
      </w:r>
      <w:r w:rsidR="004D7B6D" w:rsidRPr="00A074B9">
        <w:rPr>
          <w:sz w:val="22"/>
          <w:szCs w:val="22"/>
        </w:rPr>
        <w:t>Proposed Tariff</w:t>
      </w:r>
    </w:p>
    <w:p w:rsidR="00F65CDE" w:rsidRPr="00A074B9" w:rsidRDefault="00F65CDE">
      <w:pPr>
        <w:rPr>
          <w:sz w:val="22"/>
          <w:szCs w:val="22"/>
        </w:rPr>
      </w:pPr>
      <w:r w:rsidRPr="00A074B9">
        <w:rPr>
          <w:sz w:val="22"/>
          <w:szCs w:val="22"/>
        </w:rPr>
        <w:tab/>
        <w:t>Customer Notice</w:t>
      </w:r>
    </w:p>
    <w:p w:rsidR="001560CB" w:rsidRPr="00A074B9" w:rsidRDefault="001560CB">
      <w:pPr>
        <w:rPr>
          <w:sz w:val="22"/>
          <w:szCs w:val="22"/>
        </w:rPr>
      </w:pPr>
      <w:r w:rsidRPr="00A074B9">
        <w:rPr>
          <w:sz w:val="22"/>
          <w:szCs w:val="22"/>
        </w:rPr>
        <w:tab/>
      </w:r>
      <w:r w:rsidR="004D7B6D" w:rsidRPr="00A074B9">
        <w:rPr>
          <w:sz w:val="22"/>
          <w:szCs w:val="22"/>
        </w:rPr>
        <w:t>Work Papers</w:t>
      </w:r>
    </w:p>
    <w:p w:rsidR="004D7B6D" w:rsidRPr="00A074B9" w:rsidRDefault="004D7B6D">
      <w:pPr>
        <w:rPr>
          <w:sz w:val="22"/>
          <w:szCs w:val="22"/>
        </w:rPr>
      </w:pPr>
      <w:r w:rsidRPr="00A074B9">
        <w:rPr>
          <w:sz w:val="22"/>
          <w:szCs w:val="22"/>
        </w:rPr>
        <w:tab/>
      </w:r>
      <w:r w:rsidRPr="00A074B9">
        <w:rPr>
          <w:sz w:val="22"/>
          <w:szCs w:val="22"/>
        </w:rPr>
        <w:tab/>
        <w:t>Revenue Impact Calculation</w:t>
      </w:r>
    </w:p>
    <w:p w:rsidR="004D7B6D" w:rsidRPr="00A074B9" w:rsidRDefault="004D7B6D">
      <w:pPr>
        <w:rPr>
          <w:sz w:val="22"/>
          <w:szCs w:val="22"/>
        </w:rPr>
      </w:pPr>
      <w:r w:rsidRPr="00A074B9">
        <w:rPr>
          <w:sz w:val="22"/>
          <w:szCs w:val="22"/>
        </w:rPr>
        <w:tab/>
      </w:r>
      <w:r w:rsidRPr="00A074B9">
        <w:rPr>
          <w:sz w:val="22"/>
          <w:szCs w:val="22"/>
        </w:rPr>
        <w:tab/>
        <w:t>Balance Sheet</w:t>
      </w:r>
    </w:p>
    <w:p w:rsidR="004D7B6D" w:rsidRPr="00A074B9" w:rsidRDefault="004D7B6D">
      <w:pPr>
        <w:rPr>
          <w:sz w:val="22"/>
          <w:szCs w:val="22"/>
        </w:rPr>
      </w:pPr>
      <w:r w:rsidRPr="00A074B9">
        <w:rPr>
          <w:sz w:val="22"/>
          <w:szCs w:val="22"/>
        </w:rPr>
        <w:tab/>
      </w:r>
      <w:r w:rsidRPr="00A074B9">
        <w:rPr>
          <w:sz w:val="22"/>
          <w:szCs w:val="22"/>
        </w:rPr>
        <w:tab/>
        <w:t>Revenues and Expenses</w:t>
      </w:r>
    </w:p>
    <w:p w:rsidR="004D7B6D" w:rsidRDefault="004D7B6D">
      <w:pPr>
        <w:rPr>
          <w:sz w:val="22"/>
          <w:szCs w:val="22"/>
        </w:rPr>
      </w:pPr>
      <w:r w:rsidRPr="00A074B9">
        <w:rPr>
          <w:sz w:val="22"/>
          <w:szCs w:val="22"/>
        </w:rPr>
        <w:tab/>
      </w:r>
      <w:r w:rsidRPr="00A074B9">
        <w:rPr>
          <w:sz w:val="22"/>
          <w:szCs w:val="22"/>
        </w:rPr>
        <w:tab/>
        <w:t>Depreciation Schedule</w:t>
      </w:r>
    </w:p>
    <w:p w:rsidR="00EC1A5D" w:rsidRPr="00A074B9" w:rsidRDefault="00EC1A5D">
      <w:pPr>
        <w:rPr>
          <w:sz w:val="22"/>
          <w:szCs w:val="22"/>
        </w:rPr>
      </w:pPr>
      <w:r>
        <w:rPr>
          <w:sz w:val="22"/>
          <w:szCs w:val="22"/>
        </w:rPr>
        <w:tab/>
      </w:r>
      <w:r>
        <w:rPr>
          <w:sz w:val="22"/>
          <w:szCs w:val="22"/>
        </w:rPr>
        <w:tab/>
        <w:t>Income Statement</w:t>
      </w:r>
    </w:p>
    <w:p w:rsidR="004D7B6D" w:rsidRPr="00A074B9" w:rsidRDefault="004D7B6D">
      <w:pPr>
        <w:rPr>
          <w:sz w:val="22"/>
          <w:szCs w:val="22"/>
        </w:rPr>
      </w:pPr>
      <w:r w:rsidRPr="00A074B9">
        <w:rPr>
          <w:sz w:val="22"/>
          <w:szCs w:val="22"/>
        </w:rPr>
        <w:tab/>
      </w:r>
      <w:r w:rsidRPr="00A074B9">
        <w:rPr>
          <w:sz w:val="22"/>
          <w:szCs w:val="22"/>
        </w:rPr>
        <w:tab/>
        <w:t>Usage Data and Analysis</w:t>
      </w:r>
    </w:p>
    <w:p w:rsidR="005E72E2" w:rsidRPr="00A074B9" w:rsidRDefault="00F65CDE">
      <w:pPr>
        <w:rPr>
          <w:sz w:val="22"/>
          <w:szCs w:val="22"/>
        </w:rPr>
      </w:pPr>
      <w:r w:rsidRPr="00A074B9">
        <w:rPr>
          <w:sz w:val="22"/>
          <w:szCs w:val="22"/>
        </w:rPr>
        <w:tab/>
      </w:r>
      <w:r w:rsidR="00950B94">
        <w:rPr>
          <w:sz w:val="22"/>
          <w:szCs w:val="22"/>
        </w:rPr>
        <w:t>Tariff Impact breakdown</w:t>
      </w:r>
    </w:p>
    <w:sectPr w:rsidR="005E72E2" w:rsidRPr="00A074B9" w:rsidSect="00A710DF">
      <w:headerReference w:type="default" r:id="rId9"/>
      <w:pgSz w:w="12240" w:h="15840" w:code="1"/>
      <w:pgMar w:top="1440" w:right="1800" w:bottom="1440" w:left="1800" w:header="720" w:footer="720" w:gutter="0"/>
      <w:cols w:space="720" w:equalWidth="0">
        <w:col w:w="936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49" w:rsidRDefault="008E7B49">
      <w:r>
        <w:separator/>
      </w:r>
    </w:p>
  </w:endnote>
  <w:endnote w:type="continuationSeparator" w:id="0">
    <w:p w:rsidR="008E7B49" w:rsidRDefault="008E7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ansSerif">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49" w:rsidRDefault="008E7B49">
      <w:r>
        <w:separator/>
      </w:r>
    </w:p>
  </w:footnote>
  <w:footnote w:type="continuationSeparator" w:id="0">
    <w:p w:rsidR="008E7B49" w:rsidRDefault="008E7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0A" w:rsidRDefault="00004F0A" w:rsidP="00104052">
    <w:pPr>
      <w:pStyle w:val="Header"/>
      <w:rPr>
        <w:sz w:val="20"/>
        <w:szCs w:val="20"/>
      </w:rPr>
    </w:pPr>
    <w:r>
      <w:rPr>
        <w:sz w:val="20"/>
        <w:szCs w:val="20"/>
      </w:rPr>
      <w:t>Country Meadows East #2</w:t>
    </w:r>
    <w:r>
      <w:rPr>
        <w:sz w:val="20"/>
        <w:szCs w:val="20"/>
      </w:rPr>
      <w:tab/>
    </w:r>
    <w:r>
      <w:rPr>
        <w:sz w:val="20"/>
        <w:szCs w:val="20"/>
      </w:rPr>
      <w:tab/>
    </w:r>
    <w:r>
      <w:rPr>
        <w:sz w:val="20"/>
        <w:szCs w:val="20"/>
      </w:rPr>
      <w:fldChar w:fldCharType="begin"/>
    </w:r>
    <w:r>
      <w:rPr>
        <w:sz w:val="20"/>
        <w:szCs w:val="20"/>
      </w:rPr>
      <w:instrText xml:space="preserve"> DATE \@ "M/d/yyyy" </w:instrText>
    </w:r>
    <w:r>
      <w:rPr>
        <w:sz w:val="20"/>
        <w:szCs w:val="20"/>
      </w:rPr>
      <w:fldChar w:fldCharType="separate"/>
    </w:r>
    <w:r w:rsidR="008D2969">
      <w:rPr>
        <w:noProof/>
        <w:sz w:val="20"/>
        <w:szCs w:val="20"/>
      </w:rPr>
      <w:t>12/21/2010</w:t>
    </w:r>
    <w:r>
      <w:rPr>
        <w:sz w:val="20"/>
        <w:szCs w:val="20"/>
      </w:rPr>
      <w:fldChar w:fldCharType="end"/>
    </w:r>
  </w:p>
  <w:p w:rsidR="00004F0A" w:rsidRDefault="00004F0A" w:rsidP="00104052">
    <w:pPr>
      <w:pStyle w:val="Header"/>
      <w:rPr>
        <w:rStyle w:val="PageNumber"/>
      </w:rPr>
    </w:pPr>
    <w:r>
      <w:rPr>
        <w:sz w:val="20"/>
        <w:szCs w:val="20"/>
      </w:rPr>
      <w:t>Tariff Filing Transmittal Letter</w:t>
    </w:r>
    <w:r>
      <w:rPr>
        <w:sz w:val="20"/>
        <w:szCs w:val="20"/>
      </w:rPr>
      <w:tab/>
    </w:r>
    <w:r>
      <w:rPr>
        <w:sz w:val="20"/>
        <w:szCs w:val="20"/>
      </w:rPr>
      <w:tab/>
      <w:t xml:space="preserve">Page </w:t>
    </w:r>
    <w:r>
      <w:rPr>
        <w:rStyle w:val="PageNumber"/>
      </w:rPr>
      <w:fldChar w:fldCharType="begin"/>
    </w:r>
    <w:r>
      <w:rPr>
        <w:rStyle w:val="PageNumber"/>
      </w:rPr>
      <w:instrText xml:space="preserve"> PAGE </w:instrText>
    </w:r>
    <w:r>
      <w:rPr>
        <w:rStyle w:val="PageNumber"/>
      </w:rPr>
      <w:fldChar w:fldCharType="separate"/>
    </w:r>
    <w:r w:rsidR="008D2969">
      <w:rPr>
        <w:rStyle w:val="PageNumber"/>
        <w:noProof/>
      </w:rPr>
      <w:t>2</w:t>
    </w:r>
    <w:r>
      <w:rPr>
        <w:rStyle w:val="PageNumber"/>
      </w:rPr>
      <w:fldChar w:fldCharType="end"/>
    </w:r>
  </w:p>
  <w:p w:rsidR="00004F0A" w:rsidRPr="00D83D1A" w:rsidRDefault="00004F0A" w:rsidP="00D83D1A">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03AF4"/>
    <w:multiLevelType w:val="hybridMultilevel"/>
    <w:tmpl w:val="B5A03972"/>
    <w:lvl w:ilvl="0" w:tplc="BEA8A4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974231"/>
    <w:rsid w:val="00004F0A"/>
    <w:rsid w:val="00015BE7"/>
    <w:rsid w:val="00021A52"/>
    <w:rsid w:val="000313E4"/>
    <w:rsid w:val="0003577E"/>
    <w:rsid w:val="00042625"/>
    <w:rsid w:val="000518A1"/>
    <w:rsid w:val="000579D8"/>
    <w:rsid w:val="000663B8"/>
    <w:rsid w:val="00086137"/>
    <w:rsid w:val="00087392"/>
    <w:rsid w:val="0009424D"/>
    <w:rsid w:val="000B0EA2"/>
    <w:rsid w:val="00104052"/>
    <w:rsid w:val="00112E83"/>
    <w:rsid w:val="001560CB"/>
    <w:rsid w:val="00157517"/>
    <w:rsid w:val="0017209C"/>
    <w:rsid w:val="001A2F73"/>
    <w:rsid w:val="00214679"/>
    <w:rsid w:val="00271627"/>
    <w:rsid w:val="00295002"/>
    <w:rsid w:val="00295F26"/>
    <w:rsid w:val="00297FBF"/>
    <w:rsid w:val="002D7057"/>
    <w:rsid w:val="0034464C"/>
    <w:rsid w:val="003613B2"/>
    <w:rsid w:val="00366B5C"/>
    <w:rsid w:val="00391D1A"/>
    <w:rsid w:val="003E14B6"/>
    <w:rsid w:val="003E7E0A"/>
    <w:rsid w:val="003F289E"/>
    <w:rsid w:val="004016AD"/>
    <w:rsid w:val="004066BA"/>
    <w:rsid w:val="00422B5F"/>
    <w:rsid w:val="0042728E"/>
    <w:rsid w:val="00430D0D"/>
    <w:rsid w:val="00432E58"/>
    <w:rsid w:val="00436C06"/>
    <w:rsid w:val="00440781"/>
    <w:rsid w:val="00456190"/>
    <w:rsid w:val="00471109"/>
    <w:rsid w:val="004A4ECA"/>
    <w:rsid w:val="004D7B6D"/>
    <w:rsid w:val="004E5E56"/>
    <w:rsid w:val="004E6F5B"/>
    <w:rsid w:val="00571AAF"/>
    <w:rsid w:val="00596274"/>
    <w:rsid w:val="005B04AC"/>
    <w:rsid w:val="005C606A"/>
    <w:rsid w:val="005E72E2"/>
    <w:rsid w:val="00643CCC"/>
    <w:rsid w:val="0064471F"/>
    <w:rsid w:val="00656FDD"/>
    <w:rsid w:val="006E1AE4"/>
    <w:rsid w:val="00703620"/>
    <w:rsid w:val="00703E2C"/>
    <w:rsid w:val="007217CD"/>
    <w:rsid w:val="00727093"/>
    <w:rsid w:val="00733FA8"/>
    <w:rsid w:val="00770A94"/>
    <w:rsid w:val="00821602"/>
    <w:rsid w:val="00821B49"/>
    <w:rsid w:val="00833830"/>
    <w:rsid w:val="008417CA"/>
    <w:rsid w:val="00843A55"/>
    <w:rsid w:val="00845C14"/>
    <w:rsid w:val="008A45F4"/>
    <w:rsid w:val="008D2969"/>
    <w:rsid w:val="008E4270"/>
    <w:rsid w:val="008E7B49"/>
    <w:rsid w:val="0094318B"/>
    <w:rsid w:val="00950B94"/>
    <w:rsid w:val="00974231"/>
    <w:rsid w:val="009C4F16"/>
    <w:rsid w:val="009E3627"/>
    <w:rsid w:val="009F3FCC"/>
    <w:rsid w:val="00A074B9"/>
    <w:rsid w:val="00A33D94"/>
    <w:rsid w:val="00A42604"/>
    <w:rsid w:val="00A47BC6"/>
    <w:rsid w:val="00A710DF"/>
    <w:rsid w:val="00A829BC"/>
    <w:rsid w:val="00AA7410"/>
    <w:rsid w:val="00AB095A"/>
    <w:rsid w:val="00AE4D72"/>
    <w:rsid w:val="00AF0179"/>
    <w:rsid w:val="00B3094B"/>
    <w:rsid w:val="00B465F5"/>
    <w:rsid w:val="00BB29A1"/>
    <w:rsid w:val="00BC486F"/>
    <w:rsid w:val="00BC63C6"/>
    <w:rsid w:val="00BC7B74"/>
    <w:rsid w:val="00BC7FC3"/>
    <w:rsid w:val="00BD65A0"/>
    <w:rsid w:val="00BE0029"/>
    <w:rsid w:val="00BE69C2"/>
    <w:rsid w:val="00C571E2"/>
    <w:rsid w:val="00C833F7"/>
    <w:rsid w:val="00C962C7"/>
    <w:rsid w:val="00CB480A"/>
    <w:rsid w:val="00CD345B"/>
    <w:rsid w:val="00CE7B60"/>
    <w:rsid w:val="00CF75CC"/>
    <w:rsid w:val="00D02E42"/>
    <w:rsid w:val="00D50789"/>
    <w:rsid w:val="00D549D1"/>
    <w:rsid w:val="00D83D1A"/>
    <w:rsid w:val="00DB2FD4"/>
    <w:rsid w:val="00DC3EEA"/>
    <w:rsid w:val="00DC6B9C"/>
    <w:rsid w:val="00DF7A67"/>
    <w:rsid w:val="00E017D8"/>
    <w:rsid w:val="00E5083C"/>
    <w:rsid w:val="00E81DDB"/>
    <w:rsid w:val="00EC1A5D"/>
    <w:rsid w:val="00ED4D63"/>
    <w:rsid w:val="00F13D20"/>
    <w:rsid w:val="00F65CDE"/>
    <w:rsid w:val="00F8493E"/>
    <w:rsid w:val="00F879EC"/>
    <w:rsid w:val="00FB5E12"/>
    <w:rsid w:val="00FB7FDB"/>
    <w:rsid w:val="00FE05B7"/>
    <w:rsid w:val="00FF5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83D1A"/>
    <w:pPr>
      <w:tabs>
        <w:tab w:val="center" w:pos="4320"/>
        <w:tab w:val="right" w:pos="8640"/>
      </w:tabs>
    </w:pPr>
  </w:style>
  <w:style w:type="paragraph" w:styleId="Footer">
    <w:name w:val="footer"/>
    <w:basedOn w:val="Normal"/>
    <w:rsid w:val="00D83D1A"/>
    <w:pPr>
      <w:tabs>
        <w:tab w:val="center" w:pos="4320"/>
        <w:tab w:val="right" w:pos="8640"/>
      </w:tabs>
    </w:pPr>
  </w:style>
  <w:style w:type="character" w:styleId="PageNumber">
    <w:name w:val="page number"/>
    <w:basedOn w:val="DefaultParagraphFont"/>
    <w:rsid w:val="00D83D1A"/>
  </w:style>
  <w:style w:type="paragraph" w:styleId="BalloonText">
    <w:name w:val="Balloon Text"/>
    <w:basedOn w:val="Normal"/>
    <w:semiHidden/>
    <w:rsid w:val="00BC7B74"/>
    <w:rPr>
      <w:rFonts w:ascii="Tahoma" w:hAnsi="Tahoma" w:cs="Tahoma"/>
      <w:sz w:val="16"/>
      <w:szCs w:val="16"/>
    </w:rPr>
  </w:style>
  <w:style w:type="table" w:styleId="TableGrid">
    <w:name w:val="Table Grid"/>
    <w:basedOn w:val="TableNormal"/>
    <w:rsid w:val="00A71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833F7"/>
    <w:rPr>
      <w:color w:val="0000FF"/>
      <w:u w:val="single"/>
    </w:rPr>
  </w:style>
</w:styles>
</file>

<file path=word/webSettings.xml><?xml version="1.0" encoding="utf-8"?>
<w:webSettings xmlns:r="http://schemas.openxmlformats.org/officeDocument/2006/relationships" xmlns:w="http://schemas.openxmlformats.org/wordprocessingml/2006/main">
  <w:divs>
    <w:div w:id="17198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ter@nwwatersystem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2010-12-20T08:00:00+00:00</OpenedDate>
    <Date1 xmlns="dc463f71-b30c-4ab2-9473-d307f9d35888">2010-12-20T08:00:00+00:00</Date1>
    <IsDocumentOrder xmlns="dc463f71-b30c-4ab2-9473-d307f9d35888" xsi:nil="true"/>
    <IsHighlyConfidential xmlns="dc463f71-b30c-4ab2-9473-d307f9d35888">false</IsHighlyConfidential>
    <CaseCompanyNames xmlns="dc463f71-b30c-4ab2-9473-d307f9d35888">Country Meadows E. Water System #2</CaseCompanyNames>
    <DocketNumber xmlns="dc463f71-b30c-4ab2-9473-d307f9d35888">102034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7E8FC1BA6B3B42BC91B762FC7051D7" ma:contentTypeVersion="131" ma:contentTypeDescription="" ma:contentTypeScope="" ma:versionID="26838c36d1e52895974c8b8bc1976f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8C0F5-C873-46D9-BCDC-6ED2C59516C0}"/>
</file>

<file path=customXml/itemProps2.xml><?xml version="1.0" encoding="utf-8"?>
<ds:datastoreItem xmlns:ds="http://schemas.openxmlformats.org/officeDocument/2006/customXml" ds:itemID="{A9867743-04BC-4838-B7F8-CD5FDF9472CC}"/>
</file>

<file path=customXml/itemProps3.xml><?xml version="1.0" encoding="utf-8"?>
<ds:datastoreItem xmlns:ds="http://schemas.openxmlformats.org/officeDocument/2006/customXml" ds:itemID="{BCC0E238-C12B-4D10-BB07-688FF805F53C}"/>
</file>

<file path=customXml/itemProps4.xml><?xml version="1.0" encoding="utf-8"?>
<ds:datastoreItem xmlns:ds="http://schemas.openxmlformats.org/officeDocument/2006/customXml" ds:itemID="{65FAE039-26FE-4A34-B3E8-646D805116F4}"/>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vt:lpstr>
    </vt:vector>
  </TitlesOfParts>
  <Company>Northwest Water</Company>
  <LinksUpToDate>false</LinksUpToDate>
  <CharactersWithSpaces>6217</CharactersWithSpaces>
  <SharedDoc>false</SharedDoc>
  <HLinks>
    <vt:vector size="6" baseType="variant">
      <vt:variant>
        <vt:i4>3473431</vt:i4>
      </vt:variant>
      <vt:variant>
        <vt:i4>0</vt:i4>
      </vt:variant>
      <vt:variant>
        <vt:i4>0</vt:i4>
      </vt:variant>
      <vt:variant>
        <vt:i4>5</vt:i4>
      </vt:variant>
      <vt:variant>
        <vt:lpwstr>mailto:jester@nwwatersystems.com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Reg Hearn</dc:creator>
  <cp:keywords/>
  <dc:description/>
  <cp:lastModifiedBy>Catherine Taliaferro</cp:lastModifiedBy>
  <cp:revision>2</cp:revision>
  <cp:lastPrinted>2010-12-20T22:06:00Z</cp:lastPrinted>
  <dcterms:created xsi:type="dcterms:W3CDTF">2010-12-21T22:05:00Z</dcterms:created>
  <dcterms:modified xsi:type="dcterms:W3CDTF">2010-12-21T22:05:00Z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0x0101006E56B4D1795A2E4DB2F0B01679ED314A00F67E8FC1BA6B3B42BC91B762FC7051D7</vt:lpwstr>
  </property>
  <property fmtid="{D5CDD505-2E9C-101B-9397-08002B2CF9AE}" pid="3" name="_docset_NoMedatataSyncRequired">
    <vt:lpwstr>False</vt:lpwstr>
  </property>
</Properties>
</file>