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C" w:rsidRDefault="00CA4C94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-883285</wp:posOffset>
            </wp:positionV>
            <wp:extent cx="2075180" cy="1016000"/>
            <wp:effectExtent l="19050" t="0" r="1270" b="0"/>
            <wp:wrapNone/>
            <wp:docPr id="3" name="Picture 3" descr="Q-noTag_08solid_spot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-noTag_08solid_spot2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Pr="004525FB" w:rsidRDefault="00BB1CFF">
      <w:pPr>
        <w:tabs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 24</w:t>
      </w:r>
      <w:r w:rsidR="00EC379C" w:rsidRPr="003F53C0">
        <w:rPr>
          <w:rFonts w:ascii="Times New Roman" w:hAnsi="Times New Roman"/>
          <w:szCs w:val="24"/>
        </w:rPr>
        <w:t>, 20</w:t>
      </w:r>
      <w:r w:rsidR="00E01B66" w:rsidRPr="003F53C0">
        <w:rPr>
          <w:rFonts w:ascii="Times New Roman" w:hAnsi="Times New Roman"/>
          <w:szCs w:val="24"/>
        </w:rPr>
        <w:t>10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ind w:left="8280" w:hanging="8280"/>
        <w:rPr>
          <w:rFonts w:ascii="Times New Roman" w:hAnsi="Times New Roman"/>
          <w:szCs w:val="24"/>
        </w:rPr>
      </w:pPr>
      <w:r w:rsidRPr="001F5B79">
        <w:rPr>
          <w:rFonts w:ascii="Times New Roman" w:hAnsi="Times New Roman"/>
          <w:szCs w:val="24"/>
        </w:rPr>
        <w:t>Advice No.</w:t>
      </w:r>
      <w:r w:rsidR="004C5267">
        <w:rPr>
          <w:rFonts w:ascii="Times New Roman" w:hAnsi="Times New Roman"/>
          <w:szCs w:val="24"/>
        </w:rPr>
        <w:t xml:space="preserve"> </w:t>
      </w:r>
      <w:r w:rsidR="00393656">
        <w:rPr>
          <w:rFonts w:ascii="Times New Roman" w:hAnsi="Times New Roman"/>
          <w:szCs w:val="24"/>
        </w:rPr>
        <w:t>3669T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David Danner</w:t>
      </w: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Executive Director and Secretary</w:t>
      </w:r>
    </w:p>
    <w:p w:rsidR="004636CB" w:rsidRPr="004636CB" w:rsidRDefault="004636CB" w:rsidP="004636CB">
      <w:pPr>
        <w:spacing w:line="240" w:lineRule="atLeast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4636CB">
            <w:rPr>
              <w:rFonts w:ascii="Times New Roman" w:hAnsi="Times New Roman"/>
              <w:szCs w:val="24"/>
            </w:rPr>
            <w:t>1300 S. Evergreen Park Dr. S.W.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4636CB">
            <w:rPr>
              <w:rFonts w:ascii="Times New Roman" w:hAnsi="Times New Roman"/>
              <w:szCs w:val="24"/>
            </w:rPr>
            <w:t>P.O. Box</w:t>
          </w:r>
        </w:smartTag>
        <w:r w:rsidRPr="004636CB">
          <w:rPr>
            <w:rFonts w:ascii="Times New Roman" w:hAnsi="Times New Roman"/>
            <w:szCs w:val="24"/>
          </w:rPr>
          <w:t xml:space="preserve"> 47250</w:t>
        </w:r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4636CB">
            <w:rPr>
              <w:rFonts w:ascii="Times New Roman" w:hAnsi="Times New Roman"/>
              <w:szCs w:val="24"/>
            </w:rPr>
            <w:t>Olympia</w:t>
          </w:r>
        </w:smartTag>
        <w:r w:rsidRPr="004636C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636CB">
            <w:rPr>
              <w:rFonts w:ascii="Times New Roman" w:hAnsi="Times New Roman"/>
              <w:szCs w:val="24"/>
            </w:rPr>
            <w:t>Washington</w:t>
          </w:r>
        </w:smartTag>
        <w:r w:rsidRPr="004636C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4636CB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Dear M</w:t>
      </w:r>
      <w:r w:rsidR="003933FF">
        <w:rPr>
          <w:rFonts w:ascii="Times New Roman" w:hAnsi="Times New Roman"/>
          <w:szCs w:val="24"/>
        </w:rPr>
        <w:t>r</w:t>
      </w:r>
      <w:r w:rsidRPr="004525FB">
        <w:rPr>
          <w:rFonts w:ascii="Times New Roman" w:hAnsi="Times New Roman"/>
          <w:szCs w:val="24"/>
        </w:rPr>
        <w:t xml:space="preserve">. </w:t>
      </w:r>
      <w:r w:rsidR="003933FF">
        <w:rPr>
          <w:rFonts w:ascii="Times New Roman" w:hAnsi="Times New Roman"/>
          <w:szCs w:val="24"/>
        </w:rPr>
        <w:t>Danner</w:t>
      </w:r>
      <w:r w:rsidRPr="004525FB">
        <w:rPr>
          <w:rFonts w:ascii="Times New Roman" w:hAnsi="Times New Roman"/>
          <w:szCs w:val="24"/>
        </w:rPr>
        <w:t>: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Qwest Corporation is forwarding for filing the sheets liste</w:t>
      </w:r>
      <w:r>
        <w:rPr>
          <w:rFonts w:ascii="Times New Roman" w:hAnsi="Times New Roman"/>
          <w:szCs w:val="24"/>
        </w:rPr>
        <w:t>d on Attachment A.</w:t>
      </w:r>
    </w:p>
    <w:p w:rsidR="00EC379C" w:rsidRDefault="00EC379C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3816A9" w:rsidRDefault="00EC379C">
      <w:pPr>
        <w:pStyle w:val="BodyText"/>
        <w:jc w:val="both"/>
        <w:rPr>
          <w:rFonts w:ascii="Times New Roman" w:hAnsi="Times New Roman"/>
          <w:color w:val="000000"/>
          <w:szCs w:val="24"/>
        </w:rPr>
      </w:pPr>
      <w:r w:rsidRPr="004525FB">
        <w:rPr>
          <w:rFonts w:ascii="Times New Roman" w:hAnsi="Times New Roman"/>
          <w:szCs w:val="24"/>
        </w:rPr>
        <w:t xml:space="preserve">The purpose of </w:t>
      </w:r>
      <w:bookmarkStart w:id="0" w:name="OLE_LINK1"/>
      <w:bookmarkStart w:id="1" w:name="OLE_LINK2"/>
      <w:r w:rsidRPr="004525FB">
        <w:rPr>
          <w:rFonts w:ascii="Times New Roman" w:hAnsi="Times New Roman"/>
          <w:szCs w:val="24"/>
        </w:rPr>
        <w:t xml:space="preserve">this filing is </w:t>
      </w:r>
      <w:r>
        <w:rPr>
          <w:rFonts w:ascii="Times New Roman" w:hAnsi="Times New Roman"/>
          <w:szCs w:val="24"/>
        </w:rPr>
        <w:t xml:space="preserve">to decrease the </w:t>
      </w:r>
      <w:r w:rsidR="00704FC1">
        <w:rPr>
          <w:rFonts w:ascii="Times New Roman" w:hAnsi="Times New Roman"/>
          <w:szCs w:val="24"/>
        </w:rPr>
        <w:t xml:space="preserve">Federal </w:t>
      </w:r>
      <w:r>
        <w:rPr>
          <w:rFonts w:ascii="Times New Roman" w:hAnsi="Times New Roman"/>
          <w:szCs w:val="24"/>
        </w:rPr>
        <w:t>Lifeline credit from $5.8</w:t>
      </w:r>
      <w:r w:rsidR="00BB1CFF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to $5.</w:t>
      </w:r>
      <w:r w:rsidR="00BB1CFF">
        <w:rPr>
          <w:rFonts w:ascii="Times New Roman" w:hAnsi="Times New Roman"/>
          <w:szCs w:val="24"/>
        </w:rPr>
        <w:t>76</w:t>
      </w:r>
      <w:r>
        <w:rPr>
          <w:rFonts w:ascii="Times New Roman" w:hAnsi="Times New Roman"/>
          <w:szCs w:val="24"/>
        </w:rPr>
        <w:t>.</w:t>
      </w:r>
      <w:bookmarkEnd w:id="0"/>
      <w:bookmarkEnd w:id="1"/>
      <w:r>
        <w:rPr>
          <w:rFonts w:ascii="Times New Roman" w:hAnsi="Times New Roman"/>
          <w:szCs w:val="24"/>
        </w:rPr>
        <w:t xml:space="preserve">  This change coincides with the decrease to the Federal Access Charge rate for residential primary line service in Washington that will become effective </w:t>
      </w:r>
      <w:r w:rsidR="00BB1CFF">
        <w:rPr>
          <w:rFonts w:ascii="Times New Roman" w:hAnsi="Times New Roman"/>
          <w:szCs w:val="24"/>
        </w:rPr>
        <w:t>October</w:t>
      </w:r>
      <w:r>
        <w:rPr>
          <w:rFonts w:ascii="Times New Roman" w:hAnsi="Times New Roman"/>
          <w:szCs w:val="24"/>
        </w:rPr>
        <w:t xml:space="preserve"> 1, 20</w:t>
      </w:r>
      <w:r w:rsidR="00FB45BF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 The FCC filing was made on </w:t>
      </w:r>
      <w:r w:rsidR="00BB1CFF">
        <w:rPr>
          <w:rFonts w:ascii="Times New Roman" w:hAnsi="Times New Roman"/>
          <w:color w:val="000000"/>
          <w:szCs w:val="24"/>
        </w:rPr>
        <w:t>September</w:t>
      </w:r>
      <w:r w:rsidR="00E07413">
        <w:rPr>
          <w:rFonts w:ascii="Times New Roman" w:hAnsi="Times New Roman"/>
          <w:color w:val="000000"/>
          <w:szCs w:val="24"/>
        </w:rPr>
        <w:t xml:space="preserve"> </w:t>
      </w:r>
      <w:r w:rsidRPr="003816A9">
        <w:rPr>
          <w:rFonts w:ascii="Times New Roman" w:hAnsi="Times New Roman"/>
          <w:color w:val="000000"/>
          <w:szCs w:val="24"/>
        </w:rPr>
        <w:t>16, 20</w:t>
      </w:r>
      <w:r w:rsidR="00FB45BF">
        <w:rPr>
          <w:rFonts w:ascii="Times New Roman" w:hAnsi="Times New Roman"/>
          <w:color w:val="000000"/>
          <w:szCs w:val="24"/>
        </w:rPr>
        <w:t>10</w:t>
      </w:r>
      <w:r w:rsidRPr="003816A9">
        <w:rPr>
          <w:rFonts w:ascii="Times New Roman" w:hAnsi="Times New Roman"/>
          <w:color w:val="000000"/>
          <w:szCs w:val="24"/>
        </w:rPr>
        <w:t>.</w:t>
      </w:r>
    </w:p>
    <w:p w:rsidR="00EC379C" w:rsidRDefault="00EC379C">
      <w:pPr>
        <w:pStyle w:val="BodyText"/>
        <w:jc w:val="both"/>
        <w:rPr>
          <w:rFonts w:ascii="Times New Roman" w:hAnsi="Times New Roman"/>
          <w:szCs w:val="24"/>
        </w:rPr>
      </w:pPr>
    </w:p>
    <w:p w:rsidR="00EC379C" w:rsidRPr="00710186" w:rsidRDefault="00704FC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Qwest</w:t>
      </w:r>
      <w:r w:rsidR="00EC379C" w:rsidRPr="00710186">
        <w:rPr>
          <w:rFonts w:ascii="Times New Roman" w:hAnsi="Times New Roman"/>
        </w:rPr>
        <w:t xml:space="preserve"> requests </w:t>
      </w:r>
      <w:r>
        <w:rPr>
          <w:rFonts w:ascii="Times New Roman" w:hAnsi="Times New Roman"/>
        </w:rPr>
        <w:t xml:space="preserve">the </w:t>
      </w:r>
      <w:r w:rsidR="00EC379C">
        <w:rPr>
          <w:rFonts w:ascii="Times New Roman" w:hAnsi="Times New Roman"/>
        </w:rPr>
        <w:t xml:space="preserve">effective date of </w:t>
      </w:r>
      <w:r w:rsidR="00BB1CFF">
        <w:rPr>
          <w:rFonts w:ascii="Times New Roman" w:hAnsi="Times New Roman"/>
        </w:rPr>
        <w:t>October</w:t>
      </w:r>
      <w:r w:rsidR="00EC379C">
        <w:rPr>
          <w:rFonts w:ascii="Times New Roman" w:hAnsi="Times New Roman"/>
        </w:rPr>
        <w:t xml:space="preserve"> 1, 20</w:t>
      </w:r>
      <w:r w:rsidR="00E26499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in accordance with WAC 480-80-123,</w:t>
      </w:r>
      <w:r w:rsidR="003F53C0">
        <w:rPr>
          <w:rFonts w:ascii="Times New Roman" w:hAnsi="Times New Roman"/>
        </w:rPr>
        <w:t xml:space="preserve"> s</w:t>
      </w:r>
      <w:r w:rsidR="006E7A51">
        <w:rPr>
          <w:rFonts w:ascii="Times New Roman" w:hAnsi="Times New Roman"/>
        </w:rPr>
        <w:t xml:space="preserve">ince </w:t>
      </w:r>
      <w:r w:rsidR="00EC379C">
        <w:rPr>
          <w:rFonts w:ascii="Times New Roman" w:hAnsi="Times New Roman"/>
        </w:rPr>
        <w:t>the federal lifelin</w:t>
      </w:r>
      <w:r>
        <w:rPr>
          <w:rFonts w:ascii="Times New Roman" w:hAnsi="Times New Roman"/>
        </w:rPr>
        <w:t xml:space="preserve">e credit directly offsets the </w:t>
      </w:r>
      <w:r w:rsidR="00EC379C">
        <w:rPr>
          <w:rFonts w:ascii="Times New Roman" w:hAnsi="Times New Roman"/>
        </w:rPr>
        <w:t>Federal Access Charge rate.</w:t>
      </w:r>
      <w:r w:rsidR="00EC379C" w:rsidRPr="00710186">
        <w:rPr>
          <w:rFonts w:ascii="Times New Roman" w:hAnsi="Times New Roman"/>
        </w:rPr>
        <w:t xml:space="preserve">  </w:t>
      </w:r>
      <w:r w:rsidR="007B69C2">
        <w:rPr>
          <w:rFonts w:ascii="Times New Roman" w:hAnsi="Times New Roman"/>
          <w:szCs w:val="24"/>
        </w:rPr>
        <w:t xml:space="preserve">There is no customer impact with this rate change.  </w:t>
      </w:r>
      <w:r w:rsidR="00EC379C" w:rsidRPr="00710186">
        <w:rPr>
          <w:rFonts w:ascii="Times New Roman" w:hAnsi="Times New Roman"/>
        </w:rPr>
        <w:t xml:space="preserve">If you have any questions concerning this filing please contact </w:t>
      </w:r>
      <w:smartTag w:uri="urn:schemas-microsoft-com:office:smarttags" w:element="PersonName">
        <w:r w:rsidR="00EC379C">
          <w:rPr>
            <w:rFonts w:ascii="Times New Roman" w:hAnsi="Times New Roman"/>
          </w:rPr>
          <w:t>Marie Larchick</w:t>
        </w:r>
      </w:smartTag>
      <w:r w:rsidR="00EC379C" w:rsidRPr="00710186">
        <w:rPr>
          <w:rFonts w:ascii="Times New Roman" w:hAnsi="Times New Roman"/>
        </w:rPr>
        <w:t xml:space="preserve"> on </w:t>
      </w:r>
      <w:r w:rsidR="00EC379C">
        <w:rPr>
          <w:rFonts w:ascii="Times New Roman" w:hAnsi="Times New Roman"/>
        </w:rPr>
        <w:t>(</w:t>
      </w:r>
      <w:r w:rsidR="00EC379C" w:rsidRPr="00BF2CCD">
        <w:rPr>
          <w:rFonts w:ascii="Times New Roman" w:hAnsi="Times New Roman"/>
        </w:rPr>
        <w:t>402</w:t>
      </w:r>
      <w:r w:rsidR="00EC379C">
        <w:rPr>
          <w:rFonts w:ascii="Times New Roman" w:hAnsi="Times New Roman"/>
        </w:rPr>
        <w:t>)</w:t>
      </w:r>
      <w:r w:rsidR="00302BEA">
        <w:rPr>
          <w:rFonts w:ascii="Times New Roman" w:hAnsi="Times New Roman"/>
        </w:rPr>
        <w:t> </w:t>
      </w:r>
      <w:r w:rsidR="00EC379C">
        <w:rPr>
          <w:rFonts w:ascii="Times New Roman" w:hAnsi="Times New Roman"/>
        </w:rPr>
        <w:t>422</w:t>
      </w:r>
      <w:r w:rsidR="00302BEA">
        <w:rPr>
          <w:rFonts w:ascii="Times New Roman" w:hAnsi="Times New Roman"/>
        </w:rPr>
        <w:t> </w:t>
      </w:r>
      <w:r w:rsidR="00EC379C" w:rsidRPr="00BF2CCD">
        <w:rPr>
          <w:rFonts w:ascii="Times New Roman" w:hAnsi="Times New Roman"/>
        </w:rPr>
        <w:t>7482</w:t>
      </w:r>
      <w:r w:rsidR="00EC379C" w:rsidRPr="00710186">
        <w:rPr>
          <w:rFonts w:ascii="Times New Roman" w:hAnsi="Times New Roman"/>
        </w:rPr>
        <w:t>.</w:t>
      </w: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Sincerely,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  <w:sectPr w:rsidR="00EC379C" w:rsidRPr="004525FB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Attachment A</w:t>
      </w:r>
    </w:p>
    <w:p w:rsidR="00EC379C" w:rsidRPr="004525FB" w:rsidRDefault="00EC379C">
      <w:pPr>
        <w:jc w:val="right"/>
        <w:rPr>
          <w:rFonts w:ascii="Times New Roman" w:hAnsi="Times New Roman"/>
          <w:color w:val="0000FF"/>
          <w:szCs w:val="24"/>
        </w:rPr>
      </w:pPr>
      <w:r w:rsidRPr="00F527EA">
        <w:rPr>
          <w:rFonts w:ascii="Times New Roman" w:hAnsi="Times New Roman"/>
          <w:szCs w:val="24"/>
        </w:rPr>
        <w:t>Advice No.</w:t>
      </w:r>
      <w:r w:rsidR="004C5267">
        <w:rPr>
          <w:rFonts w:ascii="Times New Roman" w:hAnsi="Times New Roman"/>
          <w:szCs w:val="24"/>
        </w:rPr>
        <w:t xml:space="preserve"> 366</w:t>
      </w:r>
      <w:r w:rsidR="00393656">
        <w:rPr>
          <w:rFonts w:ascii="Times New Roman" w:hAnsi="Times New Roman"/>
          <w:szCs w:val="24"/>
        </w:rPr>
        <w:t>9</w:t>
      </w:r>
      <w:r w:rsidR="004C5267">
        <w:rPr>
          <w:rFonts w:ascii="Times New Roman" w:hAnsi="Times New Roman"/>
          <w:szCs w:val="24"/>
        </w:rPr>
        <w:t>T</w:t>
      </w: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EXCHANGE AND NETWORK SERVICE</w:t>
      </w: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 U-40</w:t>
      </w: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790"/>
        <w:gridCol w:w="2850"/>
        <w:gridCol w:w="2820"/>
      </w:tblGrid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SECTION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SHEET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REVISION</w:t>
            </w:r>
          </w:p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820" w:type="dxa"/>
          </w:tcPr>
          <w:p w:rsidR="00EC379C" w:rsidRPr="004525FB" w:rsidRDefault="00362952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EC379C">
              <w:rPr>
                <w:rFonts w:ascii="Times New Roman" w:hAnsi="Times New Roman"/>
                <w:color w:val="000000"/>
                <w:szCs w:val="24"/>
              </w:rPr>
              <w:t>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48.3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36295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>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C379C" w:rsidRPr="004525FB" w:rsidRDefault="00EC379C">
      <w:pPr>
        <w:rPr>
          <w:szCs w:val="24"/>
        </w:rPr>
      </w:pPr>
    </w:p>
    <w:sectPr w:rsidR="00EC379C" w:rsidRPr="004525FB">
      <w:headerReference w:type="default" r:id="rId9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06" w:rsidRDefault="00762D06">
      <w:r>
        <w:separator/>
      </w:r>
    </w:p>
  </w:endnote>
  <w:endnote w:type="continuationSeparator" w:id="0">
    <w:p w:rsidR="00762D06" w:rsidRDefault="0076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BF" w:rsidRPr="00AE4EE1" w:rsidRDefault="00FB45BF">
    <w:pPr>
      <w:pStyle w:val="Footer"/>
      <w:rPr>
        <w:sz w:val="18"/>
        <w:szCs w:val="18"/>
      </w:rPr>
    </w:pPr>
    <w:r w:rsidRPr="00AE4EE1">
      <w:rPr>
        <w:sz w:val="18"/>
        <w:szCs w:val="18"/>
      </w:rPr>
      <w:t>WA20</w:t>
    </w:r>
    <w:r w:rsidR="00BB1CFF">
      <w:rPr>
        <w:sz w:val="18"/>
        <w:szCs w:val="18"/>
      </w:rPr>
      <w:t>10-033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06" w:rsidRDefault="00762D06">
      <w:r>
        <w:separator/>
      </w:r>
    </w:p>
  </w:footnote>
  <w:footnote w:type="continuationSeparator" w:id="0">
    <w:p w:rsidR="00762D06" w:rsidRDefault="0076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BF" w:rsidRPr="00307483" w:rsidRDefault="00FB45BF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45BF" w:rsidRPr="009B525B" w:rsidRDefault="00FB45BF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45BF" w:rsidRPr="009B525B" w:rsidRDefault="00FB45BF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45BF" w:rsidRPr="009B525B" w:rsidRDefault="00FB45B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45BF" w:rsidRPr="009B525B" w:rsidRDefault="00FB45B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45BF" w:rsidRPr="009B525B" w:rsidRDefault="00FB45BF">
    <w:pPr>
      <w:pStyle w:val="Heading1"/>
      <w:rPr>
        <w:vanish w:val="0"/>
        <w:szCs w:val="16"/>
      </w:rPr>
    </w:pPr>
  </w:p>
  <w:p w:rsidR="00FB45BF" w:rsidRPr="009B525B" w:rsidRDefault="00FB45B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45BF" w:rsidRPr="009B525B" w:rsidRDefault="00FB45B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45BF" w:rsidRDefault="00FB45BF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45BF" w:rsidRPr="006967F5" w:rsidRDefault="00FB45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BF" w:rsidRPr="006967F5" w:rsidRDefault="00FB45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F5B79"/>
    <w:rsid w:val="00150B2F"/>
    <w:rsid w:val="001570E0"/>
    <w:rsid w:val="001E2479"/>
    <w:rsid w:val="001F5B79"/>
    <w:rsid w:val="00277454"/>
    <w:rsid w:val="00302BEA"/>
    <w:rsid w:val="0030401E"/>
    <w:rsid w:val="00362952"/>
    <w:rsid w:val="00380804"/>
    <w:rsid w:val="003933FF"/>
    <w:rsid w:val="00393656"/>
    <w:rsid w:val="003F53C0"/>
    <w:rsid w:val="00420C08"/>
    <w:rsid w:val="004636CB"/>
    <w:rsid w:val="00466488"/>
    <w:rsid w:val="004C5267"/>
    <w:rsid w:val="004E6B93"/>
    <w:rsid w:val="006E7A51"/>
    <w:rsid w:val="0070402F"/>
    <w:rsid w:val="00704FC1"/>
    <w:rsid w:val="00762D06"/>
    <w:rsid w:val="007743DA"/>
    <w:rsid w:val="007B69C2"/>
    <w:rsid w:val="0089143D"/>
    <w:rsid w:val="008E3FC6"/>
    <w:rsid w:val="00963FD7"/>
    <w:rsid w:val="009C297C"/>
    <w:rsid w:val="009E37D8"/>
    <w:rsid w:val="00A5702D"/>
    <w:rsid w:val="00AA5979"/>
    <w:rsid w:val="00B110E8"/>
    <w:rsid w:val="00BB1CFF"/>
    <w:rsid w:val="00CA4C94"/>
    <w:rsid w:val="00CB3712"/>
    <w:rsid w:val="00D72E65"/>
    <w:rsid w:val="00E01B66"/>
    <w:rsid w:val="00E07413"/>
    <w:rsid w:val="00E26499"/>
    <w:rsid w:val="00E47FD7"/>
    <w:rsid w:val="00EC379C"/>
    <w:rsid w:val="00F9537C"/>
    <w:rsid w:val="00FA1430"/>
    <w:rsid w:val="00FA773D"/>
    <w:rsid w:val="00FB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2010-09-24T07:00:00+00:00</OpenedDate>
    <Date1 xmlns="dc463f71-b30c-4ab2-9473-d307f9d35888">2010-09-24T07:00:00+00:00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101590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DF526740997B4DA58CD70D0B9816E3" ma:contentTypeVersion="131" ma:contentTypeDescription="" ma:contentTypeScope="" ma:versionID="521297bbb01fc0ab005f990bc065a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B1F0F-93F4-494A-92CF-256F4ED105C6}"/>
</file>

<file path=customXml/itemProps2.xml><?xml version="1.0" encoding="utf-8"?>
<ds:datastoreItem xmlns:ds="http://schemas.openxmlformats.org/officeDocument/2006/customXml" ds:itemID="{8F59C370-E2AA-443B-B7E9-0E324702ABCB}"/>
</file>

<file path=customXml/itemProps3.xml><?xml version="1.0" encoding="utf-8"?>
<ds:datastoreItem xmlns:ds="http://schemas.openxmlformats.org/officeDocument/2006/customXml" ds:itemID="{0ADA1DAB-3A59-462E-B297-EDAA03F7C023}"/>
</file>

<file path=customXml/itemProps4.xml><?xml version="1.0" encoding="utf-8"?>
<ds:datastoreItem xmlns:ds="http://schemas.openxmlformats.org/officeDocument/2006/customXml" ds:itemID="{2A38142F-341A-4344-96AC-5FD28A5A0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Taliaferro</cp:lastModifiedBy>
  <cp:revision>2</cp:revision>
  <cp:lastPrinted>2010-09-24T12:43:00Z</cp:lastPrinted>
  <dcterms:created xsi:type="dcterms:W3CDTF">2010-09-27T16:32:00Z</dcterms:created>
  <dcterms:modified xsi:type="dcterms:W3CDTF">2010-09-27T16:32:00Z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0x0101006E56B4D1795A2E4DB2F0B01679ED314A00C7DF526740997B4DA58CD70D0B9816E3</vt:lpwstr>
  </property>
  <property fmtid="{D5CDD505-2E9C-101B-9397-08002B2CF9AE}" pid="9" name="_docset_NoMedatataSyncRequired">
    <vt:lpwstr>False</vt:lpwstr>
  </property>
</Properties>
</file>