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2</w:t>
            </w:r>
            <w:r w:rsidR="003B4D84">
              <w:t>6</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3B4D84">
        <w:t>No. 23</w:t>
      </w:r>
    </w:p>
    <w:p w:rsidR="006E2CC8" w:rsidRDefault="006E2CC8">
      <w:pPr>
        <w:tabs>
          <w:tab w:val="left" w:pos="720"/>
          <w:tab w:val="right" w:pos="10620"/>
        </w:tabs>
        <w:jc w:val="center"/>
      </w:pPr>
      <w:r>
        <w:t xml:space="preserve">Special </w:t>
      </w:r>
      <w:r w:rsidR="003B4D84">
        <w:t>fuel surcharge supplement No. 24</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B8B" w:rsidRDefault="005D6B8B">
      <w:r>
        <w:separator/>
      </w:r>
    </w:p>
  </w:endnote>
  <w:endnote w:type="continuationSeparator" w:id="0">
    <w:p w:rsidR="005D6B8B" w:rsidRDefault="005D6B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3B4D84">
    <w:pPr>
      <w:pStyle w:val="Footer"/>
      <w:pBdr>
        <w:bottom w:val="single" w:sz="12" w:space="1" w:color="auto"/>
      </w:pBdr>
      <w:tabs>
        <w:tab w:val="clear" w:pos="8640"/>
        <w:tab w:val="left" w:pos="8100"/>
        <w:tab w:val="right" w:pos="9360"/>
      </w:tabs>
    </w:pPr>
    <w:r>
      <w:t>Issue date: 03-18-10</w:t>
    </w:r>
    <w:r>
      <w:tab/>
    </w:r>
    <w:r>
      <w:tab/>
      <w:t>Effective date: 05-03</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B8B" w:rsidRDefault="005D6B8B">
      <w:r>
        <w:separator/>
      </w:r>
    </w:p>
  </w:footnote>
  <w:footnote w:type="continuationSeparator" w:id="0">
    <w:p w:rsidR="005D6B8B" w:rsidRDefault="005D6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3B4D84">
      <w:t xml:space="preserve">                              26</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BE7EA5"/>
    <w:rsid w:val="00183DDB"/>
    <w:rsid w:val="00205FB5"/>
    <w:rsid w:val="003B4D84"/>
    <w:rsid w:val="005D6B8B"/>
    <w:rsid w:val="006E2CC8"/>
    <w:rsid w:val="007C40DF"/>
    <w:rsid w:val="008575D9"/>
    <w:rsid w:val="008C6E34"/>
    <w:rsid w:val="009D1127"/>
    <w:rsid w:val="00B73CC4"/>
    <w:rsid w:val="00BE7EA5"/>
    <w:rsid w:val="00E253D8"/>
    <w:rsid w:val="00E748BF"/>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2010-03-18T07:00:00+00:00</OpenedDate>
    <Date1 xmlns="dc463f71-b30c-4ab2-9473-d307f9d35888">2010-03-18T07:00:00+00:00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100449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824521381E674AA99925F496C89C1C" ma:contentTypeVersion="131" ma:contentTypeDescription="" ma:contentTypeScope="" ma:versionID="a05cc45a5be1b5c594245b96a22ba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F5B4E-6520-40C5-B887-2C27FE1C6A45}"/>
</file>

<file path=customXml/itemProps2.xml><?xml version="1.0" encoding="utf-8"?>
<ds:datastoreItem xmlns:ds="http://schemas.openxmlformats.org/officeDocument/2006/customXml" ds:itemID="{573DE739-E167-49A2-9F27-259B703DF07D}"/>
</file>

<file path=customXml/itemProps3.xml><?xml version="1.0" encoding="utf-8"?>
<ds:datastoreItem xmlns:ds="http://schemas.openxmlformats.org/officeDocument/2006/customXml" ds:itemID="{CF6D5396-C6A8-4AD7-B027-EF928446F62F}"/>
</file>

<file path=customXml/itemProps4.xml><?xml version="1.0" encoding="utf-8"?>
<ds:datastoreItem xmlns:ds="http://schemas.openxmlformats.org/officeDocument/2006/customXml" ds:itemID="{B84127C6-0184-446C-A365-FBB90E2651B7}"/>
</file>

<file path=customXml/itemProps5.xml><?xml version="1.0" encoding="utf-8"?>
<ds:datastoreItem xmlns:ds="http://schemas.openxmlformats.org/officeDocument/2006/customXml" ds:itemID="{948DFEC9-CBFE-42E1-9B79-2DB7EAE9239D}"/>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2010-03-18T18:50:00Z</cp:lastPrinted>
  <dcterms:created xsi:type="dcterms:W3CDTF">2010-03-18T21:02:00Z</dcterms:created>
  <dcterms:modified xsi:type="dcterms:W3CDTF">2010-03-18T21:02:00Z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0x0101006E56B4D1795A2E4DB2F0B01679ED314A00DB824521381E674AA99925F496C89C1C</vt:lpwstr>
  </property>
  <property fmtid="{D5CDD505-2E9C-101B-9397-08002B2CF9AE}" pid="3" name="_docset_NoMedatataSyncRequired">
    <vt:lpwstr>False</vt:lpwstr>
  </property>
</Properties>
</file>