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Default="009B4C45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-1213485</wp:posOffset>
            </wp:positionV>
            <wp:extent cx="2738755" cy="1112520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79C" w:rsidRDefault="00EC379C">
      <w:pPr>
        <w:tabs>
          <w:tab w:val="left" w:pos="8280"/>
        </w:tabs>
        <w:rPr>
          <w:rFonts w:ascii="Times New Roman" w:hAnsi="Times New Roman"/>
          <w:sz w:val="22"/>
          <w:szCs w:val="22"/>
        </w:rPr>
      </w:pP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 17, 2009</w:t>
      </w: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D86848" w:rsidRDefault="00EC379C">
      <w:pPr>
        <w:tabs>
          <w:tab w:val="left" w:pos="8280"/>
        </w:tabs>
        <w:ind w:left="8280" w:hanging="8280"/>
        <w:rPr>
          <w:rFonts w:ascii="Times New Roman" w:hAnsi="Times New Roman"/>
          <w:szCs w:val="24"/>
        </w:rPr>
      </w:pPr>
      <w:r w:rsidRPr="001F5B79">
        <w:rPr>
          <w:rFonts w:ascii="Times New Roman" w:hAnsi="Times New Roman"/>
          <w:szCs w:val="24"/>
        </w:rPr>
        <w:t>Advice No.</w:t>
      </w:r>
      <w:r w:rsidR="001F5B79">
        <w:rPr>
          <w:rFonts w:ascii="Times New Roman" w:hAnsi="Times New Roman"/>
          <w:szCs w:val="24"/>
        </w:rPr>
        <w:t xml:space="preserve"> 3658T</w:t>
      </w: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Carole Washburn, Executive Secretary</w:t>
      </w:r>
    </w:p>
    <w:p w:rsidR="00EC379C" w:rsidRPr="004525FB" w:rsidRDefault="00EC379C">
      <w:pPr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State">
          <w:r w:rsidRPr="004525FB">
            <w:rPr>
              <w:rFonts w:ascii="Times New Roman" w:hAnsi="Times New Roman"/>
              <w:szCs w:val="24"/>
            </w:rPr>
            <w:t>Washington</w:t>
          </w:r>
        </w:smartTag>
      </w:smartTag>
      <w:r w:rsidRPr="004525FB">
        <w:rPr>
          <w:rFonts w:ascii="Times New Roman" w:hAnsi="Times New Roman"/>
          <w:szCs w:val="24"/>
        </w:rPr>
        <w:t xml:space="preserve"> Utilities and</w:t>
      </w:r>
    </w:p>
    <w:p w:rsidR="00EC379C" w:rsidRPr="004525FB" w:rsidRDefault="00EC379C">
      <w:pPr>
        <w:tabs>
          <w:tab w:val="left" w:pos="26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ab/>
        <w:t>Transportation Commission</w:t>
      </w:r>
    </w:p>
    <w:p w:rsidR="00EC379C" w:rsidRPr="004525FB" w:rsidRDefault="00EC379C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address">
        <w:smartTag w:uri="urn:schemas-microsoft-com:office:smarttags" w:element="Street">
          <w:r w:rsidRPr="004525FB">
            <w:rPr>
              <w:rFonts w:ascii="Times New Roman" w:hAnsi="Times New Roman"/>
              <w:szCs w:val="24"/>
            </w:rPr>
            <w:t>P.O. Box</w:t>
          </w:r>
        </w:smartTag>
        <w:r w:rsidRPr="004525FB">
          <w:rPr>
            <w:rFonts w:ascii="Times New Roman" w:hAnsi="Times New Roman"/>
            <w:szCs w:val="24"/>
          </w:rPr>
          <w:t xml:space="preserve"> 47250</w:t>
        </w:r>
      </w:smartTag>
    </w:p>
    <w:p w:rsidR="00EC379C" w:rsidRPr="004525FB" w:rsidRDefault="00EC379C">
      <w:pPr>
        <w:tabs>
          <w:tab w:val="left" w:pos="360"/>
        </w:tabs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4525FB">
            <w:rPr>
              <w:rFonts w:ascii="Times New Roman" w:hAnsi="Times New Roman"/>
              <w:szCs w:val="24"/>
            </w:rPr>
            <w:t>Olympia</w:t>
          </w:r>
        </w:smartTag>
        <w:r w:rsidRPr="004525FB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4525FB">
            <w:rPr>
              <w:rFonts w:ascii="Times New Roman" w:hAnsi="Times New Roman"/>
              <w:szCs w:val="24"/>
            </w:rPr>
            <w:t>Washington</w:t>
          </w:r>
        </w:smartTag>
        <w:r w:rsidRPr="004525FB">
          <w:rPr>
            <w:rFonts w:ascii="Times New Roman" w:hAnsi="Times New Roman"/>
            <w:szCs w:val="24"/>
          </w:rPr>
          <w:t xml:space="preserve">  </w:t>
        </w:r>
        <w:smartTag w:uri="urn:schemas-microsoft-com:office:smarttags" w:element="PostalCode">
          <w:r w:rsidRPr="004525FB">
            <w:rPr>
              <w:rFonts w:ascii="Times New Roman" w:hAnsi="Times New Roman"/>
              <w:szCs w:val="24"/>
            </w:rPr>
            <w:t>98504-7250</w:t>
          </w:r>
        </w:smartTag>
      </w:smartTag>
    </w:p>
    <w:p w:rsidR="00EC379C" w:rsidRPr="004525FB" w:rsidRDefault="00EC379C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Dear Ms. Washburn: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</w:tabs>
        <w:jc w:val="both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Qwest Corporation is forwarding for filing the sheets liste</w:t>
      </w:r>
      <w:r>
        <w:rPr>
          <w:rFonts w:ascii="Times New Roman" w:hAnsi="Times New Roman"/>
          <w:szCs w:val="24"/>
        </w:rPr>
        <w:t>d on Attachment A.</w:t>
      </w:r>
    </w:p>
    <w:p w:rsidR="00EC379C" w:rsidRPr="004525FB" w:rsidRDefault="00EC379C">
      <w:pPr>
        <w:tabs>
          <w:tab w:val="left" w:pos="360"/>
        </w:tabs>
        <w:rPr>
          <w:rFonts w:ascii="Times New Roman" w:hAnsi="Times New Roman"/>
          <w:szCs w:val="24"/>
        </w:rPr>
      </w:pPr>
    </w:p>
    <w:p w:rsidR="00EC379C" w:rsidRPr="003816A9" w:rsidRDefault="00EC379C">
      <w:pPr>
        <w:pStyle w:val="BodyText"/>
        <w:jc w:val="both"/>
        <w:rPr>
          <w:rFonts w:ascii="Times New Roman" w:hAnsi="Times New Roman"/>
          <w:color w:val="000000"/>
          <w:szCs w:val="24"/>
        </w:rPr>
      </w:pPr>
      <w:r w:rsidRPr="004525FB">
        <w:rPr>
          <w:rFonts w:ascii="Times New Roman" w:hAnsi="Times New Roman"/>
          <w:szCs w:val="24"/>
        </w:rPr>
        <w:t xml:space="preserve">The purpose of </w:t>
      </w:r>
      <w:bookmarkStart w:id="0" w:name="OLE_LINK1"/>
      <w:bookmarkStart w:id="1" w:name="OLE_LINK2"/>
      <w:r w:rsidRPr="004525FB">
        <w:rPr>
          <w:rFonts w:ascii="Times New Roman" w:hAnsi="Times New Roman"/>
          <w:szCs w:val="24"/>
        </w:rPr>
        <w:t xml:space="preserve">this filing is </w:t>
      </w:r>
      <w:r>
        <w:rPr>
          <w:rFonts w:ascii="Times New Roman" w:hAnsi="Times New Roman"/>
          <w:szCs w:val="24"/>
        </w:rPr>
        <w:t>to decrease the Lifeline credit towards the Federal Access Line Charge, also known as the End User Line Charge, from $5.88 to $5.84.</w:t>
      </w:r>
      <w:bookmarkEnd w:id="0"/>
      <w:bookmarkEnd w:id="1"/>
      <w:r>
        <w:rPr>
          <w:rFonts w:ascii="Times New Roman" w:hAnsi="Times New Roman"/>
          <w:szCs w:val="24"/>
        </w:rPr>
        <w:t xml:space="preserve">  This change coincides with the decrease to the Federal Access Charge rate for residential primary line service in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Cs w:val="24"/>
            </w:rPr>
            <w:t>Washington</w:t>
          </w:r>
        </w:smartTag>
      </w:smartTag>
      <w:r>
        <w:rPr>
          <w:rFonts w:ascii="Times New Roman" w:hAnsi="Times New Roman"/>
          <w:szCs w:val="24"/>
        </w:rPr>
        <w:t xml:space="preserve"> that will become effective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>
          <w:rPr>
            <w:rFonts w:ascii="Times New Roman" w:hAnsi="Times New Roman"/>
            <w:szCs w:val="24"/>
          </w:rPr>
          <w:t>July 1, 2009</w:t>
        </w:r>
      </w:smartTag>
      <w:r>
        <w:rPr>
          <w:rFonts w:ascii="Times New Roman" w:hAnsi="Times New Roman"/>
          <w:szCs w:val="24"/>
        </w:rPr>
        <w:t xml:space="preserve">.  The FCC filing was made on </w:t>
      </w:r>
      <w:r w:rsidRPr="003816A9">
        <w:rPr>
          <w:rFonts w:ascii="Times New Roman" w:hAnsi="Times New Roman"/>
          <w:color w:val="000000"/>
          <w:szCs w:val="24"/>
        </w:rPr>
        <w:t>June16, 2009.</w:t>
      </w:r>
    </w:p>
    <w:p w:rsidR="00EC379C" w:rsidRDefault="00EC379C">
      <w:pPr>
        <w:pStyle w:val="BodyText"/>
        <w:jc w:val="both"/>
        <w:rPr>
          <w:rFonts w:ascii="Times New Roman" w:hAnsi="Times New Roman"/>
          <w:szCs w:val="24"/>
        </w:rPr>
      </w:pPr>
    </w:p>
    <w:p w:rsidR="00EC379C" w:rsidRPr="00710186" w:rsidRDefault="00EC379C">
      <w:pPr>
        <w:pStyle w:val="BodyText"/>
        <w:jc w:val="both"/>
        <w:rPr>
          <w:rFonts w:ascii="Times New Roman" w:hAnsi="Times New Roman"/>
        </w:rPr>
      </w:pPr>
      <w:r w:rsidRPr="00710186">
        <w:rPr>
          <w:rFonts w:ascii="Times New Roman" w:hAnsi="Times New Roman"/>
        </w:rPr>
        <w:t xml:space="preserve">Qwest respectively requests </w:t>
      </w:r>
      <w:r>
        <w:rPr>
          <w:rFonts w:ascii="Times New Roman" w:hAnsi="Times New Roman"/>
        </w:rPr>
        <w:t>a less than statutory effective date of July 1, 2009 so that the federal credit for lifeline matches the Federal Access Charge rate.</w:t>
      </w:r>
      <w:r w:rsidRPr="00710186">
        <w:rPr>
          <w:rFonts w:ascii="Times New Roman" w:hAnsi="Times New Roman"/>
        </w:rPr>
        <w:t xml:space="preserve">  If you have any questions concerning this filing please contact </w:t>
      </w:r>
      <w:smartTag w:uri="urn:schemas-microsoft-com:office:smarttags" w:element="PersonName">
        <w:r>
          <w:rPr>
            <w:rFonts w:ascii="Times New Roman" w:hAnsi="Times New Roman"/>
          </w:rPr>
          <w:t>Marie Larchick</w:t>
        </w:r>
      </w:smartTag>
      <w:r w:rsidRPr="00710186">
        <w:rPr>
          <w:rFonts w:ascii="Times New Roman" w:hAnsi="Times New Roman"/>
        </w:rPr>
        <w:t xml:space="preserve"> on </w:t>
      </w:r>
      <w:r>
        <w:rPr>
          <w:rFonts w:ascii="Times New Roman" w:hAnsi="Times New Roman"/>
        </w:rPr>
        <w:t>(</w:t>
      </w:r>
      <w:r w:rsidRPr="00BF2CCD">
        <w:rPr>
          <w:rFonts w:ascii="Times New Roman" w:hAnsi="Times New Roman"/>
        </w:rPr>
        <w:t>402</w:t>
      </w:r>
      <w:r>
        <w:rPr>
          <w:rFonts w:ascii="Times New Roman" w:hAnsi="Times New Roman"/>
        </w:rPr>
        <w:t>) 422-</w:t>
      </w:r>
      <w:r w:rsidRPr="00BF2CCD">
        <w:rPr>
          <w:rFonts w:ascii="Times New Roman" w:hAnsi="Times New Roman"/>
        </w:rPr>
        <w:t>7482</w:t>
      </w:r>
      <w:r w:rsidRPr="00710186">
        <w:rPr>
          <w:rFonts w:ascii="Times New Roman" w:hAnsi="Times New Roman"/>
        </w:rPr>
        <w:t>.</w:t>
      </w: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Sincerely,</w:t>
      </w: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36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 Reynolds</w:t>
      </w:r>
    </w:p>
    <w:p w:rsidR="00EC379C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Attachments</w:t>
      </w:r>
    </w:p>
    <w:p w:rsidR="00EC379C" w:rsidRPr="004525FB" w:rsidRDefault="00EC379C">
      <w:pPr>
        <w:tabs>
          <w:tab w:val="left" w:pos="1440"/>
          <w:tab w:val="left" w:pos="8280"/>
        </w:tabs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  <w:sectPr w:rsidR="00EC379C" w:rsidRPr="004525FB">
          <w:headerReference w:type="default" r:id="rId7"/>
          <w:footerReference w:type="default" r:id="rId8"/>
          <w:footnotePr>
            <w:numRestart w:val="eachPage"/>
          </w:footnotePr>
          <w:pgSz w:w="12240" w:h="15840"/>
          <w:pgMar w:top="1080" w:right="1800" w:bottom="720" w:left="1800" w:header="720" w:footer="720" w:gutter="0"/>
          <w:cols w:space="720"/>
        </w:sect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Default="00EC379C">
      <w:pPr>
        <w:jc w:val="right"/>
        <w:rPr>
          <w:rFonts w:ascii="Times New Roman" w:hAnsi="Times New Roman"/>
          <w:szCs w:val="24"/>
        </w:rPr>
      </w:pPr>
    </w:p>
    <w:p w:rsidR="00EC379C" w:rsidRPr="004525FB" w:rsidRDefault="00EC379C">
      <w:pPr>
        <w:jc w:val="right"/>
        <w:rPr>
          <w:rFonts w:ascii="Times New Roman" w:hAnsi="Times New Roman"/>
          <w:szCs w:val="24"/>
        </w:rPr>
      </w:pPr>
      <w:r w:rsidRPr="004525FB">
        <w:rPr>
          <w:rFonts w:ascii="Times New Roman" w:hAnsi="Times New Roman"/>
          <w:szCs w:val="24"/>
        </w:rPr>
        <w:t>Attachment A</w:t>
      </w:r>
    </w:p>
    <w:p w:rsidR="00EC379C" w:rsidRPr="004525FB" w:rsidRDefault="00EC379C">
      <w:pPr>
        <w:jc w:val="right"/>
        <w:rPr>
          <w:rFonts w:ascii="Times New Roman" w:hAnsi="Times New Roman"/>
          <w:color w:val="0000FF"/>
          <w:szCs w:val="24"/>
        </w:rPr>
      </w:pPr>
      <w:r w:rsidRPr="00F527EA">
        <w:rPr>
          <w:rFonts w:ascii="Times New Roman" w:hAnsi="Times New Roman"/>
          <w:szCs w:val="24"/>
        </w:rPr>
        <w:t>Advice No.</w:t>
      </w:r>
      <w:r w:rsidR="001F5B79">
        <w:rPr>
          <w:rFonts w:ascii="Times New Roman" w:hAnsi="Times New Roman"/>
          <w:szCs w:val="24"/>
        </w:rPr>
        <w:t xml:space="preserve"> 3658</w:t>
      </w:r>
      <w:r w:rsidRPr="00F527EA">
        <w:rPr>
          <w:rFonts w:ascii="Times New Roman" w:hAnsi="Times New Roman"/>
          <w:szCs w:val="24"/>
        </w:rPr>
        <w:t>T</w:t>
      </w:r>
    </w:p>
    <w:p w:rsidR="00EC379C" w:rsidRPr="004525FB" w:rsidRDefault="00EC379C">
      <w:pPr>
        <w:rPr>
          <w:rFonts w:ascii="Times New Roman" w:hAnsi="Times New Roman"/>
          <w:szCs w:val="24"/>
        </w:rPr>
      </w:pPr>
    </w:p>
    <w:p w:rsidR="00EC379C" w:rsidRPr="004525FB" w:rsidRDefault="00EC379C">
      <w:pPr>
        <w:rPr>
          <w:szCs w:val="24"/>
        </w:rPr>
      </w:pP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EXCHANGE AND NETWORK SERVICE</w:t>
      </w:r>
    </w:p>
    <w:p w:rsidR="00EC379C" w:rsidRPr="004525FB" w:rsidRDefault="00EC379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WN U-40</w:t>
      </w: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p w:rsidR="00EC379C" w:rsidRPr="004368FA" w:rsidRDefault="00EC379C">
      <w:pPr>
        <w:tabs>
          <w:tab w:val="left" w:pos="7820"/>
        </w:tabs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2790"/>
        <w:gridCol w:w="2850"/>
        <w:gridCol w:w="2820"/>
      </w:tblGrid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SECTION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SHEET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25FB">
              <w:rPr>
                <w:rFonts w:ascii="Times New Roman" w:hAnsi="Times New Roman"/>
                <w:b/>
                <w:szCs w:val="24"/>
                <w:u w:val="single"/>
              </w:rPr>
              <w:t>REVISION</w:t>
            </w:r>
          </w:p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48.3</w:t>
            </w: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10th</w:t>
            </w: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C379C" w:rsidRPr="004525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9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5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820" w:type="dxa"/>
          </w:tcPr>
          <w:p w:rsidR="00EC379C" w:rsidRPr="004525FB" w:rsidRDefault="00EC379C">
            <w:pPr>
              <w:tabs>
                <w:tab w:val="left" w:pos="7820"/>
              </w:tabs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EC379C" w:rsidRPr="004525FB" w:rsidRDefault="00EC379C">
      <w:pPr>
        <w:rPr>
          <w:szCs w:val="24"/>
        </w:rPr>
      </w:pPr>
    </w:p>
    <w:sectPr w:rsidR="00EC379C" w:rsidRPr="004525FB">
      <w:headerReference w:type="default" r:id="rId9"/>
      <w:footnotePr>
        <w:numRestart w:val="eachPage"/>
      </w:footnotePr>
      <w:pgSz w:w="12240" w:h="15840"/>
      <w:pgMar w:top="108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9C" w:rsidRDefault="00EC379C">
      <w:r>
        <w:separator/>
      </w:r>
    </w:p>
  </w:endnote>
  <w:endnote w:type="continuationSeparator" w:id="0">
    <w:p w:rsidR="00EC379C" w:rsidRDefault="00EC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9C" w:rsidRPr="00AE4EE1" w:rsidRDefault="00EC379C">
    <w:pPr>
      <w:pStyle w:val="Footer"/>
      <w:rPr>
        <w:sz w:val="18"/>
        <w:szCs w:val="18"/>
      </w:rPr>
    </w:pPr>
    <w:r w:rsidRPr="00AE4EE1">
      <w:rPr>
        <w:sz w:val="18"/>
        <w:szCs w:val="18"/>
      </w:rPr>
      <w:t>WA200</w:t>
    </w:r>
    <w:r>
      <w:rPr>
        <w:sz w:val="18"/>
        <w:szCs w:val="18"/>
      </w:rPr>
      <w:t>9-018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9C" w:rsidRDefault="00EC379C">
      <w:r>
        <w:separator/>
      </w:r>
    </w:p>
  </w:footnote>
  <w:footnote w:type="continuationSeparator" w:id="0">
    <w:p w:rsidR="00EC379C" w:rsidRDefault="00EC3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9C" w:rsidRPr="00307483" w:rsidRDefault="00EC379C">
    <w:pPr>
      <w:pStyle w:val="Heading1"/>
      <w:rPr>
        <w:b/>
        <w:vanish w:val="0"/>
        <w:szCs w:val="16"/>
      </w:rPr>
    </w:pPr>
    <w:r w:rsidRPr="009B525B">
      <w:rPr>
        <w:b/>
        <w:vanish w:val="0"/>
        <w:szCs w:val="16"/>
      </w:rPr>
      <w:t>Qwest Corporation</w:t>
    </w:r>
  </w:p>
  <w:p w:rsidR="00EC379C" w:rsidRPr="009B525B" w:rsidRDefault="00EC379C">
    <w:pPr>
      <w:pStyle w:val="Heading1"/>
      <w:rPr>
        <w:vanish w:val="0"/>
        <w:szCs w:val="16"/>
      </w:rPr>
    </w:pPr>
    <w:smartTag w:uri="urn:schemas-microsoft-com:office:smarttags" w:element="Street">
      <w:smartTag w:uri="urn:schemas-microsoft-com:office:smarttags" w:element="address">
        <w:r w:rsidRPr="009B525B">
          <w:rPr>
            <w:vanish w:val="0"/>
            <w:szCs w:val="16"/>
          </w:rPr>
          <w:t>1600 7th Avenue</w:t>
        </w:r>
      </w:smartTag>
    </w:smartTag>
    <w:r w:rsidRPr="009B525B">
      <w:rPr>
        <w:vanish w:val="0"/>
        <w:szCs w:val="16"/>
      </w:rPr>
      <w:t xml:space="preserve"> Room 3206</w:t>
    </w:r>
  </w:p>
  <w:p w:rsidR="00EC379C" w:rsidRPr="009B525B" w:rsidRDefault="00EC379C">
    <w:pPr>
      <w:pStyle w:val="Heading1"/>
      <w:rPr>
        <w:vanish w:val="0"/>
        <w:szCs w:val="16"/>
      </w:rPr>
    </w:pPr>
    <w:smartTag w:uri="urn:schemas-microsoft-com:office:smarttags" w:element="place">
      <w:smartTag w:uri="urn:schemas-microsoft-com:office:smarttags" w:element="City">
        <w:r w:rsidRPr="009B525B">
          <w:rPr>
            <w:vanish w:val="0"/>
            <w:szCs w:val="16"/>
          </w:rPr>
          <w:t>Seattle</w:t>
        </w:r>
      </w:smartTag>
      <w:r w:rsidRPr="009B525B">
        <w:rPr>
          <w:vanish w:val="0"/>
          <w:szCs w:val="16"/>
        </w:rPr>
        <w:t xml:space="preserve">, </w:t>
      </w:r>
      <w:smartTag w:uri="urn:schemas-microsoft-com:office:smarttags" w:element="State">
        <w:r w:rsidRPr="009B525B">
          <w:rPr>
            <w:vanish w:val="0"/>
            <w:szCs w:val="16"/>
          </w:rPr>
          <w:t>Washington</w:t>
        </w:r>
      </w:smartTag>
      <w:r w:rsidRPr="009B525B">
        <w:rPr>
          <w:vanish w:val="0"/>
          <w:szCs w:val="16"/>
        </w:rPr>
        <w:t xml:space="preserve">  </w:t>
      </w:r>
      <w:smartTag w:uri="urn:schemas-microsoft-com:office:smarttags" w:element="PostalCode">
        <w:r w:rsidRPr="009B525B">
          <w:rPr>
            <w:vanish w:val="0"/>
            <w:szCs w:val="16"/>
          </w:rPr>
          <w:t>98191</w:t>
        </w:r>
      </w:smartTag>
    </w:smartTag>
  </w:p>
  <w:p w:rsidR="00EC379C" w:rsidRPr="009B525B" w:rsidRDefault="00EC379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(206) 345-1568</w:t>
    </w:r>
  </w:p>
  <w:p w:rsidR="00EC379C" w:rsidRPr="009B525B" w:rsidRDefault="00EC379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Facsimile (206) 343-4040</w:t>
    </w:r>
  </w:p>
  <w:p w:rsidR="00EC379C" w:rsidRPr="009B525B" w:rsidRDefault="00EC379C">
    <w:pPr>
      <w:pStyle w:val="Heading1"/>
      <w:rPr>
        <w:vanish w:val="0"/>
        <w:szCs w:val="16"/>
      </w:rPr>
    </w:pPr>
  </w:p>
  <w:p w:rsidR="00EC379C" w:rsidRPr="009B525B" w:rsidRDefault="00EC379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Mark S. Reynolds</w:t>
    </w:r>
  </w:p>
  <w:p w:rsidR="00EC379C" w:rsidRPr="009B525B" w:rsidRDefault="00EC379C">
    <w:pPr>
      <w:pStyle w:val="Heading1"/>
      <w:rPr>
        <w:vanish w:val="0"/>
        <w:szCs w:val="16"/>
      </w:rPr>
    </w:pPr>
    <w:r w:rsidRPr="009B525B">
      <w:rPr>
        <w:vanish w:val="0"/>
        <w:szCs w:val="16"/>
      </w:rPr>
      <w:t>Senior Director – Regulatory</w:t>
    </w:r>
  </w:p>
  <w:p w:rsidR="00EC379C" w:rsidRDefault="00EC379C">
    <w:pPr>
      <w:pStyle w:val="Heading1"/>
      <w:rPr>
        <w:vanish w:val="0"/>
        <w:szCs w:val="16"/>
      </w:rPr>
    </w:pPr>
    <w:r>
      <w:rPr>
        <w:vanish w:val="0"/>
        <w:szCs w:val="16"/>
      </w:rPr>
      <w:t>Public Policy</w:t>
    </w:r>
  </w:p>
  <w:p w:rsidR="00EC379C" w:rsidRPr="006967F5" w:rsidRDefault="00EC37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9C" w:rsidRPr="006967F5" w:rsidRDefault="00EC379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F5B79"/>
    <w:rsid w:val="001F5B79"/>
    <w:rsid w:val="009B4C45"/>
    <w:rsid w:val="00EC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vanish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2009-06-17T07:00:00+00:00</OpenedDate>
    <Date1 xmlns="dc463f71-b30c-4ab2-9473-d307f9d35888">2009-06-17T07:00:00+00:00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090926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1E8423C209F440A2D3F8ECC2884975" ma:contentTypeVersion="131" ma:contentTypeDescription="" ma:contentTypeScope="" ma:versionID="773137802affce896b517dd2a53e45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0F513-C306-40AF-B425-6400667C0194}"/>
</file>

<file path=customXml/itemProps2.xml><?xml version="1.0" encoding="utf-8"?>
<ds:datastoreItem xmlns:ds="http://schemas.openxmlformats.org/officeDocument/2006/customXml" ds:itemID="{058E6269-D36B-4E91-A5E2-48CA346336A6}"/>
</file>

<file path=customXml/itemProps3.xml><?xml version="1.0" encoding="utf-8"?>
<ds:datastoreItem xmlns:ds="http://schemas.openxmlformats.org/officeDocument/2006/customXml" ds:itemID="{8DC73F75-0C13-421C-A0BA-BDCC4D7EC551}"/>
</file>

<file path=customXml/itemProps4.xml><?xml version="1.0" encoding="utf-8"?>
<ds:datastoreItem xmlns:ds="http://schemas.openxmlformats.org/officeDocument/2006/customXml" ds:itemID="{9E3557A9-647B-4AC5-93E8-251D8829C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Qwest Communications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Catherine Hudspeth</cp:lastModifiedBy>
  <cp:revision>2</cp:revision>
  <cp:lastPrinted>2009-06-15T22:49:00Z</cp:lastPrinted>
  <dcterms:created xsi:type="dcterms:W3CDTF">2009-06-18T15:52:00Z</dcterms:created>
  <dcterms:modified xsi:type="dcterms:W3CDTF">2009-06-18T15:52:00Z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984505972</vt:i4>
  </property>
  <property fmtid="{D5CDD505-2E9C-101B-9397-08002B2CF9AE}" pid="3" name="_EmailSubject">
    <vt:lpwstr>For Filing Today: Qwest Corporation Advice No. 3540T; Change in Lifeline Tariff</vt:lpwstr>
  </property>
  <property fmtid="{D5CDD505-2E9C-101B-9397-08002B2CF9AE}" pid="4" name="_AuthorEmail">
    <vt:lpwstr>Beth.BentleyMiller@qwest.com</vt:lpwstr>
  </property>
  <property fmtid="{D5CDD505-2E9C-101B-9397-08002B2CF9AE}" pid="5" name="_AuthorEmailDisplayName">
    <vt:lpwstr>Bentley Miller, Beth</vt:lpwstr>
  </property>
  <property fmtid="{D5CDD505-2E9C-101B-9397-08002B2CF9AE}" pid="6" name="_PreviousAdHocReviewCycleID">
    <vt:i4>1108438045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0x0101006E56B4D1795A2E4DB2F0B01679ED314A00891E8423C209F440A2D3F8ECC2884975</vt:lpwstr>
  </property>
  <property fmtid="{D5CDD505-2E9C-101B-9397-08002B2CF9AE}" pid="9" name="_docset_NoMedatataSyncRequired">
    <vt:lpwstr>False</vt:lpwstr>
  </property>
</Properties>
</file>