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2CA" w:rsidRPr="00030619" w:rsidRDefault="008A52CA" w:rsidP="008004AB">
      <w:pPr>
        <w:spacing w:after="0"/>
        <w:rPr>
          <w:sz w:val="24"/>
          <w:szCs w:val="24"/>
        </w:rPr>
      </w:pPr>
    </w:p>
    <w:p w:rsidR="00630284" w:rsidRPr="00030619" w:rsidRDefault="00630284" w:rsidP="008004AB">
      <w:pPr>
        <w:spacing w:after="0"/>
        <w:rPr>
          <w:sz w:val="24"/>
          <w:szCs w:val="24"/>
        </w:rPr>
      </w:pPr>
    </w:p>
    <w:p w:rsidR="008004AB" w:rsidRDefault="008004AB" w:rsidP="008004AB">
      <w:pPr>
        <w:spacing w:after="0"/>
        <w:rPr>
          <w:sz w:val="24"/>
          <w:szCs w:val="24"/>
        </w:rPr>
      </w:pPr>
    </w:p>
    <w:p w:rsidR="00030619" w:rsidRPr="00030619" w:rsidRDefault="00030619" w:rsidP="008004AB">
      <w:pPr>
        <w:spacing w:after="0"/>
        <w:rPr>
          <w:sz w:val="24"/>
          <w:szCs w:val="24"/>
        </w:rPr>
      </w:pPr>
    </w:p>
    <w:p w:rsidR="008004AB" w:rsidRPr="00030619" w:rsidRDefault="008004AB" w:rsidP="008004AB">
      <w:pPr>
        <w:spacing w:after="0"/>
        <w:rPr>
          <w:sz w:val="24"/>
          <w:szCs w:val="24"/>
        </w:rPr>
      </w:pPr>
    </w:p>
    <w:p w:rsidR="00274D74" w:rsidRPr="00030619" w:rsidRDefault="00274D74" w:rsidP="008004AB">
      <w:pPr>
        <w:spacing w:after="0"/>
        <w:rPr>
          <w:sz w:val="24"/>
          <w:szCs w:val="24"/>
        </w:rPr>
      </w:pPr>
    </w:p>
    <w:p w:rsidR="00274D74" w:rsidRPr="00030619" w:rsidRDefault="008004AB" w:rsidP="008004AB">
      <w:pPr>
        <w:spacing w:after="0"/>
        <w:rPr>
          <w:sz w:val="24"/>
          <w:szCs w:val="24"/>
        </w:rPr>
      </w:pPr>
      <w:r w:rsidRPr="00030619">
        <w:rPr>
          <w:sz w:val="24"/>
          <w:szCs w:val="24"/>
        </w:rPr>
        <w:t>February 2</w:t>
      </w:r>
      <w:r w:rsidR="00D35A5F">
        <w:rPr>
          <w:sz w:val="24"/>
          <w:szCs w:val="24"/>
        </w:rPr>
        <w:t>6</w:t>
      </w:r>
      <w:r w:rsidRPr="00030619">
        <w:rPr>
          <w:sz w:val="24"/>
          <w:szCs w:val="24"/>
        </w:rPr>
        <w:t>, 2009</w:t>
      </w:r>
    </w:p>
    <w:p w:rsidR="00274D74" w:rsidRPr="00030619" w:rsidRDefault="00274D74" w:rsidP="008004AB">
      <w:pPr>
        <w:spacing w:after="0"/>
        <w:rPr>
          <w:sz w:val="24"/>
          <w:szCs w:val="24"/>
        </w:rPr>
      </w:pPr>
    </w:p>
    <w:p w:rsidR="00030619" w:rsidRDefault="00030619" w:rsidP="008004AB">
      <w:pPr>
        <w:spacing w:after="0"/>
        <w:rPr>
          <w:sz w:val="24"/>
          <w:szCs w:val="24"/>
        </w:rPr>
      </w:pPr>
    </w:p>
    <w:p w:rsidR="00030619" w:rsidRPr="00030619" w:rsidRDefault="00030619" w:rsidP="008004AB">
      <w:pPr>
        <w:spacing w:after="0"/>
        <w:rPr>
          <w:sz w:val="24"/>
          <w:szCs w:val="24"/>
        </w:rPr>
      </w:pPr>
    </w:p>
    <w:p w:rsidR="00797ACA" w:rsidRPr="00030619" w:rsidRDefault="008004AB" w:rsidP="008004AB">
      <w:pPr>
        <w:spacing w:after="0" w:line="240" w:lineRule="auto"/>
        <w:rPr>
          <w:sz w:val="24"/>
          <w:szCs w:val="24"/>
        </w:rPr>
      </w:pPr>
      <w:r w:rsidRPr="00030619">
        <w:rPr>
          <w:sz w:val="24"/>
          <w:szCs w:val="24"/>
        </w:rPr>
        <w:t>The Honorable Christine Gregoire</w:t>
      </w:r>
    </w:p>
    <w:p w:rsidR="008004AB" w:rsidRPr="00030619" w:rsidRDefault="008004AB" w:rsidP="008004AB">
      <w:pPr>
        <w:spacing w:after="0" w:line="240" w:lineRule="auto"/>
        <w:rPr>
          <w:sz w:val="24"/>
          <w:szCs w:val="24"/>
        </w:rPr>
      </w:pPr>
      <w:r w:rsidRPr="00030619">
        <w:rPr>
          <w:sz w:val="24"/>
          <w:szCs w:val="24"/>
        </w:rPr>
        <w:t>Washington State Governor</w:t>
      </w:r>
    </w:p>
    <w:p w:rsidR="008004AB" w:rsidRPr="00030619" w:rsidRDefault="008004AB" w:rsidP="008004AB">
      <w:pPr>
        <w:spacing w:after="0" w:line="240" w:lineRule="auto"/>
        <w:rPr>
          <w:sz w:val="24"/>
          <w:szCs w:val="24"/>
        </w:rPr>
      </w:pPr>
      <w:r w:rsidRPr="00030619">
        <w:rPr>
          <w:sz w:val="24"/>
          <w:szCs w:val="24"/>
        </w:rPr>
        <w:t>Legislative Building</w:t>
      </w:r>
    </w:p>
    <w:p w:rsidR="008004AB" w:rsidRPr="00030619" w:rsidRDefault="008004AB" w:rsidP="008004AB">
      <w:pPr>
        <w:spacing w:after="0" w:line="240" w:lineRule="auto"/>
        <w:rPr>
          <w:sz w:val="24"/>
          <w:szCs w:val="24"/>
        </w:rPr>
      </w:pPr>
      <w:r w:rsidRPr="00030619">
        <w:rPr>
          <w:sz w:val="24"/>
          <w:szCs w:val="24"/>
        </w:rPr>
        <w:t>Post Office Box 40002</w:t>
      </w:r>
    </w:p>
    <w:p w:rsidR="008004AB" w:rsidRPr="00030619" w:rsidRDefault="008004AB" w:rsidP="008004AB">
      <w:pPr>
        <w:spacing w:after="0" w:line="240" w:lineRule="auto"/>
        <w:rPr>
          <w:sz w:val="24"/>
          <w:szCs w:val="24"/>
        </w:rPr>
      </w:pPr>
      <w:r w:rsidRPr="00030619">
        <w:rPr>
          <w:sz w:val="24"/>
          <w:szCs w:val="24"/>
        </w:rPr>
        <w:t>Olympia, Washington  98504-0002</w:t>
      </w:r>
    </w:p>
    <w:p w:rsidR="008004AB" w:rsidRPr="00030619" w:rsidRDefault="008004AB" w:rsidP="00F65B73">
      <w:pPr>
        <w:autoSpaceDE w:val="0"/>
        <w:autoSpaceDN w:val="0"/>
        <w:adjustRightInd w:val="0"/>
        <w:rPr>
          <w:sz w:val="24"/>
          <w:szCs w:val="24"/>
        </w:rPr>
      </w:pPr>
    </w:p>
    <w:p w:rsidR="008004AB" w:rsidRPr="00030619" w:rsidRDefault="008004AB" w:rsidP="008004AB">
      <w:pPr>
        <w:autoSpaceDE w:val="0"/>
        <w:autoSpaceDN w:val="0"/>
        <w:adjustRightInd w:val="0"/>
        <w:spacing w:after="0"/>
        <w:rPr>
          <w:b/>
          <w:sz w:val="24"/>
          <w:szCs w:val="24"/>
        </w:rPr>
      </w:pPr>
      <w:r w:rsidRPr="00030619">
        <w:rPr>
          <w:b/>
          <w:sz w:val="24"/>
          <w:szCs w:val="24"/>
        </w:rPr>
        <w:t>Re:</w:t>
      </w:r>
      <w:r w:rsidRPr="00030619">
        <w:rPr>
          <w:b/>
          <w:sz w:val="24"/>
          <w:szCs w:val="24"/>
        </w:rPr>
        <w:tab/>
        <w:t xml:space="preserve">American Recovery and </w:t>
      </w:r>
      <w:r w:rsidR="0001695E">
        <w:rPr>
          <w:b/>
          <w:sz w:val="24"/>
          <w:szCs w:val="24"/>
        </w:rPr>
        <w:t>Reinvestment</w:t>
      </w:r>
      <w:r w:rsidRPr="00030619">
        <w:rPr>
          <w:b/>
          <w:sz w:val="24"/>
          <w:szCs w:val="24"/>
        </w:rPr>
        <w:t xml:space="preserve"> Act of 2009</w:t>
      </w:r>
    </w:p>
    <w:p w:rsidR="008004AB" w:rsidRPr="00030619" w:rsidRDefault="008004AB" w:rsidP="008004AB">
      <w:pPr>
        <w:autoSpaceDE w:val="0"/>
        <w:autoSpaceDN w:val="0"/>
        <w:adjustRightInd w:val="0"/>
        <w:spacing w:after="0"/>
        <w:rPr>
          <w:sz w:val="24"/>
          <w:szCs w:val="24"/>
        </w:rPr>
      </w:pPr>
    </w:p>
    <w:p w:rsidR="00F65B73" w:rsidRPr="00030619" w:rsidRDefault="00797ACA" w:rsidP="008004AB">
      <w:pPr>
        <w:autoSpaceDE w:val="0"/>
        <w:autoSpaceDN w:val="0"/>
        <w:adjustRightInd w:val="0"/>
        <w:spacing w:after="0"/>
        <w:rPr>
          <w:sz w:val="24"/>
          <w:szCs w:val="24"/>
        </w:rPr>
      </w:pPr>
      <w:r w:rsidRPr="00030619">
        <w:rPr>
          <w:sz w:val="24"/>
          <w:szCs w:val="24"/>
        </w:rPr>
        <w:t>Dear Governor Gregoire:</w:t>
      </w:r>
    </w:p>
    <w:p w:rsidR="008004AB" w:rsidRPr="00030619" w:rsidRDefault="008004AB" w:rsidP="008004AB">
      <w:pPr>
        <w:autoSpaceDE w:val="0"/>
        <w:autoSpaceDN w:val="0"/>
        <w:adjustRightInd w:val="0"/>
        <w:spacing w:after="0"/>
        <w:rPr>
          <w:sz w:val="24"/>
          <w:szCs w:val="24"/>
        </w:rPr>
      </w:pPr>
    </w:p>
    <w:p w:rsidR="004C2DDA" w:rsidRPr="00030619" w:rsidRDefault="00A2474A" w:rsidP="00DB7266">
      <w:pPr>
        <w:autoSpaceDE w:val="0"/>
        <w:autoSpaceDN w:val="0"/>
        <w:adjustRightInd w:val="0"/>
        <w:ind w:firstLine="720"/>
        <w:rPr>
          <w:sz w:val="24"/>
          <w:szCs w:val="24"/>
        </w:rPr>
      </w:pPr>
      <w:r w:rsidRPr="00030619">
        <w:rPr>
          <w:sz w:val="24"/>
          <w:szCs w:val="24"/>
        </w:rPr>
        <w:t>T</w:t>
      </w:r>
      <w:r w:rsidR="0001695E">
        <w:rPr>
          <w:sz w:val="24"/>
          <w:szCs w:val="24"/>
        </w:rPr>
        <w:t>he American Recovery and Reinvestment</w:t>
      </w:r>
      <w:r w:rsidR="00797ACA" w:rsidRPr="00030619">
        <w:rPr>
          <w:sz w:val="24"/>
          <w:szCs w:val="24"/>
        </w:rPr>
        <w:t xml:space="preserve"> Act of 2009 (H.R. 1) (ARRA), requires </w:t>
      </w:r>
      <w:r w:rsidRPr="00030619">
        <w:rPr>
          <w:sz w:val="24"/>
          <w:szCs w:val="24"/>
        </w:rPr>
        <w:t xml:space="preserve">that for a state to be eligible to receive State Energy Program (SEP) funding, the Governor must obtain from </w:t>
      </w:r>
      <w:r w:rsidR="00797ACA" w:rsidRPr="00030619">
        <w:rPr>
          <w:sz w:val="24"/>
          <w:szCs w:val="24"/>
        </w:rPr>
        <w:t xml:space="preserve">the “applicable State regulatory authority” certain “assurances” regarding state policies designed to encourage conservation. </w:t>
      </w:r>
      <w:r w:rsidR="004C2DDA" w:rsidRPr="00030619">
        <w:rPr>
          <w:sz w:val="24"/>
          <w:szCs w:val="24"/>
        </w:rPr>
        <w:t>Specifically, section 410(1) of the ARRA requires that you obtain assurances that</w:t>
      </w:r>
      <w:r w:rsidR="008004AB" w:rsidRPr="00030619">
        <w:rPr>
          <w:sz w:val="24"/>
          <w:szCs w:val="24"/>
        </w:rPr>
        <w:t>:</w:t>
      </w:r>
    </w:p>
    <w:p w:rsidR="004C2DDA" w:rsidRPr="00030619" w:rsidRDefault="004C2DDA" w:rsidP="00250750">
      <w:pPr>
        <w:autoSpaceDE w:val="0"/>
        <w:autoSpaceDN w:val="0"/>
        <w:adjustRightInd w:val="0"/>
        <w:ind w:left="720" w:right="720"/>
        <w:rPr>
          <w:sz w:val="24"/>
          <w:szCs w:val="24"/>
        </w:rPr>
      </w:pPr>
      <w:r w:rsidRPr="00030619">
        <w:rPr>
          <w:sz w:val="24"/>
          <w:szCs w:val="24"/>
        </w:rPr>
        <w:t>The applicable State regulatory authority will seek to implement, in appropriate proceedings for each electric and gas utility, with respect to which the State regulatory authority has ratemaking authority, a general policy that ensures that utility financial incentives are aligned with helping their customers use energy more efficiently and that provide timely cost recovery and a timely earnings opportunity for utilities associated with cost-effective measurable and verifiable efficiency savings, in a way that sustains or enhances utility customers’ incentives to use energy more efficiently.</w:t>
      </w:r>
    </w:p>
    <w:p w:rsidR="00F46213" w:rsidRPr="00030619" w:rsidRDefault="00797ACA" w:rsidP="00F65B73">
      <w:pPr>
        <w:autoSpaceDE w:val="0"/>
        <w:autoSpaceDN w:val="0"/>
        <w:adjustRightInd w:val="0"/>
        <w:ind w:firstLine="720"/>
        <w:rPr>
          <w:sz w:val="24"/>
          <w:szCs w:val="24"/>
        </w:rPr>
      </w:pPr>
      <w:r w:rsidRPr="00030619">
        <w:rPr>
          <w:sz w:val="24"/>
          <w:szCs w:val="24"/>
        </w:rPr>
        <w:t>By this letter, the Washington Utilities and Transportation Commission</w:t>
      </w:r>
      <w:r w:rsidR="008E4D38" w:rsidRPr="00030619">
        <w:rPr>
          <w:sz w:val="24"/>
          <w:szCs w:val="24"/>
        </w:rPr>
        <w:t xml:space="preserve"> (Commission</w:t>
      </w:r>
      <w:r w:rsidR="00DB7266" w:rsidRPr="00030619">
        <w:rPr>
          <w:sz w:val="24"/>
          <w:szCs w:val="24"/>
        </w:rPr>
        <w:t xml:space="preserve"> or UTC</w:t>
      </w:r>
      <w:r w:rsidR="008E4D38" w:rsidRPr="00030619">
        <w:rPr>
          <w:sz w:val="24"/>
          <w:szCs w:val="24"/>
        </w:rPr>
        <w:t>)</w:t>
      </w:r>
      <w:r w:rsidRPr="00030619">
        <w:rPr>
          <w:sz w:val="24"/>
          <w:szCs w:val="24"/>
        </w:rPr>
        <w:t xml:space="preserve">, as the “applicable State regulatory authority,” hereby provides the assurances required by </w:t>
      </w:r>
      <w:r w:rsidR="008E4D38" w:rsidRPr="00030619">
        <w:rPr>
          <w:sz w:val="24"/>
          <w:szCs w:val="24"/>
        </w:rPr>
        <w:t xml:space="preserve">section 410(1) of </w:t>
      </w:r>
      <w:r w:rsidRPr="00030619">
        <w:rPr>
          <w:sz w:val="24"/>
          <w:szCs w:val="24"/>
        </w:rPr>
        <w:t>the ARRA</w:t>
      </w:r>
      <w:r w:rsidR="00DB7266" w:rsidRPr="00030619">
        <w:rPr>
          <w:sz w:val="24"/>
          <w:szCs w:val="24"/>
        </w:rPr>
        <w:t xml:space="preserve"> for both electric and gas utilities under </w:t>
      </w:r>
      <w:r w:rsidR="00250750" w:rsidRPr="00030619">
        <w:rPr>
          <w:sz w:val="24"/>
          <w:szCs w:val="24"/>
        </w:rPr>
        <w:t>its</w:t>
      </w:r>
      <w:r w:rsidR="00DB7266" w:rsidRPr="00030619">
        <w:rPr>
          <w:sz w:val="24"/>
          <w:szCs w:val="24"/>
        </w:rPr>
        <w:t xml:space="preserve"> jurisdiction</w:t>
      </w:r>
      <w:r w:rsidRPr="00030619">
        <w:rPr>
          <w:sz w:val="24"/>
          <w:szCs w:val="24"/>
        </w:rPr>
        <w:t>.</w:t>
      </w:r>
      <w:r w:rsidR="00F65B73" w:rsidRPr="00030619">
        <w:rPr>
          <w:sz w:val="24"/>
          <w:szCs w:val="24"/>
        </w:rPr>
        <w:t xml:space="preserve"> </w:t>
      </w:r>
      <w:r w:rsidR="00DB7266" w:rsidRPr="00030619">
        <w:rPr>
          <w:sz w:val="24"/>
          <w:szCs w:val="24"/>
        </w:rPr>
        <w:t xml:space="preserve">The </w:t>
      </w:r>
      <w:r w:rsidR="00630284" w:rsidRPr="00030619">
        <w:rPr>
          <w:sz w:val="24"/>
          <w:szCs w:val="24"/>
        </w:rPr>
        <w:t xml:space="preserve">policies </w:t>
      </w:r>
      <w:r w:rsidR="00F46213" w:rsidRPr="00030619">
        <w:rPr>
          <w:sz w:val="24"/>
          <w:szCs w:val="24"/>
        </w:rPr>
        <w:t xml:space="preserve">implemented by the </w:t>
      </w:r>
      <w:r w:rsidR="00A2474A" w:rsidRPr="00030619">
        <w:rPr>
          <w:sz w:val="24"/>
          <w:szCs w:val="24"/>
        </w:rPr>
        <w:t>U</w:t>
      </w:r>
      <w:r w:rsidR="006C3A70" w:rsidRPr="00030619">
        <w:rPr>
          <w:sz w:val="24"/>
          <w:szCs w:val="24"/>
        </w:rPr>
        <w:t>TC</w:t>
      </w:r>
      <w:r w:rsidR="00F46213" w:rsidRPr="00030619">
        <w:rPr>
          <w:sz w:val="24"/>
          <w:szCs w:val="24"/>
        </w:rPr>
        <w:t xml:space="preserve">, as well as those currently under consideration, </w:t>
      </w:r>
      <w:r w:rsidR="00DB7266" w:rsidRPr="00030619">
        <w:rPr>
          <w:sz w:val="24"/>
          <w:szCs w:val="24"/>
        </w:rPr>
        <w:t>will continue to</w:t>
      </w:r>
      <w:r w:rsidR="00F46213" w:rsidRPr="00030619">
        <w:rPr>
          <w:sz w:val="24"/>
          <w:szCs w:val="24"/>
        </w:rPr>
        <w:t xml:space="preserve"> sustain and enhance </w:t>
      </w:r>
      <w:r w:rsidR="006C3A70" w:rsidRPr="00030619">
        <w:rPr>
          <w:sz w:val="24"/>
          <w:szCs w:val="24"/>
        </w:rPr>
        <w:t xml:space="preserve">the programs of UTC-regulated electric and natural gas </w:t>
      </w:r>
      <w:r w:rsidR="00F46213" w:rsidRPr="00030619">
        <w:rPr>
          <w:sz w:val="24"/>
          <w:szCs w:val="24"/>
        </w:rPr>
        <w:t>utilit</w:t>
      </w:r>
      <w:r w:rsidR="006C3A70" w:rsidRPr="00030619">
        <w:rPr>
          <w:sz w:val="24"/>
          <w:szCs w:val="24"/>
        </w:rPr>
        <w:t xml:space="preserve">ies </w:t>
      </w:r>
      <w:r w:rsidR="00F46213" w:rsidRPr="00030619">
        <w:rPr>
          <w:sz w:val="24"/>
          <w:szCs w:val="24"/>
        </w:rPr>
        <w:t>that encourage custo</w:t>
      </w:r>
      <w:r w:rsidR="008004AB" w:rsidRPr="00030619">
        <w:rPr>
          <w:sz w:val="24"/>
          <w:szCs w:val="24"/>
        </w:rPr>
        <w:t>mers to use energy efficiently.</w:t>
      </w:r>
    </w:p>
    <w:p w:rsidR="00630284" w:rsidRPr="00030619" w:rsidRDefault="00630284">
      <w:pPr>
        <w:rPr>
          <w:sz w:val="24"/>
          <w:szCs w:val="24"/>
          <w:u w:val="single"/>
        </w:rPr>
      </w:pPr>
      <w:r w:rsidRPr="00030619">
        <w:rPr>
          <w:sz w:val="24"/>
          <w:szCs w:val="24"/>
          <w:u w:val="single"/>
        </w:rPr>
        <w:lastRenderedPageBreak/>
        <w:t>Electric Utilities</w:t>
      </w:r>
    </w:p>
    <w:p w:rsidR="006C3A70" w:rsidRPr="00030619" w:rsidRDefault="00630284">
      <w:pPr>
        <w:rPr>
          <w:sz w:val="24"/>
          <w:szCs w:val="24"/>
        </w:rPr>
      </w:pPr>
      <w:r w:rsidRPr="00030619">
        <w:rPr>
          <w:sz w:val="24"/>
          <w:szCs w:val="24"/>
        </w:rPr>
        <w:tab/>
      </w:r>
      <w:r w:rsidR="009F33EF" w:rsidRPr="00030619">
        <w:rPr>
          <w:sz w:val="24"/>
          <w:szCs w:val="24"/>
        </w:rPr>
        <w:t>T</w:t>
      </w:r>
      <w:r w:rsidR="006C3A70" w:rsidRPr="00030619">
        <w:rPr>
          <w:sz w:val="24"/>
          <w:szCs w:val="24"/>
        </w:rPr>
        <w:t xml:space="preserve">he three investor-owned electric utilities regulated by the UTC (Puget Sound Energy, Avista, and PacifiCorp) operate conservation programs that meet or significantly exceed the utility specific conservation targets recommended by the Northwest Power and Conservation Council. </w:t>
      </w:r>
      <w:r w:rsidR="008552DE" w:rsidRPr="00030619">
        <w:rPr>
          <w:sz w:val="24"/>
          <w:szCs w:val="24"/>
        </w:rPr>
        <w:t xml:space="preserve">The implementation of </w:t>
      </w:r>
      <w:r w:rsidR="006C3A70" w:rsidRPr="00030619">
        <w:rPr>
          <w:sz w:val="24"/>
          <w:szCs w:val="24"/>
        </w:rPr>
        <w:t xml:space="preserve">State law and </w:t>
      </w:r>
      <w:r w:rsidR="008552DE" w:rsidRPr="00030619">
        <w:rPr>
          <w:sz w:val="24"/>
          <w:szCs w:val="24"/>
        </w:rPr>
        <w:t xml:space="preserve">UTC </w:t>
      </w:r>
      <w:r w:rsidR="006C3A70" w:rsidRPr="00030619">
        <w:rPr>
          <w:sz w:val="24"/>
          <w:szCs w:val="24"/>
        </w:rPr>
        <w:t>policy will ensure that this level of performance is maintained and enhanced.</w:t>
      </w:r>
    </w:p>
    <w:p w:rsidR="006C3A70" w:rsidRPr="00030619" w:rsidRDefault="006C3A70" w:rsidP="006C3A70">
      <w:pPr>
        <w:numPr>
          <w:ilvl w:val="0"/>
          <w:numId w:val="2"/>
        </w:numPr>
        <w:rPr>
          <w:sz w:val="24"/>
          <w:szCs w:val="24"/>
        </w:rPr>
      </w:pPr>
      <w:r w:rsidRPr="00030619">
        <w:rPr>
          <w:sz w:val="24"/>
          <w:szCs w:val="24"/>
        </w:rPr>
        <w:t>I</w:t>
      </w:r>
      <w:r w:rsidR="00DB7266" w:rsidRPr="00030619">
        <w:rPr>
          <w:sz w:val="24"/>
          <w:szCs w:val="24"/>
        </w:rPr>
        <w:t xml:space="preserve">nitiative </w:t>
      </w:r>
      <w:r w:rsidRPr="00030619">
        <w:rPr>
          <w:sz w:val="24"/>
          <w:szCs w:val="24"/>
        </w:rPr>
        <w:t>937 (codified as RCW 19.285.040</w:t>
      </w:r>
      <w:r w:rsidR="00DB7422" w:rsidRPr="00030619">
        <w:rPr>
          <w:sz w:val="24"/>
          <w:szCs w:val="24"/>
        </w:rPr>
        <w:t>, and implemented by the UTC at WAC 480-109-010</w:t>
      </w:r>
      <w:r w:rsidRPr="00030619">
        <w:rPr>
          <w:sz w:val="24"/>
          <w:szCs w:val="24"/>
        </w:rPr>
        <w:t xml:space="preserve">) </w:t>
      </w:r>
      <w:proofErr w:type="gramStart"/>
      <w:r w:rsidR="00DB7422" w:rsidRPr="00030619">
        <w:rPr>
          <w:sz w:val="24"/>
          <w:szCs w:val="24"/>
        </w:rPr>
        <w:t>requires</w:t>
      </w:r>
      <w:proofErr w:type="gramEnd"/>
      <w:r w:rsidR="00DB7422" w:rsidRPr="00030619">
        <w:rPr>
          <w:sz w:val="24"/>
          <w:szCs w:val="24"/>
        </w:rPr>
        <w:t xml:space="preserve"> electric utilities to achieve all cost-effective conservation beginning in 2010. Implementation of this law ensures that a</w:t>
      </w:r>
      <w:r w:rsidRPr="00030619">
        <w:rPr>
          <w:sz w:val="24"/>
          <w:szCs w:val="24"/>
        </w:rPr>
        <w:t xml:space="preserve">n electric utility’s </w:t>
      </w:r>
      <w:r w:rsidR="00DB7422" w:rsidRPr="00030619">
        <w:rPr>
          <w:sz w:val="24"/>
          <w:szCs w:val="24"/>
        </w:rPr>
        <w:t xml:space="preserve">financial incentives are aligned with helping </w:t>
      </w:r>
      <w:r w:rsidR="00F65B73" w:rsidRPr="00030619">
        <w:rPr>
          <w:sz w:val="24"/>
          <w:szCs w:val="24"/>
        </w:rPr>
        <w:t>its</w:t>
      </w:r>
      <w:r w:rsidR="00DB7422" w:rsidRPr="00030619">
        <w:rPr>
          <w:sz w:val="24"/>
          <w:szCs w:val="24"/>
        </w:rPr>
        <w:t xml:space="preserve"> customers use energy efficiently.</w:t>
      </w:r>
    </w:p>
    <w:p w:rsidR="00DB7422" w:rsidRPr="00030619" w:rsidRDefault="00DB7422" w:rsidP="006C3A70">
      <w:pPr>
        <w:numPr>
          <w:ilvl w:val="0"/>
          <w:numId w:val="2"/>
        </w:numPr>
        <w:rPr>
          <w:sz w:val="24"/>
          <w:szCs w:val="24"/>
        </w:rPr>
      </w:pPr>
      <w:r w:rsidRPr="00030619">
        <w:rPr>
          <w:sz w:val="24"/>
          <w:szCs w:val="24"/>
        </w:rPr>
        <w:t xml:space="preserve">All three electric utilities regulated by the UTC recover the cost of their customer conservation programs on a timely, pay-as-you-go, basis. Such cost-recovery ensures that the </w:t>
      </w:r>
      <w:r w:rsidR="00DD020F" w:rsidRPr="00030619">
        <w:rPr>
          <w:sz w:val="24"/>
          <w:szCs w:val="24"/>
        </w:rPr>
        <w:t xml:space="preserve">direct cost of conservation </w:t>
      </w:r>
      <w:r w:rsidRPr="00030619">
        <w:rPr>
          <w:sz w:val="24"/>
          <w:szCs w:val="24"/>
        </w:rPr>
        <w:t>programs impose</w:t>
      </w:r>
      <w:r w:rsidR="00DD020F" w:rsidRPr="00030619">
        <w:rPr>
          <w:sz w:val="24"/>
          <w:szCs w:val="24"/>
        </w:rPr>
        <w:t>s</w:t>
      </w:r>
      <w:r w:rsidRPr="00030619">
        <w:rPr>
          <w:sz w:val="24"/>
          <w:szCs w:val="24"/>
        </w:rPr>
        <w:t xml:space="preserve"> neither a cash-flow, nor an earnings disincentive for the utilities. </w:t>
      </w:r>
    </w:p>
    <w:p w:rsidR="00DF2B44" w:rsidRPr="00030619" w:rsidRDefault="00DB7422" w:rsidP="006C3A70">
      <w:pPr>
        <w:numPr>
          <w:ilvl w:val="0"/>
          <w:numId w:val="2"/>
        </w:numPr>
        <w:rPr>
          <w:sz w:val="24"/>
          <w:szCs w:val="24"/>
        </w:rPr>
      </w:pPr>
      <w:r w:rsidRPr="00030619">
        <w:rPr>
          <w:sz w:val="24"/>
          <w:szCs w:val="24"/>
        </w:rPr>
        <w:t xml:space="preserve">The UTC has initiated a rulemaking </w:t>
      </w:r>
      <w:r w:rsidR="00DB7266" w:rsidRPr="00030619">
        <w:rPr>
          <w:sz w:val="24"/>
          <w:szCs w:val="24"/>
        </w:rPr>
        <w:t xml:space="preserve">proceeding </w:t>
      </w:r>
      <w:r w:rsidRPr="00030619">
        <w:rPr>
          <w:sz w:val="24"/>
          <w:szCs w:val="24"/>
        </w:rPr>
        <w:t xml:space="preserve">to </w:t>
      </w:r>
      <w:r w:rsidR="00DF2B44" w:rsidRPr="00030619">
        <w:rPr>
          <w:sz w:val="24"/>
          <w:szCs w:val="24"/>
        </w:rPr>
        <w:t xml:space="preserve">determine whether customers would benefit from the commission adopting </w:t>
      </w:r>
      <w:r w:rsidRPr="00030619">
        <w:rPr>
          <w:sz w:val="24"/>
          <w:szCs w:val="24"/>
        </w:rPr>
        <w:t>the Public Utility Regulatory Policy Act (PURPA)</w:t>
      </w:r>
      <w:r w:rsidR="00F65B73" w:rsidRPr="00030619">
        <w:rPr>
          <w:sz w:val="24"/>
          <w:szCs w:val="24"/>
        </w:rPr>
        <w:t xml:space="preserve"> </w:t>
      </w:r>
      <w:r w:rsidRPr="00030619">
        <w:rPr>
          <w:sz w:val="24"/>
          <w:szCs w:val="24"/>
        </w:rPr>
        <w:t xml:space="preserve">standards </w:t>
      </w:r>
      <w:r w:rsidR="00274D74" w:rsidRPr="00030619">
        <w:rPr>
          <w:sz w:val="24"/>
          <w:szCs w:val="24"/>
        </w:rPr>
        <w:t xml:space="preserve">promoting </w:t>
      </w:r>
      <w:r w:rsidR="00AC5ACE" w:rsidRPr="00030619">
        <w:rPr>
          <w:sz w:val="24"/>
          <w:szCs w:val="24"/>
        </w:rPr>
        <w:t xml:space="preserve">electric </w:t>
      </w:r>
      <w:r w:rsidR="00274D74" w:rsidRPr="00030619">
        <w:rPr>
          <w:sz w:val="24"/>
          <w:szCs w:val="24"/>
        </w:rPr>
        <w:t xml:space="preserve">energy efficiency, rate decoupling, and smart grid technology that are </w:t>
      </w:r>
      <w:r w:rsidRPr="00030619">
        <w:rPr>
          <w:sz w:val="24"/>
          <w:szCs w:val="24"/>
        </w:rPr>
        <w:t xml:space="preserve">included in the federal Energy </w:t>
      </w:r>
      <w:r w:rsidR="00DF2B44" w:rsidRPr="00030619">
        <w:rPr>
          <w:sz w:val="24"/>
          <w:szCs w:val="24"/>
        </w:rPr>
        <w:t xml:space="preserve">Independence and Security Act of </w:t>
      </w:r>
      <w:r w:rsidRPr="00030619">
        <w:rPr>
          <w:sz w:val="24"/>
          <w:szCs w:val="24"/>
        </w:rPr>
        <w:t>2007</w:t>
      </w:r>
      <w:r w:rsidR="00DF2B44" w:rsidRPr="00030619">
        <w:rPr>
          <w:sz w:val="24"/>
          <w:szCs w:val="24"/>
        </w:rPr>
        <w:t xml:space="preserve"> (EISA).</w:t>
      </w:r>
    </w:p>
    <w:p w:rsidR="00630284" w:rsidRPr="00030619" w:rsidRDefault="00DF2B44" w:rsidP="00DF2B44">
      <w:pPr>
        <w:numPr>
          <w:ilvl w:val="0"/>
          <w:numId w:val="2"/>
        </w:numPr>
        <w:rPr>
          <w:sz w:val="24"/>
          <w:szCs w:val="24"/>
        </w:rPr>
      </w:pPr>
      <w:r w:rsidRPr="00030619">
        <w:rPr>
          <w:sz w:val="24"/>
          <w:szCs w:val="24"/>
        </w:rPr>
        <w:t xml:space="preserve">Under the authority granted the UTC in </w:t>
      </w:r>
      <w:r w:rsidR="00630284" w:rsidRPr="00030619">
        <w:rPr>
          <w:sz w:val="24"/>
          <w:szCs w:val="24"/>
        </w:rPr>
        <w:t>RCW 80.280.260</w:t>
      </w:r>
      <w:r w:rsidRPr="00030619">
        <w:rPr>
          <w:sz w:val="24"/>
          <w:szCs w:val="24"/>
        </w:rPr>
        <w:t>(2)</w:t>
      </w:r>
      <w:r w:rsidR="00DC0C40" w:rsidRPr="00030619">
        <w:rPr>
          <w:sz w:val="24"/>
          <w:szCs w:val="24"/>
        </w:rPr>
        <w:t>-</w:t>
      </w:r>
      <w:r w:rsidRPr="00030619">
        <w:rPr>
          <w:sz w:val="24"/>
          <w:szCs w:val="24"/>
        </w:rPr>
        <w:t xml:space="preserve">(3), the UTC approved a </w:t>
      </w:r>
      <w:r w:rsidR="00DC0C40" w:rsidRPr="00030619">
        <w:rPr>
          <w:sz w:val="24"/>
          <w:szCs w:val="24"/>
        </w:rPr>
        <w:t>three</w:t>
      </w:r>
      <w:r w:rsidRPr="00030619">
        <w:rPr>
          <w:sz w:val="24"/>
          <w:szCs w:val="24"/>
        </w:rPr>
        <w:t>-year conservation performance incentive program proposed by Puget Sound Energy</w:t>
      </w:r>
      <w:r w:rsidR="00830A64" w:rsidRPr="00030619">
        <w:rPr>
          <w:sz w:val="24"/>
          <w:szCs w:val="24"/>
        </w:rPr>
        <w:t xml:space="preserve"> (PSE)</w:t>
      </w:r>
      <w:r w:rsidRPr="00030619">
        <w:rPr>
          <w:sz w:val="24"/>
          <w:szCs w:val="24"/>
        </w:rPr>
        <w:t xml:space="preserve">. This </w:t>
      </w:r>
      <w:r w:rsidR="00830A64" w:rsidRPr="00030619">
        <w:rPr>
          <w:sz w:val="24"/>
          <w:szCs w:val="24"/>
        </w:rPr>
        <w:t xml:space="preserve">three-year </w:t>
      </w:r>
      <w:r w:rsidRPr="00030619">
        <w:rPr>
          <w:sz w:val="24"/>
          <w:szCs w:val="24"/>
        </w:rPr>
        <w:t>program provides a direct incentive for superior conservation performance and a direct penalty for failure to perform.</w:t>
      </w:r>
      <w:r w:rsidR="00DD020F" w:rsidRPr="00030619">
        <w:rPr>
          <w:sz w:val="24"/>
          <w:szCs w:val="24"/>
        </w:rPr>
        <w:t xml:space="preserve">  </w:t>
      </w:r>
      <w:r w:rsidR="00830A64" w:rsidRPr="00030619">
        <w:rPr>
          <w:sz w:val="24"/>
          <w:szCs w:val="24"/>
        </w:rPr>
        <w:t xml:space="preserve">Under the program, PSE has increased its conservation performance substantially. </w:t>
      </w:r>
      <w:r w:rsidR="00DD020F" w:rsidRPr="00030619">
        <w:rPr>
          <w:sz w:val="24"/>
          <w:szCs w:val="24"/>
        </w:rPr>
        <w:t xml:space="preserve">The UTC will consider </w:t>
      </w:r>
      <w:r w:rsidR="00F65B73" w:rsidRPr="00030619">
        <w:rPr>
          <w:sz w:val="24"/>
          <w:szCs w:val="24"/>
        </w:rPr>
        <w:t xml:space="preserve">whether </w:t>
      </w:r>
      <w:r w:rsidR="00AC5ACE" w:rsidRPr="00030619">
        <w:rPr>
          <w:sz w:val="24"/>
          <w:szCs w:val="24"/>
        </w:rPr>
        <w:t xml:space="preserve">other </w:t>
      </w:r>
      <w:r w:rsidR="00DD020F" w:rsidRPr="00030619">
        <w:rPr>
          <w:sz w:val="24"/>
          <w:szCs w:val="24"/>
        </w:rPr>
        <w:t xml:space="preserve">such programs proposed by utilities </w:t>
      </w:r>
      <w:r w:rsidR="00AC5ACE" w:rsidRPr="00030619">
        <w:rPr>
          <w:sz w:val="24"/>
          <w:szCs w:val="24"/>
        </w:rPr>
        <w:t xml:space="preserve">would provide an incremental benefit </w:t>
      </w:r>
      <w:r w:rsidR="00DD020F" w:rsidRPr="00030619">
        <w:rPr>
          <w:sz w:val="24"/>
          <w:szCs w:val="24"/>
        </w:rPr>
        <w:t>in the context of the new conservation mandates beginning 2010 under RCW 19.285.040</w:t>
      </w:r>
      <w:r w:rsidR="00083CF8" w:rsidRPr="00030619">
        <w:rPr>
          <w:sz w:val="24"/>
          <w:szCs w:val="24"/>
        </w:rPr>
        <w:t xml:space="preserve"> and our mandate to regulate in the public interest</w:t>
      </w:r>
      <w:r w:rsidR="00DD020F" w:rsidRPr="00030619">
        <w:rPr>
          <w:sz w:val="24"/>
          <w:szCs w:val="24"/>
        </w:rPr>
        <w:t>.</w:t>
      </w:r>
      <w:r w:rsidR="00630284" w:rsidRPr="00030619">
        <w:rPr>
          <w:sz w:val="24"/>
          <w:szCs w:val="24"/>
        </w:rPr>
        <w:t xml:space="preserve"> </w:t>
      </w:r>
    </w:p>
    <w:p w:rsidR="00970A08" w:rsidRPr="00030619" w:rsidRDefault="00970A08">
      <w:pPr>
        <w:rPr>
          <w:sz w:val="24"/>
          <w:szCs w:val="24"/>
          <w:u w:val="single"/>
        </w:rPr>
      </w:pPr>
      <w:r w:rsidRPr="00030619">
        <w:rPr>
          <w:sz w:val="24"/>
          <w:szCs w:val="24"/>
          <w:u w:val="single"/>
        </w:rPr>
        <w:t>Natural Gas Utilities</w:t>
      </w:r>
    </w:p>
    <w:p w:rsidR="00DD020F" w:rsidRPr="00030619" w:rsidRDefault="00DD020F">
      <w:pPr>
        <w:rPr>
          <w:sz w:val="24"/>
          <w:szCs w:val="24"/>
        </w:rPr>
      </w:pPr>
      <w:r w:rsidRPr="00030619">
        <w:rPr>
          <w:sz w:val="24"/>
          <w:szCs w:val="24"/>
        </w:rPr>
        <w:tab/>
      </w:r>
      <w:r w:rsidR="009F33EF" w:rsidRPr="00030619">
        <w:rPr>
          <w:sz w:val="24"/>
          <w:szCs w:val="24"/>
        </w:rPr>
        <w:t>A</w:t>
      </w:r>
      <w:r w:rsidRPr="00030619">
        <w:rPr>
          <w:sz w:val="24"/>
          <w:szCs w:val="24"/>
        </w:rPr>
        <w:t xml:space="preserve">ll four natural gas utilities regulated by the UTC (Avista, Cascade, Northwest Natural and Puget Sound Energy) offer customer conservation programs.  In contrast to electric utilities, there are no regional targets against which to compare conservation performance for the natural </w:t>
      </w:r>
      <w:r w:rsidRPr="00030619">
        <w:rPr>
          <w:sz w:val="24"/>
          <w:szCs w:val="24"/>
        </w:rPr>
        <w:lastRenderedPageBreak/>
        <w:t>gas utilities.  The UTC’s policies and actions to promote cost-effective, measurable and verifiable conservation include the following.</w:t>
      </w:r>
    </w:p>
    <w:p w:rsidR="00DD020F" w:rsidRPr="00030619" w:rsidRDefault="00DD020F" w:rsidP="00DD020F">
      <w:pPr>
        <w:numPr>
          <w:ilvl w:val="0"/>
          <w:numId w:val="3"/>
        </w:numPr>
        <w:rPr>
          <w:sz w:val="24"/>
          <w:szCs w:val="24"/>
        </w:rPr>
      </w:pPr>
      <w:r w:rsidRPr="00030619">
        <w:rPr>
          <w:sz w:val="24"/>
          <w:szCs w:val="24"/>
        </w:rPr>
        <w:t xml:space="preserve">WAC 480-90-238 (Integrated Resource Planning) requires natural gas utilities to complete resource plans every two years that </w:t>
      </w:r>
      <w:r w:rsidR="00917B2C" w:rsidRPr="00030619">
        <w:rPr>
          <w:sz w:val="24"/>
          <w:szCs w:val="24"/>
        </w:rPr>
        <w:t xml:space="preserve">must </w:t>
      </w:r>
      <w:r w:rsidRPr="00030619">
        <w:rPr>
          <w:sz w:val="24"/>
          <w:szCs w:val="24"/>
        </w:rPr>
        <w:t xml:space="preserve">include an assessment of cost-effective conservation and  </w:t>
      </w:r>
      <w:r w:rsidR="00AA2B93" w:rsidRPr="00030619">
        <w:rPr>
          <w:sz w:val="24"/>
          <w:szCs w:val="24"/>
        </w:rPr>
        <w:t xml:space="preserve">a short-term </w:t>
      </w:r>
      <w:r w:rsidR="00917B2C" w:rsidRPr="00030619">
        <w:rPr>
          <w:sz w:val="24"/>
          <w:szCs w:val="24"/>
        </w:rPr>
        <w:t xml:space="preserve">strategy </w:t>
      </w:r>
      <w:r w:rsidR="00AA2B93" w:rsidRPr="00030619">
        <w:rPr>
          <w:sz w:val="24"/>
          <w:szCs w:val="24"/>
        </w:rPr>
        <w:t>to implement its lowest reasonable cost resource plan – including cost-effective customer conservation programs.</w:t>
      </w:r>
    </w:p>
    <w:p w:rsidR="00AA2B93" w:rsidRPr="00030619" w:rsidRDefault="00AA2B93" w:rsidP="00DD020F">
      <w:pPr>
        <w:numPr>
          <w:ilvl w:val="0"/>
          <w:numId w:val="3"/>
        </w:numPr>
        <w:rPr>
          <w:sz w:val="24"/>
          <w:szCs w:val="24"/>
        </w:rPr>
      </w:pPr>
      <w:r w:rsidRPr="00030619">
        <w:rPr>
          <w:sz w:val="24"/>
          <w:szCs w:val="24"/>
        </w:rPr>
        <w:t>All four natural gas utilities regulated by the UTC recover the cost of their customer conservation programs on a timely, pay-as-you-go, basis. Such cost-recovery ensures that the direct cost of conservation programs imposes neither a cash-flow, nor an earnings disincentive for the utilities.</w:t>
      </w:r>
    </w:p>
    <w:p w:rsidR="00AA2B93" w:rsidRPr="00030619" w:rsidRDefault="00AA2B93" w:rsidP="00AA2B93">
      <w:pPr>
        <w:numPr>
          <w:ilvl w:val="0"/>
          <w:numId w:val="3"/>
        </w:numPr>
        <w:rPr>
          <w:sz w:val="24"/>
          <w:szCs w:val="24"/>
        </w:rPr>
      </w:pPr>
      <w:r w:rsidRPr="00030619">
        <w:rPr>
          <w:sz w:val="24"/>
          <w:szCs w:val="24"/>
        </w:rPr>
        <w:t>Under the authority granted the UTC in RCW 80.280.260(2)</w:t>
      </w:r>
      <w:r w:rsidR="00DC0C40" w:rsidRPr="00030619">
        <w:rPr>
          <w:sz w:val="24"/>
          <w:szCs w:val="24"/>
        </w:rPr>
        <w:t>-</w:t>
      </w:r>
      <w:r w:rsidRPr="00030619">
        <w:rPr>
          <w:sz w:val="24"/>
          <w:szCs w:val="24"/>
        </w:rPr>
        <w:t xml:space="preserve">(3), the UTC approved so-called decoupling pilot programs for Avista and Cascade Natural Gas in 2006. These programs </w:t>
      </w:r>
      <w:r w:rsidR="00AC5ACE" w:rsidRPr="00030619">
        <w:rPr>
          <w:sz w:val="24"/>
          <w:szCs w:val="24"/>
        </w:rPr>
        <w:t>are</w:t>
      </w:r>
      <w:r w:rsidRPr="00030619">
        <w:rPr>
          <w:sz w:val="24"/>
          <w:szCs w:val="24"/>
        </w:rPr>
        <w:t xml:space="preserve"> designed to measure whether this ratemaking tool will improve conservation performance. Evaluations of the programs will be completed this calendar year and will provide the information necessary for the UTC to determine whether such programs are beneficial to customers and achieve their goal of enhancing cost-effective, measurable and verifiable efficiency savings.</w:t>
      </w:r>
    </w:p>
    <w:p w:rsidR="00AA2B93" w:rsidRPr="00030619" w:rsidRDefault="00AA2B93" w:rsidP="00AA2B93">
      <w:pPr>
        <w:numPr>
          <w:ilvl w:val="0"/>
          <w:numId w:val="2"/>
        </w:numPr>
        <w:rPr>
          <w:sz w:val="24"/>
          <w:szCs w:val="24"/>
        </w:rPr>
      </w:pPr>
      <w:r w:rsidRPr="00030619">
        <w:rPr>
          <w:sz w:val="24"/>
          <w:szCs w:val="24"/>
        </w:rPr>
        <w:t xml:space="preserve">The UTC has initiated a rulemaking </w:t>
      </w:r>
      <w:r w:rsidR="00DB7266" w:rsidRPr="00030619">
        <w:rPr>
          <w:sz w:val="24"/>
          <w:szCs w:val="24"/>
        </w:rPr>
        <w:t xml:space="preserve">proceeding </w:t>
      </w:r>
      <w:r w:rsidRPr="00030619">
        <w:rPr>
          <w:sz w:val="24"/>
          <w:szCs w:val="24"/>
        </w:rPr>
        <w:t xml:space="preserve">to determine whether customers would benefit from the commission adopting the Public Utility Regulatory Policy Act (PURPA) standards </w:t>
      </w:r>
      <w:r w:rsidR="00274D74" w:rsidRPr="00030619">
        <w:rPr>
          <w:sz w:val="24"/>
          <w:szCs w:val="24"/>
        </w:rPr>
        <w:t xml:space="preserve">promoting </w:t>
      </w:r>
      <w:r w:rsidR="00AC5ACE" w:rsidRPr="00030619">
        <w:rPr>
          <w:sz w:val="24"/>
          <w:szCs w:val="24"/>
        </w:rPr>
        <w:t xml:space="preserve">natural gas </w:t>
      </w:r>
      <w:r w:rsidR="00274D74" w:rsidRPr="00030619">
        <w:rPr>
          <w:sz w:val="24"/>
          <w:szCs w:val="24"/>
        </w:rPr>
        <w:t xml:space="preserve">energy efficiency and rate decoupling that are </w:t>
      </w:r>
      <w:r w:rsidRPr="00030619">
        <w:rPr>
          <w:sz w:val="24"/>
          <w:szCs w:val="24"/>
        </w:rPr>
        <w:t>included in the federal Energy Independence and Security Act of 2007 (EISA).</w:t>
      </w:r>
    </w:p>
    <w:p w:rsidR="00250750" w:rsidRPr="00030619" w:rsidRDefault="00AF26AA" w:rsidP="00DB7266">
      <w:pPr>
        <w:ind w:firstLine="360"/>
        <w:rPr>
          <w:sz w:val="24"/>
          <w:szCs w:val="24"/>
        </w:rPr>
      </w:pPr>
      <w:r w:rsidRPr="00030619">
        <w:rPr>
          <w:sz w:val="24"/>
          <w:szCs w:val="24"/>
        </w:rPr>
        <w:t xml:space="preserve">As a matter of policy, the </w:t>
      </w:r>
      <w:r w:rsidR="00970A08" w:rsidRPr="00030619">
        <w:rPr>
          <w:sz w:val="24"/>
          <w:szCs w:val="24"/>
        </w:rPr>
        <w:t>UTC is committed to promoting cost-effective conservation as a</w:t>
      </w:r>
      <w:r w:rsidRPr="00030619">
        <w:rPr>
          <w:sz w:val="24"/>
          <w:szCs w:val="24"/>
        </w:rPr>
        <w:t xml:space="preserve"> </w:t>
      </w:r>
      <w:r w:rsidR="00970A08" w:rsidRPr="00030619">
        <w:rPr>
          <w:sz w:val="24"/>
          <w:szCs w:val="24"/>
        </w:rPr>
        <w:t>priority resource, consistent with state and federal statute. Our efforts have focused on regulatory tools that yield practical, measurable and cost-effective results for customers</w:t>
      </w:r>
      <w:r w:rsidR="00250750" w:rsidRPr="00030619">
        <w:rPr>
          <w:sz w:val="24"/>
          <w:szCs w:val="24"/>
        </w:rPr>
        <w:t xml:space="preserve"> and, in our view, are adequate to meet the conditions described in section 410(1) of the ARRA</w:t>
      </w:r>
      <w:r w:rsidR="00970A08" w:rsidRPr="00030619">
        <w:rPr>
          <w:sz w:val="24"/>
          <w:szCs w:val="24"/>
        </w:rPr>
        <w:t>.</w:t>
      </w:r>
      <w:r w:rsidR="009F33EF" w:rsidRPr="00030619">
        <w:rPr>
          <w:sz w:val="24"/>
          <w:szCs w:val="24"/>
        </w:rPr>
        <w:t xml:space="preserve">  </w:t>
      </w:r>
    </w:p>
    <w:p w:rsidR="00A2474A" w:rsidRPr="00030619" w:rsidRDefault="00250750" w:rsidP="00A2474A">
      <w:pPr>
        <w:ind w:firstLine="360"/>
        <w:rPr>
          <w:sz w:val="24"/>
          <w:szCs w:val="24"/>
        </w:rPr>
      </w:pPr>
      <w:r w:rsidRPr="00030619">
        <w:rPr>
          <w:sz w:val="24"/>
          <w:szCs w:val="24"/>
        </w:rPr>
        <w:t>If you have any questions or need further information, p</w:t>
      </w:r>
      <w:r w:rsidR="009F33EF" w:rsidRPr="00030619">
        <w:rPr>
          <w:sz w:val="24"/>
          <w:szCs w:val="24"/>
        </w:rPr>
        <w:t xml:space="preserve">lease contact </w:t>
      </w:r>
      <w:r w:rsidRPr="00030619">
        <w:rPr>
          <w:sz w:val="24"/>
          <w:szCs w:val="24"/>
        </w:rPr>
        <w:t xml:space="preserve">me </w:t>
      </w:r>
      <w:r w:rsidR="00A2474A" w:rsidRPr="00030619">
        <w:rPr>
          <w:sz w:val="24"/>
          <w:szCs w:val="24"/>
        </w:rPr>
        <w:t xml:space="preserve">at (360) 664-1208 </w:t>
      </w:r>
      <w:r w:rsidRPr="00030619">
        <w:rPr>
          <w:sz w:val="24"/>
          <w:szCs w:val="24"/>
        </w:rPr>
        <w:t xml:space="preserve">or </w:t>
      </w:r>
      <w:r w:rsidR="008E4D38" w:rsidRPr="00030619">
        <w:rPr>
          <w:sz w:val="24"/>
          <w:szCs w:val="24"/>
        </w:rPr>
        <w:t>Dick Byers</w:t>
      </w:r>
      <w:r w:rsidRPr="00030619">
        <w:rPr>
          <w:sz w:val="24"/>
          <w:szCs w:val="24"/>
        </w:rPr>
        <w:t xml:space="preserve">, Senior Policy Advisor, </w:t>
      </w:r>
      <w:r w:rsidR="008E4D38" w:rsidRPr="00030619">
        <w:rPr>
          <w:sz w:val="24"/>
          <w:szCs w:val="24"/>
        </w:rPr>
        <w:t>at</w:t>
      </w:r>
      <w:r w:rsidRPr="00030619">
        <w:rPr>
          <w:sz w:val="24"/>
          <w:szCs w:val="24"/>
        </w:rPr>
        <w:t xml:space="preserve"> (360) 664-1209</w:t>
      </w:r>
      <w:r w:rsidR="00A2474A" w:rsidRPr="00030619">
        <w:rPr>
          <w:sz w:val="24"/>
          <w:szCs w:val="24"/>
        </w:rPr>
        <w:t>.</w:t>
      </w:r>
    </w:p>
    <w:p w:rsidR="009F33EF" w:rsidRPr="00030619" w:rsidRDefault="00A2474A" w:rsidP="00A2474A">
      <w:pPr>
        <w:rPr>
          <w:sz w:val="24"/>
          <w:szCs w:val="24"/>
        </w:rPr>
      </w:pPr>
      <w:r w:rsidRPr="00030619">
        <w:rPr>
          <w:sz w:val="24"/>
          <w:szCs w:val="24"/>
        </w:rPr>
        <w:t>S</w:t>
      </w:r>
      <w:r w:rsidR="009F33EF" w:rsidRPr="00030619">
        <w:rPr>
          <w:sz w:val="24"/>
          <w:szCs w:val="24"/>
        </w:rPr>
        <w:t xml:space="preserve">incerely, </w:t>
      </w:r>
    </w:p>
    <w:p w:rsidR="009F33EF" w:rsidRPr="00030619" w:rsidRDefault="009F33EF">
      <w:pPr>
        <w:rPr>
          <w:sz w:val="24"/>
          <w:szCs w:val="24"/>
        </w:rPr>
      </w:pPr>
    </w:p>
    <w:p w:rsidR="00A2474A" w:rsidRPr="00030619" w:rsidRDefault="00A2474A" w:rsidP="008004AB">
      <w:pPr>
        <w:spacing w:after="0"/>
        <w:rPr>
          <w:sz w:val="24"/>
          <w:szCs w:val="24"/>
        </w:rPr>
      </w:pPr>
      <w:r w:rsidRPr="00030619">
        <w:rPr>
          <w:sz w:val="24"/>
          <w:szCs w:val="24"/>
        </w:rPr>
        <w:t>David W. Danner</w:t>
      </w:r>
    </w:p>
    <w:p w:rsidR="009F33EF" w:rsidRPr="00030619" w:rsidRDefault="00A2474A" w:rsidP="00030619">
      <w:pPr>
        <w:spacing w:after="0"/>
        <w:rPr>
          <w:sz w:val="24"/>
          <w:szCs w:val="24"/>
        </w:rPr>
      </w:pPr>
      <w:r w:rsidRPr="00030619">
        <w:rPr>
          <w:sz w:val="24"/>
          <w:szCs w:val="24"/>
        </w:rPr>
        <w:t>Executive Director</w:t>
      </w:r>
    </w:p>
    <w:sectPr w:rsidR="009F33EF" w:rsidRPr="00030619" w:rsidSect="008004AB">
      <w:headerReference w:type="default" r:id="rId7"/>
      <w:pgSz w:w="12240" w:h="15840" w:code="1"/>
      <w:pgMar w:top="1440" w:right="1440" w:bottom="1440" w:left="1440" w:header="720" w:footer="720" w:gutter="0"/>
      <w:paperSrc w:first="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AF" w:rsidRDefault="007612AF" w:rsidP="008004AB">
      <w:pPr>
        <w:spacing w:after="0" w:line="240" w:lineRule="auto"/>
      </w:pPr>
      <w:r>
        <w:separator/>
      </w:r>
    </w:p>
  </w:endnote>
  <w:endnote w:type="continuationSeparator" w:id="1">
    <w:p w:rsidR="007612AF" w:rsidRDefault="007612AF" w:rsidP="00800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AF" w:rsidRDefault="007612AF" w:rsidP="008004AB">
      <w:pPr>
        <w:spacing w:after="0" w:line="240" w:lineRule="auto"/>
      </w:pPr>
      <w:r>
        <w:separator/>
      </w:r>
    </w:p>
  </w:footnote>
  <w:footnote w:type="continuationSeparator" w:id="1">
    <w:p w:rsidR="007612AF" w:rsidRDefault="007612AF" w:rsidP="008004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2AF" w:rsidRPr="008004AB" w:rsidRDefault="007612AF" w:rsidP="008004AB">
    <w:pPr>
      <w:pStyle w:val="Header"/>
      <w:spacing w:after="0"/>
      <w:rPr>
        <w:sz w:val="24"/>
        <w:szCs w:val="24"/>
      </w:rPr>
    </w:pPr>
  </w:p>
  <w:p w:rsidR="007612AF" w:rsidRPr="008004AB" w:rsidRDefault="007612AF" w:rsidP="008004AB">
    <w:pPr>
      <w:pStyle w:val="Header"/>
      <w:spacing w:after="0"/>
      <w:rPr>
        <w:sz w:val="24"/>
        <w:szCs w:val="24"/>
      </w:rPr>
    </w:pPr>
    <w:r w:rsidRPr="008004AB">
      <w:rPr>
        <w:sz w:val="24"/>
        <w:szCs w:val="24"/>
      </w:rPr>
      <w:t>The Honorable Christine Gregoire</w:t>
    </w:r>
  </w:p>
  <w:p w:rsidR="007612AF" w:rsidRPr="008004AB" w:rsidRDefault="007612AF" w:rsidP="008004AB">
    <w:pPr>
      <w:pStyle w:val="Header"/>
      <w:spacing w:after="0"/>
      <w:rPr>
        <w:sz w:val="24"/>
        <w:szCs w:val="24"/>
      </w:rPr>
    </w:pPr>
    <w:r w:rsidRPr="008004AB">
      <w:rPr>
        <w:sz w:val="24"/>
        <w:szCs w:val="24"/>
      </w:rPr>
      <w:t>February 2</w:t>
    </w:r>
    <w:r w:rsidR="00D35A5F">
      <w:rPr>
        <w:sz w:val="24"/>
        <w:szCs w:val="24"/>
      </w:rPr>
      <w:t>6</w:t>
    </w:r>
    <w:r w:rsidRPr="008004AB">
      <w:rPr>
        <w:sz w:val="24"/>
        <w:szCs w:val="24"/>
      </w:rPr>
      <w:t>, 2009</w:t>
    </w:r>
  </w:p>
  <w:p w:rsidR="007612AF" w:rsidRPr="008004AB" w:rsidRDefault="007612AF" w:rsidP="008004AB">
    <w:pPr>
      <w:spacing w:after="0"/>
      <w:rPr>
        <w:sz w:val="24"/>
        <w:szCs w:val="24"/>
      </w:rPr>
    </w:pPr>
    <w:r w:rsidRPr="008004AB">
      <w:rPr>
        <w:sz w:val="24"/>
        <w:szCs w:val="24"/>
      </w:rPr>
      <w:t xml:space="preserve">Page </w:t>
    </w:r>
    <w:r w:rsidR="00C737FA" w:rsidRPr="008004AB">
      <w:rPr>
        <w:sz w:val="24"/>
        <w:szCs w:val="24"/>
      </w:rPr>
      <w:fldChar w:fldCharType="begin"/>
    </w:r>
    <w:r w:rsidRPr="008004AB">
      <w:rPr>
        <w:sz w:val="24"/>
        <w:szCs w:val="24"/>
      </w:rPr>
      <w:instrText xml:space="preserve"> PAGE </w:instrText>
    </w:r>
    <w:r w:rsidR="00C737FA" w:rsidRPr="008004AB">
      <w:rPr>
        <w:sz w:val="24"/>
        <w:szCs w:val="24"/>
      </w:rPr>
      <w:fldChar w:fldCharType="separate"/>
    </w:r>
    <w:r w:rsidR="00D35A5F">
      <w:rPr>
        <w:noProof/>
        <w:sz w:val="24"/>
        <w:szCs w:val="24"/>
      </w:rPr>
      <w:t>2</w:t>
    </w:r>
    <w:r w:rsidR="00C737FA" w:rsidRPr="008004AB">
      <w:rPr>
        <w:sz w:val="24"/>
        <w:szCs w:val="24"/>
      </w:rPr>
      <w:fldChar w:fldCharType="end"/>
    </w:r>
    <w:r w:rsidRPr="008004AB">
      <w:rPr>
        <w:sz w:val="24"/>
        <w:szCs w:val="24"/>
      </w:rPr>
      <w:t xml:space="preserve"> of </w:t>
    </w:r>
    <w:r w:rsidR="00C737FA" w:rsidRPr="008004AB">
      <w:rPr>
        <w:sz w:val="24"/>
        <w:szCs w:val="24"/>
      </w:rPr>
      <w:fldChar w:fldCharType="begin"/>
    </w:r>
    <w:r w:rsidRPr="008004AB">
      <w:rPr>
        <w:sz w:val="24"/>
        <w:szCs w:val="24"/>
      </w:rPr>
      <w:instrText xml:space="preserve"> NUMPAGES  </w:instrText>
    </w:r>
    <w:r w:rsidR="00C737FA" w:rsidRPr="008004AB">
      <w:rPr>
        <w:sz w:val="24"/>
        <w:szCs w:val="24"/>
      </w:rPr>
      <w:fldChar w:fldCharType="separate"/>
    </w:r>
    <w:r w:rsidR="00D35A5F">
      <w:rPr>
        <w:noProof/>
        <w:sz w:val="24"/>
        <w:szCs w:val="24"/>
      </w:rPr>
      <w:t>3</w:t>
    </w:r>
    <w:r w:rsidR="00C737FA" w:rsidRPr="008004AB">
      <w:rPr>
        <w:sz w:val="24"/>
        <w:szCs w:val="24"/>
      </w:rPr>
      <w:fldChar w:fldCharType="end"/>
    </w:r>
  </w:p>
  <w:p w:rsidR="007612AF" w:rsidRPr="008004AB" w:rsidRDefault="007612AF" w:rsidP="008004AB">
    <w:pPr>
      <w:pStyle w:val="Header"/>
      <w:spacing w:after="0"/>
      <w:rPr>
        <w:sz w:val="24"/>
        <w:szCs w:val="24"/>
      </w:rPr>
    </w:pPr>
  </w:p>
  <w:p w:rsidR="007612AF" w:rsidRPr="008004AB" w:rsidRDefault="007612AF" w:rsidP="008004AB">
    <w:pPr>
      <w:pStyle w:val="Header"/>
      <w:spacing w:after="0"/>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1B16"/>
    <w:multiLevelType w:val="hybridMultilevel"/>
    <w:tmpl w:val="AD74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45F8F"/>
    <w:multiLevelType w:val="hybridMultilevel"/>
    <w:tmpl w:val="2B48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1679A"/>
    <w:multiLevelType w:val="hybridMultilevel"/>
    <w:tmpl w:val="889AE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630284"/>
    <w:rsid w:val="0001695E"/>
    <w:rsid w:val="00030619"/>
    <w:rsid w:val="0005053F"/>
    <w:rsid w:val="00083CF8"/>
    <w:rsid w:val="00174184"/>
    <w:rsid w:val="001C468B"/>
    <w:rsid w:val="001F1755"/>
    <w:rsid w:val="00250750"/>
    <w:rsid w:val="00270584"/>
    <w:rsid w:val="00274D74"/>
    <w:rsid w:val="00314B99"/>
    <w:rsid w:val="0031660B"/>
    <w:rsid w:val="00367888"/>
    <w:rsid w:val="004914B0"/>
    <w:rsid w:val="004C2DDA"/>
    <w:rsid w:val="00515219"/>
    <w:rsid w:val="005852DC"/>
    <w:rsid w:val="00630284"/>
    <w:rsid w:val="006C3A70"/>
    <w:rsid w:val="007612AF"/>
    <w:rsid w:val="0077443E"/>
    <w:rsid w:val="00797ACA"/>
    <w:rsid w:val="008004AB"/>
    <w:rsid w:val="00830A64"/>
    <w:rsid w:val="008552DE"/>
    <w:rsid w:val="008A52CA"/>
    <w:rsid w:val="008E4D38"/>
    <w:rsid w:val="00917B2C"/>
    <w:rsid w:val="00970A08"/>
    <w:rsid w:val="009F33EF"/>
    <w:rsid w:val="009F3608"/>
    <w:rsid w:val="00A2474A"/>
    <w:rsid w:val="00A600CB"/>
    <w:rsid w:val="00A775EC"/>
    <w:rsid w:val="00AA2B93"/>
    <w:rsid w:val="00AC5ACE"/>
    <w:rsid w:val="00AD6825"/>
    <w:rsid w:val="00AE6155"/>
    <w:rsid w:val="00AF26AA"/>
    <w:rsid w:val="00B67754"/>
    <w:rsid w:val="00C737FA"/>
    <w:rsid w:val="00C866B8"/>
    <w:rsid w:val="00D35A5F"/>
    <w:rsid w:val="00DB7266"/>
    <w:rsid w:val="00DB7422"/>
    <w:rsid w:val="00DC0C40"/>
    <w:rsid w:val="00DC53D8"/>
    <w:rsid w:val="00DD020F"/>
    <w:rsid w:val="00DF2B44"/>
    <w:rsid w:val="00E421DF"/>
    <w:rsid w:val="00F46213"/>
    <w:rsid w:val="00F65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CA"/>
    <w:pPr>
      <w:spacing w:after="200" w:line="276" w:lineRule="auto"/>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DA"/>
    <w:rPr>
      <w:rFonts w:ascii="Tahoma" w:hAnsi="Tahoma" w:cs="Tahoma"/>
      <w:sz w:val="16"/>
      <w:szCs w:val="16"/>
    </w:rPr>
  </w:style>
  <w:style w:type="character" w:styleId="Hyperlink">
    <w:name w:val="Hyperlink"/>
    <w:basedOn w:val="DefaultParagraphFont"/>
    <w:uiPriority w:val="99"/>
    <w:unhideWhenUsed/>
    <w:rsid w:val="00250750"/>
    <w:rPr>
      <w:color w:val="0000FF"/>
      <w:u w:val="single"/>
    </w:rPr>
  </w:style>
  <w:style w:type="paragraph" w:styleId="Header">
    <w:name w:val="header"/>
    <w:basedOn w:val="Normal"/>
    <w:link w:val="HeaderChar"/>
    <w:uiPriority w:val="99"/>
    <w:unhideWhenUsed/>
    <w:rsid w:val="008004AB"/>
    <w:pPr>
      <w:tabs>
        <w:tab w:val="center" w:pos="4680"/>
        <w:tab w:val="right" w:pos="9360"/>
      </w:tabs>
    </w:pPr>
  </w:style>
  <w:style w:type="character" w:customStyle="1" w:styleId="HeaderChar">
    <w:name w:val="Header Char"/>
    <w:basedOn w:val="DefaultParagraphFont"/>
    <w:link w:val="Header"/>
    <w:uiPriority w:val="99"/>
    <w:rsid w:val="008004AB"/>
    <w:rPr>
      <w:sz w:val="26"/>
      <w:szCs w:val="26"/>
    </w:rPr>
  </w:style>
  <w:style w:type="paragraph" w:styleId="Footer">
    <w:name w:val="footer"/>
    <w:basedOn w:val="Normal"/>
    <w:link w:val="FooterChar"/>
    <w:uiPriority w:val="99"/>
    <w:semiHidden/>
    <w:unhideWhenUsed/>
    <w:rsid w:val="008004AB"/>
    <w:pPr>
      <w:tabs>
        <w:tab w:val="center" w:pos="4680"/>
        <w:tab w:val="right" w:pos="9360"/>
      </w:tabs>
    </w:pPr>
  </w:style>
  <w:style w:type="character" w:customStyle="1" w:styleId="FooterChar">
    <w:name w:val="Footer Char"/>
    <w:basedOn w:val="DefaultParagraphFont"/>
    <w:link w:val="Footer"/>
    <w:uiPriority w:val="99"/>
    <w:semiHidden/>
    <w:rsid w:val="008004AB"/>
    <w:rPr>
      <w:sz w:val="26"/>
      <w:szCs w:val="26"/>
    </w:rPr>
  </w:style>
</w:styles>
</file>

<file path=word/webSettings.xml><?xml version="1.0" encoding="utf-8"?>
<w:webSettings xmlns:r="http://schemas.openxmlformats.org/officeDocument/2006/relationships" xmlns:w="http://schemas.openxmlformats.org/wordprocessingml/2006/main">
  <w:divs>
    <w:div w:id="10898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B2DBA8C11A941BD3F2DEFC8FCB820" ma:contentTypeVersion="131" ma:contentTypeDescription="" ma:contentTypeScope="" ma:versionID="dba7f80ad6a1e36ded6e02b60c92e0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Letter</DocumentSetType>
    <IsConfidential xmlns="dc463f71-b30c-4ab2-9473-d307f9d35888">false</IsConfidential>
    <AgendaOrder xmlns="dc463f71-b30c-4ab2-9473-d307f9d35888">false</AgendaOrder>
    <CaseType xmlns="dc463f71-b30c-4ab2-9473-d307f9d35888">Special Presentation</CaseType>
    <IndustryCode xmlns="dc463f71-b30c-4ab2-9473-d307f9d35888">499</IndustryCode>
    <CaseStatus xmlns="dc463f71-b30c-4ab2-9473-d307f9d35888">Closed</CaseStatus>
    <OpenedDate xmlns="dc463f71-b30c-4ab2-9473-d307f9d35888">2009-02-24T08:00:00+00:00</OpenedDate>
    <Date1 xmlns="dc463f71-b30c-4ab2-9473-d307f9d35888">2009-02-25T08:00:00+00:00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090295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F14584-F619-48DF-91DA-142B1E791802}"/>
</file>

<file path=customXml/itemProps2.xml><?xml version="1.0" encoding="utf-8"?>
<ds:datastoreItem xmlns:ds="http://schemas.openxmlformats.org/officeDocument/2006/customXml" ds:itemID="{2557EC89-5478-4427-B9C7-F5220522A7B9}"/>
</file>

<file path=customXml/itemProps3.xml><?xml version="1.0" encoding="utf-8"?>
<ds:datastoreItem xmlns:ds="http://schemas.openxmlformats.org/officeDocument/2006/customXml" ds:itemID="{4B6BC7E0-FD33-4A22-BB7F-2767B694D81A}"/>
</file>

<file path=customXml/itemProps4.xml><?xml version="1.0" encoding="utf-8"?>
<ds:datastoreItem xmlns:ds="http://schemas.openxmlformats.org/officeDocument/2006/customXml" ds:itemID="{CD0E62A2-F42B-45F9-A78C-3EEB07C58DBA}"/>
</file>

<file path=docProps/app.xml><?xml version="1.0" encoding="utf-8"?>
<Properties xmlns="http://schemas.openxmlformats.org/officeDocument/2006/extended-properties" xmlns:vt="http://schemas.openxmlformats.org/officeDocument/2006/docPropsVTypes">
  <Template>Normal.dotm</Template>
  <TotalTime>32</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Byers</dc:creator>
  <cp:keywords/>
  <dc:description/>
  <cp:lastModifiedBy>NMoen</cp:lastModifiedBy>
  <cp:revision>6</cp:revision>
  <cp:lastPrinted>2009-02-26T17:26:00Z</cp:lastPrinted>
  <dcterms:created xsi:type="dcterms:W3CDTF">2009-02-25T18:43:00Z</dcterms:created>
  <dcterms:modified xsi:type="dcterms:W3CDTF">2009-02-26T17:28:00Z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0x0101006E56B4D1795A2E4DB2F0B01679ED314A00A22B2DBA8C11A941BD3F2DEFC8FCB820</vt:lpwstr>
  </property>
  <property fmtid="{D5CDD505-2E9C-101B-9397-08002B2CF9AE}" pid="3" name="_docset_NoMedatataSyncRequired">
    <vt:lpwstr>False</vt:lpwstr>
  </property>
</Properties>
</file>