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5" w:rsidRDefault="007438B2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-1074420</wp:posOffset>
            </wp:positionV>
            <wp:extent cx="1138555" cy="46291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62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115AF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October</w:t>
      </w:r>
      <w:r w:rsidR="002E2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</w:t>
      </w:r>
      <w:r w:rsidR="00E06430">
        <w:rPr>
          <w:rFonts w:ascii="Times New Roman" w:hAnsi="Times New Roman"/>
          <w:sz w:val="22"/>
          <w:szCs w:val="22"/>
        </w:rPr>
        <w:t>1</w:t>
      </w:r>
      <w:r w:rsidR="00BF1075">
        <w:rPr>
          <w:rFonts w:ascii="Times New Roman" w:hAnsi="Times New Roman"/>
          <w:sz w:val="22"/>
          <w:szCs w:val="22"/>
        </w:rPr>
        <w:t>,</w:t>
      </w:r>
      <w:r w:rsidR="00BF1075" w:rsidRPr="007C6DFE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08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AF3B73" w:rsidRDefault="00BF1075" w:rsidP="00BF1075">
      <w:pPr>
        <w:tabs>
          <w:tab w:val="left" w:pos="8280"/>
        </w:tabs>
        <w:ind w:left="8280" w:hanging="8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</w:t>
      </w:r>
      <w:r w:rsidRPr="007C6DFE">
        <w:rPr>
          <w:rFonts w:ascii="Times New Roman" w:hAnsi="Times New Roman"/>
          <w:sz w:val="22"/>
          <w:szCs w:val="22"/>
        </w:rPr>
        <w:t xml:space="preserve"> No. </w:t>
      </w:r>
      <w:r w:rsidR="00B036AB">
        <w:rPr>
          <w:rFonts w:ascii="Times New Roman" w:hAnsi="Times New Roman"/>
          <w:sz w:val="22"/>
          <w:szCs w:val="22"/>
        </w:rPr>
        <w:t>3653T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Carole Washburn, Executive Secretary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7C6DFE">
        <w:rPr>
          <w:rFonts w:ascii="Times New Roman" w:hAnsi="Times New Roman"/>
          <w:sz w:val="22"/>
          <w:szCs w:val="22"/>
        </w:rPr>
        <w:t xml:space="preserve"> Utilities and</w:t>
      </w:r>
    </w:p>
    <w:p w:rsidR="00BF1075" w:rsidRPr="007C6DFE" w:rsidRDefault="00BF1075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ab/>
        <w:t>Transportation Commission</w:t>
      </w:r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37498">
        <w:rPr>
          <w:rFonts w:ascii="Times New Roman" w:hAnsi="Times New Roman"/>
          <w:szCs w:val="24"/>
        </w:rPr>
        <w:t>Dear Ms. Washburn:</w:t>
      </w:r>
    </w:p>
    <w:p w:rsidR="00BF1075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BF1075" w:rsidRPr="000F5C6F" w:rsidRDefault="00BF1075" w:rsidP="00BF1075">
      <w:pPr>
        <w:tabs>
          <w:tab w:val="left" w:pos="360"/>
        </w:tabs>
        <w:rPr>
          <w:rFonts w:ascii="Times New Roman" w:hAnsi="Times New Roman"/>
        </w:rPr>
      </w:pPr>
      <w:r w:rsidRPr="00837498">
        <w:rPr>
          <w:rFonts w:ascii="Times New Roman" w:hAnsi="Times New Roman"/>
          <w:szCs w:val="24"/>
        </w:rPr>
        <w:t>Qwest Corporation is forwarding for filing the sheets listed on Attachment A.</w:t>
      </w:r>
      <w:r w:rsidRPr="000F5C6F">
        <w:rPr>
          <w:rFonts w:ascii="Times New Roman" w:hAnsi="Times New Roman"/>
          <w:szCs w:val="24"/>
        </w:rPr>
        <w:t xml:space="preserve"> </w:t>
      </w:r>
    </w:p>
    <w:p w:rsidR="00BF1075" w:rsidRPr="000F5C6F" w:rsidRDefault="00BF1075" w:rsidP="00BF1075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115AF5" w:rsidRDefault="00C04016" w:rsidP="00115AF5">
      <w:r>
        <w:t>To ensure accurate jurisdictional reporting and reduce misuse of jurisdictional reporting</w:t>
      </w:r>
      <w:r w:rsidR="00115AF5" w:rsidRPr="00115AF5">
        <w:t>, Qwest is modifying the Jurisdictional Report Requirements in Section 2</w:t>
      </w:r>
      <w:r w:rsidR="00115AF5">
        <w:t xml:space="preserve"> of its Access Service Tariff</w:t>
      </w:r>
      <w:r w:rsidR="00115AF5" w:rsidRPr="00115AF5">
        <w:t>,</w:t>
      </w:r>
      <w:r w:rsidR="00115AF5">
        <w:t xml:space="preserve"> by establishing a Percent Interstate Usage (PIU) floor for unidentified Feature Group D (FGD) terminating traffic.</w:t>
      </w:r>
    </w:p>
    <w:p w:rsidR="00115AF5" w:rsidRDefault="00115AF5" w:rsidP="00115AF5"/>
    <w:p w:rsidR="00115AF5" w:rsidRDefault="00115AF5" w:rsidP="00115AF5">
      <w:r>
        <w:t>When sufficient call detail is received to identify the jurisdiction of terminating FGD traffic, Qwest will continue to charge at the appropriate jurisdictional rate (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or interstate rate).</w:t>
      </w:r>
    </w:p>
    <w:p w:rsidR="00115AF5" w:rsidRDefault="00115AF5" w:rsidP="00115AF5"/>
    <w:p w:rsidR="00115AF5" w:rsidRDefault="00115AF5" w:rsidP="00115AF5">
      <w:r>
        <w:t xml:space="preserve">Terminating FGD traffic that does not contain sufficient call detail to identify the jurisdiction (unidentified traffic) will be assigned jurisdiction as follows: </w:t>
      </w:r>
    </w:p>
    <w:p w:rsidR="009505DE" w:rsidRDefault="009505DE" w:rsidP="00115AF5"/>
    <w:p w:rsidR="00115AF5" w:rsidRPr="0061575F" w:rsidRDefault="00115AF5" w:rsidP="00115AF5">
      <w:pPr>
        <w:numPr>
          <w:ilvl w:val="0"/>
          <w:numId w:val="1"/>
        </w:numPr>
      </w:pPr>
      <w:r>
        <w:t xml:space="preserve">The first </w:t>
      </w:r>
      <w:r w:rsidR="009505DE" w:rsidRPr="009505DE">
        <w:t>3</w:t>
      </w:r>
      <w:r w:rsidRPr="009505DE">
        <w:t>%</w:t>
      </w:r>
      <w:r>
        <w:t xml:space="preserve"> of unidentified terminating traffic will continue to be jurisdictionally assigned based on the carrier’s PIU report or, if the carrier has not filed a PIU report, a PIU of 50 (50% interstate – 50% intrastate) will be assigned per the current terms in </w:t>
      </w:r>
      <w:r w:rsidRPr="0061575F">
        <w:t xml:space="preserve">Section 2.3.10.B.2.c.  </w:t>
      </w:r>
    </w:p>
    <w:p w:rsidR="00115AF5" w:rsidRDefault="00115AF5" w:rsidP="00115AF5">
      <w:pPr>
        <w:ind w:left="360"/>
      </w:pPr>
    </w:p>
    <w:p w:rsidR="00115AF5" w:rsidRDefault="00115AF5" w:rsidP="00115AF5">
      <w:pPr>
        <w:numPr>
          <w:ilvl w:val="0"/>
          <w:numId w:val="1"/>
        </w:numPr>
      </w:pPr>
      <w:r>
        <w:t xml:space="preserve">Unidentified traffic in excess of the </w:t>
      </w:r>
      <w:r w:rsidR="009505DE">
        <w:t>3</w:t>
      </w:r>
      <w:r>
        <w:t xml:space="preserve">% floor will be designated intrastate traffic and charged at Qwest’s current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 w:rsidRPr="00915C0B">
        <w:t xml:space="preserve"> r</w:t>
      </w:r>
      <w:r>
        <w:t xml:space="preserve">ates.  </w:t>
      </w:r>
    </w:p>
    <w:p w:rsidR="00115AF5" w:rsidRDefault="00115AF5" w:rsidP="00115AF5"/>
    <w:p w:rsidR="00115AF5" w:rsidRPr="00640A7F" w:rsidRDefault="00115AF5" w:rsidP="00115AF5">
      <w:pPr>
        <w:rPr>
          <w:u w:val="single"/>
        </w:rPr>
      </w:pPr>
      <w:r>
        <w:t>The proposed effective date of this filing is December 1, 2008</w:t>
      </w:r>
      <w:r>
        <w:rPr>
          <w:i/>
          <w:iCs/>
        </w:rPr>
        <w:t>.</w:t>
      </w:r>
      <w:r w:rsidR="00640A7F">
        <w:rPr>
          <w:iCs/>
        </w:rPr>
        <w:t xml:space="preserve"> Notification has been sent to customers.</w:t>
      </w:r>
    </w:p>
    <w:p w:rsidR="0061575F" w:rsidRPr="007C6DFE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802D8E" w:rsidRPr="00640A7F" w:rsidRDefault="00802D8E" w:rsidP="00802D8E">
      <w:r w:rsidRPr="00640A7F">
        <w:t>Qwest’s proposed method of jurisdictional assignment for unidentified FGD traffic is similar to terms already in</w:t>
      </w:r>
      <w:r w:rsidR="00163306" w:rsidRPr="00640A7F">
        <w:t xml:space="preserve"> effect for Verizon in </w:t>
      </w:r>
      <w:smartTag w:uri="urn:schemas-microsoft-com:office:smarttags" w:element="State">
        <w:smartTag w:uri="urn:schemas-microsoft-com:office:smarttags" w:element="place">
          <w:r w:rsidR="00163306" w:rsidRPr="00640A7F">
            <w:t>Washington</w:t>
          </w:r>
        </w:smartTag>
      </w:smartTag>
      <w:r w:rsidRPr="00640A7F">
        <w:t xml:space="preserve"> and other states. (See Verizon </w:t>
      </w:r>
      <w:r w:rsidR="00163306" w:rsidRPr="00640A7F">
        <w:t>Northwest</w:t>
      </w:r>
      <w:r w:rsidRPr="00640A7F">
        <w:t xml:space="preserve"> Inc., </w:t>
      </w:r>
      <w:smartTag w:uri="urn:schemas-microsoft-com:office:smarttags" w:element="State">
        <w:smartTag w:uri="urn:schemas-microsoft-com:office:smarttags" w:element="place">
          <w:r w:rsidR="00163306" w:rsidRPr="00640A7F">
            <w:t>Washington</w:t>
          </w:r>
        </w:smartTag>
      </w:smartTag>
      <w:r w:rsidRPr="00640A7F">
        <w:t xml:space="preserve"> Access Tariff, Section </w:t>
      </w:r>
      <w:r w:rsidR="00163306" w:rsidRPr="00640A7F">
        <w:t>4, Sheets 280-281</w:t>
      </w:r>
      <w:r w:rsidRPr="00640A7F">
        <w:t>.)</w:t>
      </w:r>
    </w:p>
    <w:p w:rsidR="00115AF5" w:rsidRPr="00802D8E" w:rsidRDefault="00115AF5" w:rsidP="00115AF5">
      <w:pPr>
        <w:rPr>
          <w:color w:val="FF0000"/>
        </w:rPr>
      </w:pPr>
    </w:p>
    <w:p w:rsidR="0061575F" w:rsidRPr="00720E54" w:rsidRDefault="0061575F" w:rsidP="0061575F">
      <w:pPr>
        <w:rPr>
          <w:rFonts w:ascii="Times New Roman" w:hAnsi="Times New Roman"/>
          <w:szCs w:val="24"/>
        </w:rPr>
      </w:pPr>
      <w:r>
        <w:t>I</w:t>
      </w:r>
      <w:r w:rsidRPr="00720E54">
        <w:rPr>
          <w:rFonts w:ascii="Times New Roman" w:hAnsi="Times New Roman"/>
          <w:szCs w:val="24"/>
        </w:rPr>
        <w:t xml:space="preserve">f you have questions concerning this filing, please contact </w:t>
      </w:r>
      <w:r>
        <w:rPr>
          <w:rFonts w:ascii="Times New Roman" w:hAnsi="Times New Roman"/>
          <w:szCs w:val="24"/>
        </w:rPr>
        <w:t>Sue Henson at 206-345-4341</w:t>
      </w:r>
      <w:r w:rsidRPr="00720E54">
        <w:rPr>
          <w:rFonts w:ascii="Times New Roman" w:hAnsi="Times New Roman"/>
          <w:szCs w:val="24"/>
        </w:rPr>
        <w:t>.</w:t>
      </w:r>
    </w:p>
    <w:p w:rsidR="0061575F" w:rsidRDefault="0061575F" w:rsidP="0061575F">
      <w:pPr>
        <w:rPr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Pr="00837498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115AF5" w:rsidRDefault="007438B2" w:rsidP="00BF1075">
      <w:pPr>
        <w:tabs>
          <w:tab w:val="left" w:pos="36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67940" cy="5410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61575F" w:rsidRPr="007C6DFE" w:rsidRDefault="0061575F" w:rsidP="0061575F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477C6" w:rsidRDefault="006477C6" w:rsidP="00BF1075">
      <w:pPr>
        <w:tabs>
          <w:tab w:val="left" w:pos="360"/>
        </w:tabs>
        <w:rPr>
          <w:rFonts w:ascii="Times New Roman" w:hAnsi="Times New Roman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9"/>
          <w:footerReference w:type="default" r:id="rId10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305B8F" w:rsidRPr="00B036AB" w:rsidRDefault="00B036AB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 No. 3653</w:t>
      </w:r>
      <w:r w:rsidR="00305B8F" w:rsidRPr="00B036AB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ACCESS  SERVICE</w:t>
      </w: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U-44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7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Original</w:t>
            </w:r>
          </w:p>
        </w:tc>
      </w:tr>
      <w:tr w:rsidR="0061575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61575F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61575F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0" w:type="dxa"/>
          </w:tcPr>
          <w:p w:rsidR="0061575F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1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95" w:rsidRDefault="000F1C95">
      <w:r>
        <w:separator/>
      </w:r>
    </w:p>
  </w:endnote>
  <w:endnote w:type="continuationSeparator" w:id="1">
    <w:p w:rsidR="000F1C95" w:rsidRDefault="000F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2E2802">
    <w:pPr>
      <w:pStyle w:val="Footer"/>
      <w:rPr>
        <w:sz w:val="20"/>
      </w:rPr>
    </w:pPr>
    <w:r>
      <w:rPr>
        <w:sz w:val="20"/>
      </w:rPr>
      <w:t>WA200</w:t>
    </w:r>
    <w:r w:rsidR="0061575F">
      <w:rPr>
        <w:sz w:val="20"/>
      </w:rPr>
      <w:t>8</w:t>
    </w:r>
    <w:r>
      <w:rPr>
        <w:sz w:val="20"/>
      </w:rPr>
      <w:t>-</w:t>
    </w:r>
    <w:r w:rsidR="0061575F">
      <w:rPr>
        <w:sz w:val="20"/>
      </w:rPr>
      <w:t>0</w:t>
    </w:r>
    <w:r w:rsidR="00E06430">
      <w:rPr>
        <w:sz w:val="20"/>
      </w:rPr>
      <w:t>2</w:t>
    </w:r>
    <w:r w:rsidR="0061575F">
      <w:rPr>
        <w:sz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95" w:rsidRDefault="000F1C95">
      <w:r>
        <w:separator/>
      </w:r>
    </w:p>
  </w:footnote>
  <w:footnote w:type="continuationSeparator" w:id="1">
    <w:p w:rsidR="000F1C95" w:rsidRDefault="000F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794"/>
    <w:multiLevelType w:val="hybridMultilevel"/>
    <w:tmpl w:val="132C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7559B"/>
    <w:rsid w:val="000E313E"/>
    <w:rsid w:val="000F1C95"/>
    <w:rsid w:val="00115AF5"/>
    <w:rsid w:val="00163306"/>
    <w:rsid w:val="00205A06"/>
    <w:rsid w:val="002E2802"/>
    <w:rsid w:val="002F70F5"/>
    <w:rsid w:val="00305B8F"/>
    <w:rsid w:val="00307483"/>
    <w:rsid w:val="0033113F"/>
    <w:rsid w:val="00343CE5"/>
    <w:rsid w:val="003F30B1"/>
    <w:rsid w:val="004A47FB"/>
    <w:rsid w:val="005B20CF"/>
    <w:rsid w:val="0061575F"/>
    <w:rsid w:val="00640A7F"/>
    <w:rsid w:val="006477C6"/>
    <w:rsid w:val="00654A63"/>
    <w:rsid w:val="00680886"/>
    <w:rsid w:val="006967F5"/>
    <w:rsid w:val="007438B2"/>
    <w:rsid w:val="00774392"/>
    <w:rsid w:val="00802D8E"/>
    <w:rsid w:val="00802E12"/>
    <w:rsid w:val="008818BD"/>
    <w:rsid w:val="00925AD0"/>
    <w:rsid w:val="009505DE"/>
    <w:rsid w:val="009620F3"/>
    <w:rsid w:val="009B525B"/>
    <w:rsid w:val="009E18E0"/>
    <w:rsid w:val="00A448C2"/>
    <w:rsid w:val="00AB58D3"/>
    <w:rsid w:val="00AF3B73"/>
    <w:rsid w:val="00B036AB"/>
    <w:rsid w:val="00BD5C8B"/>
    <w:rsid w:val="00BF1075"/>
    <w:rsid w:val="00C04016"/>
    <w:rsid w:val="00C43E8C"/>
    <w:rsid w:val="00C9701F"/>
    <w:rsid w:val="00CC47E0"/>
    <w:rsid w:val="00CE5DE0"/>
    <w:rsid w:val="00D60B04"/>
    <w:rsid w:val="00DE3550"/>
    <w:rsid w:val="00E06430"/>
    <w:rsid w:val="00E337B5"/>
    <w:rsid w:val="00E94E83"/>
    <w:rsid w:val="00F053DB"/>
    <w:rsid w:val="00F2578D"/>
    <w:rsid w:val="00FB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tomalnm03\MRSDEN2\Barb's_Team\Filing%20Process%20by%20Jurisdiction_In%20Reg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60E5F8FE3E5449A419668856D382E0" ma:contentTypeVersion="135" ma:contentTypeDescription="" ma:contentTypeScope="" ma:versionID="a6463757a0f880a1ece0a3bb762cc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2008-10-31T07:00:00+00:00</OpenedDate>
    <Date1 xmlns="dc463f71-b30c-4ab2-9473-d307f9d35888">2008-10-31T07:00:00+00:00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31CF04-3EE7-4115-BBBF-76F370D72246}"/>
</file>

<file path=customXml/itemProps2.xml><?xml version="1.0" encoding="utf-8"?>
<ds:datastoreItem xmlns:ds="http://schemas.openxmlformats.org/officeDocument/2006/customXml" ds:itemID="{715B403A-8CDC-4883-B233-61AA409ED234}"/>
</file>

<file path=customXml/itemProps3.xml><?xml version="1.0" encoding="utf-8"?>
<ds:datastoreItem xmlns:ds="http://schemas.openxmlformats.org/officeDocument/2006/customXml" ds:itemID="{3E931D5A-976B-4950-82E2-0CFFE9E5C119}"/>
</file>

<file path=customXml/itemProps4.xml><?xml version="1.0" encoding="utf-8"?>
<ds:datastoreItem xmlns:ds="http://schemas.openxmlformats.org/officeDocument/2006/customXml" ds:itemID="{57180813-4110-4A78-AE2C-7D3451B82FCF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14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Henson</dc:creator>
  <cp:keywords>Form</cp:keywords>
  <dc:description/>
  <cp:lastModifiedBy>Catherine Hudspeth, Forms and Records Analyst 2</cp:lastModifiedBy>
  <cp:revision>2</cp:revision>
  <cp:lastPrinted>2008-09-19T21:42:00Z</cp:lastPrinted>
  <dcterms:created xsi:type="dcterms:W3CDTF">2008-10-31T20:42:00Z</dcterms:created>
  <dcterms:modified xsi:type="dcterms:W3CDTF">2008-10-31T20:42:00Z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-1121061437</vt:i4>
  </property>
  <property fmtid="{D5CDD505-2E9C-101B-9397-08002B2CF9AE}" pid="3" name="_EmailSubject">
    <vt:lpwstr>For Filing Today: Grandfather Qwest Centrex Plus Service</vt:lpwstr>
  </property>
  <property fmtid="{D5CDD505-2E9C-101B-9397-08002B2CF9AE}" pid="4" name="_AuthorEmail">
    <vt:lpwstr>Mark.Reynolds3@qwest.com</vt:lpwstr>
  </property>
  <property fmtid="{D5CDD505-2E9C-101B-9397-08002B2CF9AE}" pid="5" name="_AuthorEmailDisplayName">
    <vt:lpwstr>Reynolds, Mark</vt:lpwstr>
  </property>
  <property fmtid="{D5CDD505-2E9C-101B-9397-08002B2CF9AE}" pid="6" name="_PreviousAdHocReviewCycleID">
    <vt:i4>-244968936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0x0101006E56B4D1795A2E4DB2F0B01679ED314A00FB60E5F8FE3E5449A419668856D382E0</vt:lpwstr>
  </property>
  <property fmtid="{D5CDD505-2E9C-101B-9397-08002B2CF9AE}" pid="9" name="_docset_NoMedatataSyncRequired">
    <vt:lpwstr>False</vt:lpwstr>
  </property>
</Properties>
</file>