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3AE657A1" w:rsidR="002C039A" w:rsidRPr="00B5727C" w:rsidRDefault="007950F8" w:rsidP="00F372F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w:t>
      </w:r>
      <w:r w:rsidR="00F372F8" w:rsidRPr="00B5727C">
        <w:rPr>
          <w:rFonts w:ascii="Times New Roman" w:hAnsi="Times New Roman" w:cs="Times New Roman"/>
          <w:b/>
          <w:sz w:val="28"/>
          <w:szCs w:val="28"/>
        </w:rPr>
        <w:t>-1</w:t>
      </w:r>
      <w:r>
        <w:rPr>
          <w:rFonts w:ascii="Times New Roman" w:hAnsi="Times New Roman" w:cs="Times New Roman"/>
          <w:b/>
          <w:sz w:val="28"/>
          <w:szCs w:val="28"/>
        </w:rPr>
        <w:t>30355</w:t>
      </w:r>
      <w:r w:rsidR="00F372F8" w:rsidRPr="00B5727C">
        <w:rPr>
          <w:rFonts w:ascii="Times New Roman" w:hAnsi="Times New Roman" w:cs="Times New Roman"/>
          <w:b/>
          <w:sz w:val="28"/>
          <w:szCs w:val="28"/>
        </w:rPr>
        <w:t xml:space="preserve"> </w:t>
      </w:r>
      <w:r w:rsidR="007673BD">
        <w:rPr>
          <w:rFonts w:ascii="Times New Roman" w:hAnsi="Times New Roman" w:cs="Times New Roman"/>
          <w:b/>
          <w:sz w:val="28"/>
          <w:szCs w:val="28"/>
        </w:rPr>
        <w:t>P</w:t>
      </w:r>
      <w:r>
        <w:rPr>
          <w:rFonts w:ascii="Times New Roman" w:hAnsi="Times New Roman" w:cs="Times New Roman"/>
          <w:b/>
          <w:sz w:val="28"/>
          <w:szCs w:val="28"/>
        </w:rPr>
        <w:t>rocedural</w:t>
      </w:r>
      <w:r w:rsidR="00F372F8" w:rsidRPr="00B5727C">
        <w:rPr>
          <w:rFonts w:ascii="Times New Roman" w:hAnsi="Times New Roman" w:cs="Times New Roman"/>
          <w:b/>
          <w:sz w:val="28"/>
          <w:szCs w:val="28"/>
        </w:rPr>
        <w:t xml:space="preserve"> Rules</w:t>
      </w:r>
    </w:p>
    <w:p w14:paraId="310B01B1" w14:textId="6089AC64"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Summary of Comments</w:t>
      </w:r>
      <w:r w:rsidR="007673BD">
        <w:rPr>
          <w:rFonts w:ascii="Times New Roman" w:hAnsi="Times New Roman" w:cs="Times New Roman"/>
          <w:b/>
          <w:sz w:val="28"/>
          <w:szCs w:val="28"/>
        </w:rPr>
        <w:t xml:space="preserve"> on </w:t>
      </w:r>
      <w:r w:rsidR="007950F8">
        <w:rPr>
          <w:rFonts w:ascii="Times New Roman" w:hAnsi="Times New Roman" w:cs="Times New Roman"/>
          <w:b/>
          <w:sz w:val="28"/>
          <w:szCs w:val="28"/>
        </w:rPr>
        <w:t>Proposed Revisions to</w:t>
      </w:r>
      <w:r w:rsidR="007673BD">
        <w:rPr>
          <w:rFonts w:ascii="Times New Roman" w:hAnsi="Times New Roman" w:cs="Times New Roman"/>
          <w:b/>
          <w:sz w:val="28"/>
          <w:szCs w:val="28"/>
        </w:rPr>
        <w:t xml:space="preserve"> Rules</w:t>
      </w:r>
      <w:r w:rsidR="007105DE">
        <w:rPr>
          <w:rFonts w:ascii="Times New Roman" w:hAnsi="Times New Roman" w:cs="Times New Roman"/>
          <w:b/>
          <w:sz w:val="28"/>
          <w:szCs w:val="28"/>
        </w:rPr>
        <w:t xml:space="preserve"> in Parts I and IIIA</w:t>
      </w:r>
    </w:p>
    <w:p w14:paraId="0E4CBD85" w14:textId="01906405" w:rsidR="00F372F8" w:rsidRPr="00B5727C" w:rsidRDefault="00FC10A5" w:rsidP="00F372F8">
      <w:pPr>
        <w:jc w:val="center"/>
        <w:rPr>
          <w:rFonts w:ascii="Times New Roman" w:hAnsi="Times New Roman" w:cs="Times New Roman"/>
          <w:b/>
          <w:sz w:val="28"/>
          <w:szCs w:val="28"/>
        </w:rPr>
      </w:pPr>
      <w:r>
        <w:rPr>
          <w:rFonts w:ascii="Times New Roman" w:hAnsi="Times New Roman" w:cs="Times New Roman"/>
          <w:b/>
          <w:sz w:val="28"/>
          <w:szCs w:val="28"/>
        </w:rPr>
        <w:t>July 2016</w:t>
      </w:r>
    </w:p>
    <w:p w14:paraId="7968143D" w14:textId="77777777" w:rsidR="001040FE" w:rsidRDefault="001040FE" w:rsidP="007673BD">
      <w:pPr>
        <w:rPr>
          <w:rFonts w:ascii="Times New Roman" w:hAnsi="Times New Roman" w:cs="Times New Roman"/>
        </w:rPr>
        <w:sectPr w:rsidR="001040FE" w:rsidSect="001040FE">
          <w:footerReference w:type="default" r:id="rId10"/>
          <w:pgSz w:w="20160" w:h="12240" w:orient="landscape" w:code="5"/>
          <w:pgMar w:top="720" w:right="1440" w:bottom="1440" w:left="1440" w:header="720" w:footer="720" w:gutter="0"/>
          <w:cols w:space="720"/>
          <w:docGrid w:linePitch="360"/>
        </w:sectPr>
      </w:pPr>
    </w:p>
    <w:p w14:paraId="5E4DC036" w14:textId="20EE84C4" w:rsidR="007673BD" w:rsidRPr="00B5727C" w:rsidRDefault="007673BD" w:rsidP="007673BD">
      <w:pPr>
        <w:rPr>
          <w:rFonts w:ascii="Times New Roman" w:hAnsi="Times New Roman" w:cs="Times New Roman"/>
        </w:rPr>
      </w:pPr>
    </w:p>
    <w:tbl>
      <w:tblPr>
        <w:tblStyle w:val="TableGrid"/>
        <w:tblW w:w="17185" w:type="dxa"/>
        <w:tblLook w:val="04A0" w:firstRow="1" w:lastRow="0" w:firstColumn="1" w:lastColumn="0" w:noHBand="0" w:noVBand="1"/>
      </w:tblPr>
      <w:tblGrid>
        <w:gridCol w:w="1328"/>
        <w:gridCol w:w="2717"/>
        <w:gridCol w:w="1980"/>
        <w:gridCol w:w="2610"/>
        <w:gridCol w:w="3420"/>
        <w:gridCol w:w="5130"/>
      </w:tblGrid>
      <w:tr w:rsidR="00FB2E7E" w:rsidRPr="00B5727C" w14:paraId="77A95D90" w14:textId="77777777" w:rsidTr="00475B87">
        <w:trPr>
          <w:cantSplit/>
          <w:tblHeader/>
        </w:trPr>
        <w:tc>
          <w:tcPr>
            <w:tcW w:w="1328" w:type="dxa"/>
            <w:shd w:val="clear" w:color="auto" w:fill="D9D9D9" w:themeFill="background1" w:themeFillShade="D9"/>
          </w:tcPr>
          <w:p w14:paraId="68351654" w14:textId="77777777" w:rsidR="00FB2E7E" w:rsidRPr="00B5727C" w:rsidRDefault="00FB2E7E" w:rsidP="00577422">
            <w:pPr>
              <w:rPr>
                <w:rFonts w:ascii="Times New Roman" w:hAnsi="Times New Roman" w:cs="Times New Roman"/>
                <w:b/>
              </w:rPr>
            </w:pPr>
            <w:r>
              <w:rPr>
                <w:rFonts w:ascii="Times New Roman" w:hAnsi="Times New Roman" w:cs="Times New Roman"/>
                <w:b/>
              </w:rPr>
              <w:t>480-07-</w:t>
            </w:r>
          </w:p>
        </w:tc>
        <w:tc>
          <w:tcPr>
            <w:tcW w:w="2717" w:type="dxa"/>
            <w:shd w:val="clear" w:color="auto" w:fill="D9D9D9" w:themeFill="background1" w:themeFillShade="D9"/>
          </w:tcPr>
          <w:p w14:paraId="57A693BE" w14:textId="77777777" w:rsidR="00FB2E7E" w:rsidRPr="00B5727C" w:rsidRDefault="00FB2E7E" w:rsidP="00577422">
            <w:pPr>
              <w:rPr>
                <w:rFonts w:ascii="Times New Roman" w:hAnsi="Times New Roman" w:cs="Times New Roman"/>
                <w:b/>
              </w:rPr>
            </w:pPr>
            <w:r>
              <w:rPr>
                <w:rFonts w:ascii="Times New Roman" w:hAnsi="Times New Roman" w:cs="Times New Roman"/>
                <w:b/>
              </w:rPr>
              <w:t>Energy Utilities</w:t>
            </w:r>
          </w:p>
        </w:tc>
        <w:tc>
          <w:tcPr>
            <w:tcW w:w="1980" w:type="dxa"/>
            <w:shd w:val="clear" w:color="auto" w:fill="D9D9D9" w:themeFill="background1" w:themeFillShade="D9"/>
          </w:tcPr>
          <w:p w14:paraId="2C7ECA33" w14:textId="77777777" w:rsidR="00FB2E7E" w:rsidRPr="00B5727C" w:rsidRDefault="00FB2E7E" w:rsidP="00577422">
            <w:pPr>
              <w:rPr>
                <w:rFonts w:ascii="Times New Roman" w:hAnsi="Times New Roman" w:cs="Times New Roman"/>
                <w:b/>
              </w:rPr>
            </w:pPr>
            <w:r>
              <w:rPr>
                <w:rFonts w:ascii="Times New Roman" w:hAnsi="Times New Roman" w:cs="Times New Roman"/>
                <w:b/>
              </w:rPr>
              <w:t>Rail</w:t>
            </w:r>
          </w:p>
        </w:tc>
        <w:tc>
          <w:tcPr>
            <w:tcW w:w="2610" w:type="dxa"/>
            <w:shd w:val="clear" w:color="auto" w:fill="D9D9D9" w:themeFill="background1" w:themeFillShade="D9"/>
          </w:tcPr>
          <w:p w14:paraId="171FC8C4" w14:textId="77777777" w:rsidR="00FB2E7E" w:rsidRPr="00B5727C" w:rsidRDefault="00FB2E7E" w:rsidP="00577422">
            <w:pPr>
              <w:rPr>
                <w:rFonts w:ascii="Times New Roman" w:hAnsi="Times New Roman" w:cs="Times New Roman"/>
                <w:b/>
              </w:rPr>
            </w:pPr>
            <w:r>
              <w:rPr>
                <w:rFonts w:ascii="Times New Roman" w:hAnsi="Times New Roman" w:cs="Times New Roman"/>
                <w:b/>
              </w:rPr>
              <w:t>Solid Waste</w:t>
            </w:r>
          </w:p>
        </w:tc>
        <w:tc>
          <w:tcPr>
            <w:tcW w:w="3420" w:type="dxa"/>
            <w:shd w:val="clear" w:color="auto" w:fill="D9D9D9" w:themeFill="background1" w:themeFillShade="D9"/>
          </w:tcPr>
          <w:p w14:paraId="3965D08F" w14:textId="77777777" w:rsidR="00FB2E7E" w:rsidRPr="00B5727C" w:rsidRDefault="00FB2E7E" w:rsidP="00577422">
            <w:pPr>
              <w:rPr>
                <w:rFonts w:ascii="Times New Roman" w:hAnsi="Times New Roman" w:cs="Times New Roman"/>
                <w:b/>
              </w:rPr>
            </w:pPr>
            <w:r>
              <w:rPr>
                <w:rFonts w:ascii="Times New Roman" w:hAnsi="Times New Roman" w:cs="Times New Roman"/>
                <w:b/>
              </w:rPr>
              <w:t>ICNU/Public Counsel</w:t>
            </w:r>
          </w:p>
        </w:tc>
        <w:tc>
          <w:tcPr>
            <w:tcW w:w="5130" w:type="dxa"/>
            <w:shd w:val="clear" w:color="auto" w:fill="D9D9D9" w:themeFill="background1" w:themeFillShade="D9"/>
          </w:tcPr>
          <w:p w14:paraId="11FED11F" w14:textId="77777777" w:rsidR="00FB2E7E" w:rsidRPr="00B5727C" w:rsidRDefault="00FB2E7E" w:rsidP="00577422">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FB2E7E" w:rsidRPr="00B5727C" w14:paraId="4EEF669A" w14:textId="77777777" w:rsidTr="00475B87">
        <w:trPr>
          <w:cantSplit/>
        </w:trPr>
        <w:tc>
          <w:tcPr>
            <w:tcW w:w="1328" w:type="dxa"/>
          </w:tcPr>
          <w:p w14:paraId="37774C35" w14:textId="77777777" w:rsidR="00FB2E7E" w:rsidRDefault="00FB2E7E" w:rsidP="00577422">
            <w:pPr>
              <w:rPr>
                <w:rFonts w:ascii="Times New Roman" w:hAnsi="Times New Roman" w:cs="Times New Roman"/>
              </w:rPr>
            </w:pPr>
            <w:r>
              <w:rPr>
                <w:rFonts w:ascii="Times New Roman" w:hAnsi="Times New Roman" w:cs="Times New Roman"/>
              </w:rPr>
              <w:t>110(1)</w:t>
            </w:r>
          </w:p>
        </w:tc>
        <w:tc>
          <w:tcPr>
            <w:tcW w:w="2717" w:type="dxa"/>
          </w:tcPr>
          <w:p w14:paraId="76B3607F" w14:textId="77777777" w:rsidR="00FB2E7E" w:rsidRDefault="00FB2E7E" w:rsidP="00577422">
            <w:pPr>
              <w:rPr>
                <w:rFonts w:ascii="Times New Roman" w:hAnsi="Times New Roman" w:cs="Times New Roman"/>
              </w:rPr>
            </w:pPr>
          </w:p>
        </w:tc>
        <w:tc>
          <w:tcPr>
            <w:tcW w:w="1980" w:type="dxa"/>
          </w:tcPr>
          <w:p w14:paraId="5A89E0C5" w14:textId="77777777" w:rsidR="00FB2E7E" w:rsidRPr="00B5727C" w:rsidRDefault="00FB2E7E" w:rsidP="00577422">
            <w:pPr>
              <w:rPr>
                <w:rFonts w:ascii="Times New Roman" w:hAnsi="Times New Roman" w:cs="Times New Roman"/>
              </w:rPr>
            </w:pPr>
          </w:p>
        </w:tc>
        <w:tc>
          <w:tcPr>
            <w:tcW w:w="2610" w:type="dxa"/>
          </w:tcPr>
          <w:p w14:paraId="7680D07C" w14:textId="77777777" w:rsidR="00FB2E7E" w:rsidRPr="00B5727C" w:rsidRDefault="00FB2E7E" w:rsidP="00577422">
            <w:pPr>
              <w:rPr>
                <w:rFonts w:ascii="Times New Roman" w:hAnsi="Times New Roman" w:cs="Times New Roman"/>
                <w:color w:val="000000"/>
              </w:rPr>
            </w:pPr>
          </w:p>
        </w:tc>
        <w:tc>
          <w:tcPr>
            <w:tcW w:w="3420" w:type="dxa"/>
          </w:tcPr>
          <w:p w14:paraId="46CB2CF7"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Delete last sentence as posing potential conflict with due process and modify other language to recognize that the Commission may initiate a rule waiver</w:t>
            </w:r>
          </w:p>
        </w:tc>
        <w:tc>
          <w:tcPr>
            <w:tcW w:w="5130" w:type="dxa"/>
          </w:tcPr>
          <w:p w14:paraId="7B88ECB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in part – The Commission has the authority to waive or modify its rules and has done so on its own motion when justice or the public interest required. Staff has revised the language to clarify that this sentence only applies to Commission-initiated waivers that are consistent with due process and the public interest.</w:t>
            </w:r>
          </w:p>
        </w:tc>
      </w:tr>
      <w:tr w:rsidR="00FB2E7E" w:rsidRPr="00B5727C" w14:paraId="3B8015F3" w14:textId="77777777" w:rsidTr="00475B87">
        <w:trPr>
          <w:cantSplit/>
        </w:trPr>
        <w:tc>
          <w:tcPr>
            <w:tcW w:w="1328" w:type="dxa"/>
          </w:tcPr>
          <w:p w14:paraId="51400EAA" w14:textId="77777777" w:rsidR="00FB2E7E" w:rsidRDefault="00FB2E7E" w:rsidP="00577422">
            <w:pPr>
              <w:rPr>
                <w:rFonts w:ascii="Times New Roman" w:hAnsi="Times New Roman" w:cs="Times New Roman"/>
              </w:rPr>
            </w:pPr>
            <w:r>
              <w:rPr>
                <w:rFonts w:ascii="Times New Roman" w:hAnsi="Times New Roman" w:cs="Times New Roman"/>
              </w:rPr>
              <w:t>110(2)(d)</w:t>
            </w:r>
          </w:p>
        </w:tc>
        <w:tc>
          <w:tcPr>
            <w:tcW w:w="2717" w:type="dxa"/>
          </w:tcPr>
          <w:p w14:paraId="217F7F1A" w14:textId="77777777" w:rsidR="00FB2E7E" w:rsidRDefault="00FB2E7E" w:rsidP="00577422">
            <w:pPr>
              <w:rPr>
                <w:rFonts w:ascii="Times New Roman" w:hAnsi="Times New Roman" w:cs="Times New Roman"/>
              </w:rPr>
            </w:pPr>
          </w:p>
        </w:tc>
        <w:tc>
          <w:tcPr>
            <w:tcW w:w="1980" w:type="dxa"/>
          </w:tcPr>
          <w:p w14:paraId="333BDF23" w14:textId="77777777" w:rsidR="00FB2E7E" w:rsidRPr="00B5727C" w:rsidRDefault="00FB2E7E" w:rsidP="00577422">
            <w:pPr>
              <w:rPr>
                <w:rFonts w:ascii="Times New Roman" w:hAnsi="Times New Roman" w:cs="Times New Roman"/>
              </w:rPr>
            </w:pPr>
          </w:p>
        </w:tc>
        <w:tc>
          <w:tcPr>
            <w:tcW w:w="2610" w:type="dxa"/>
          </w:tcPr>
          <w:p w14:paraId="1AEC21A0" w14:textId="77777777" w:rsidR="00FB2E7E" w:rsidRPr="00B5727C" w:rsidRDefault="00FB2E7E" w:rsidP="00577422">
            <w:pPr>
              <w:rPr>
                <w:rFonts w:ascii="Times New Roman" w:hAnsi="Times New Roman" w:cs="Times New Roman"/>
                <w:color w:val="000000"/>
              </w:rPr>
            </w:pPr>
          </w:p>
        </w:tc>
        <w:tc>
          <w:tcPr>
            <w:tcW w:w="3420" w:type="dxa"/>
          </w:tcPr>
          <w:p w14:paraId="6FD2BDC8"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Retain this subsection as important to due process</w:t>
            </w:r>
          </w:p>
        </w:tc>
        <w:tc>
          <w:tcPr>
            <w:tcW w:w="5130" w:type="dxa"/>
          </w:tcPr>
          <w:p w14:paraId="02C7868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Disagree – The disposition of petitions for rule waiver or modification is the same as any other petition, and this subsection is unnecessary. </w:t>
            </w:r>
          </w:p>
        </w:tc>
      </w:tr>
      <w:tr w:rsidR="00FB2E7E" w:rsidRPr="00B5727C" w14:paraId="33F60192" w14:textId="77777777" w:rsidTr="00475B87">
        <w:trPr>
          <w:cantSplit/>
        </w:trPr>
        <w:tc>
          <w:tcPr>
            <w:tcW w:w="1328" w:type="dxa"/>
          </w:tcPr>
          <w:p w14:paraId="3BD6D443" w14:textId="77777777" w:rsidR="00FB2E7E" w:rsidRDefault="00FB2E7E" w:rsidP="00577422">
            <w:pPr>
              <w:rPr>
                <w:rFonts w:ascii="Times New Roman" w:hAnsi="Times New Roman" w:cs="Times New Roman"/>
              </w:rPr>
            </w:pPr>
            <w:r>
              <w:rPr>
                <w:rFonts w:ascii="Times New Roman" w:hAnsi="Times New Roman" w:cs="Times New Roman"/>
              </w:rPr>
              <w:t>120</w:t>
            </w:r>
          </w:p>
        </w:tc>
        <w:tc>
          <w:tcPr>
            <w:tcW w:w="2717" w:type="dxa"/>
          </w:tcPr>
          <w:p w14:paraId="3B99D5AC" w14:textId="77777777" w:rsidR="00FB2E7E" w:rsidRDefault="00FB2E7E" w:rsidP="00577422">
            <w:pPr>
              <w:rPr>
                <w:rFonts w:ascii="Times New Roman" w:hAnsi="Times New Roman" w:cs="Times New Roman"/>
              </w:rPr>
            </w:pPr>
            <w:r>
              <w:rPr>
                <w:rFonts w:ascii="Times New Roman" w:hAnsi="Times New Roman" w:cs="Times New Roman"/>
              </w:rPr>
              <w:t>PSE: Delete “or when closed due to inclement weather, emergencies, or other similar circumstances” as unnecessary and potentially confusing</w:t>
            </w:r>
          </w:p>
        </w:tc>
        <w:tc>
          <w:tcPr>
            <w:tcW w:w="1980" w:type="dxa"/>
          </w:tcPr>
          <w:p w14:paraId="17A6FE54" w14:textId="77777777" w:rsidR="00FB2E7E" w:rsidRPr="00B5727C" w:rsidRDefault="00FB2E7E" w:rsidP="00577422">
            <w:pPr>
              <w:rPr>
                <w:rFonts w:ascii="Times New Roman" w:hAnsi="Times New Roman" w:cs="Times New Roman"/>
              </w:rPr>
            </w:pPr>
          </w:p>
        </w:tc>
        <w:tc>
          <w:tcPr>
            <w:tcW w:w="2610" w:type="dxa"/>
          </w:tcPr>
          <w:p w14:paraId="7C77A3FE" w14:textId="77777777" w:rsidR="00FB2E7E" w:rsidRPr="00B5727C" w:rsidRDefault="00FB2E7E" w:rsidP="00577422">
            <w:pPr>
              <w:rPr>
                <w:rFonts w:ascii="Times New Roman" w:hAnsi="Times New Roman" w:cs="Times New Roman"/>
                <w:color w:val="000000"/>
              </w:rPr>
            </w:pPr>
          </w:p>
        </w:tc>
        <w:tc>
          <w:tcPr>
            <w:tcW w:w="3420" w:type="dxa"/>
          </w:tcPr>
          <w:p w14:paraId="14DB526B" w14:textId="77777777" w:rsidR="00FB2E7E" w:rsidRDefault="00FB2E7E" w:rsidP="00577422">
            <w:pPr>
              <w:rPr>
                <w:rFonts w:ascii="Times New Roman" w:hAnsi="Times New Roman" w:cs="Times New Roman"/>
                <w:color w:val="000000"/>
              </w:rPr>
            </w:pPr>
          </w:p>
        </w:tc>
        <w:tc>
          <w:tcPr>
            <w:tcW w:w="5130" w:type="dxa"/>
          </w:tcPr>
          <w:p w14:paraId="3CF5923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Staff has deleted that language.</w:t>
            </w:r>
          </w:p>
        </w:tc>
      </w:tr>
      <w:tr w:rsidR="00FB2E7E" w:rsidRPr="00B5727C" w14:paraId="45CD7F0F" w14:textId="77777777" w:rsidTr="00475B87">
        <w:trPr>
          <w:cantSplit/>
        </w:trPr>
        <w:tc>
          <w:tcPr>
            <w:tcW w:w="1328" w:type="dxa"/>
          </w:tcPr>
          <w:p w14:paraId="7FA71879" w14:textId="77777777" w:rsidR="00FB2E7E" w:rsidRDefault="00FB2E7E" w:rsidP="00577422">
            <w:pPr>
              <w:rPr>
                <w:rFonts w:ascii="Times New Roman" w:hAnsi="Times New Roman" w:cs="Times New Roman"/>
              </w:rPr>
            </w:pPr>
            <w:r>
              <w:rPr>
                <w:rFonts w:ascii="Times New Roman" w:hAnsi="Times New Roman" w:cs="Times New Roman"/>
              </w:rPr>
              <w:t>140(1)</w:t>
            </w:r>
          </w:p>
        </w:tc>
        <w:tc>
          <w:tcPr>
            <w:tcW w:w="2717" w:type="dxa"/>
          </w:tcPr>
          <w:p w14:paraId="4862E360" w14:textId="77777777" w:rsidR="00FB2E7E" w:rsidRDefault="00FB2E7E" w:rsidP="00577422">
            <w:pPr>
              <w:rPr>
                <w:rFonts w:ascii="Times New Roman" w:hAnsi="Times New Roman" w:cs="Times New Roman"/>
              </w:rPr>
            </w:pPr>
            <w:r>
              <w:rPr>
                <w:rFonts w:ascii="Times New Roman" w:hAnsi="Times New Roman" w:cs="Times New Roman"/>
              </w:rPr>
              <w:t>PSE: Retain section on electronic filing of public records requests as helpful in providing instructions for using the web portal</w:t>
            </w:r>
          </w:p>
        </w:tc>
        <w:tc>
          <w:tcPr>
            <w:tcW w:w="1980" w:type="dxa"/>
          </w:tcPr>
          <w:p w14:paraId="14B9B8D0" w14:textId="77777777" w:rsidR="00FB2E7E" w:rsidRPr="00B5727C" w:rsidRDefault="00FB2E7E" w:rsidP="00577422">
            <w:pPr>
              <w:rPr>
                <w:rFonts w:ascii="Times New Roman" w:hAnsi="Times New Roman" w:cs="Times New Roman"/>
              </w:rPr>
            </w:pPr>
          </w:p>
        </w:tc>
        <w:tc>
          <w:tcPr>
            <w:tcW w:w="2610" w:type="dxa"/>
          </w:tcPr>
          <w:p w14:paraId="33F3BC5C" w14:textId="77777777" w:rsidR="00FB2E7E" w:rsidRPr="00B5727C" w:rsidRDefault="00FB2E7E" w:rsidP="00577422">
            <w:pPr>
              <w:rPr>
                <w:rFonts w:ascii="Times New Roman" w:hAnsi="Times New Roman" w:cs="Times New Roman"/>
                <w:color w:val="000000"/>
              </w:rPr>
            </w:pPr>
          </w:p>
        </w:tc>
        <w:tc>
          <w:tcPr>
            <w:tcW w:w="3420" w:type="dxa"/>
          </w:tcPr>
          <w:p w14:paraId="288DE320"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Cross reference to WAC 480-07-143 should be changed to WAC 480-07-140(5)(c)</w:t>
            </w:r>
          </w:p>
        </w:tc>
        <w:tc>
          <w:tcPr>
            <w:tcW w:w="5130" w:type="dxa"/>
          </w:tcPr>
          <w:p w14:paraId="664F03F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 Disagree. The rules already provide instructions on use of the web portal and need not do so in the context of RFPRs.</w:t>
            </w:r>
          </w:p>
          <w:p w14:paraId="0057DD32"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 Agree in part. The reference to 143 is incorrect, but the correction should be to other provisions in the rules.</w:t>
            </w:r>
          </w:p>
        </w:tc>
      </w:tr>
      <w:tr w:rsidR="00FB2E7E" w:rsidRPr="00B5727C" w14:paraId="2F3F3190" w14:textId="77777777" w:rsidTr="00475B87">
        <w:trPr>
          <w:cantSplit/>
        </w:trPr>
        <w:tc>
          <w:tcPr>
            <w:tcW w:w="1328" w:type="dxa"/>
          </w:tcPr>
          <w:p w14:paraId="77904F9E" w14:textId="77777777" w:rsidR="00FB2E7E" w:rsidRDefault="00FB2E7E" w:rsidP="00577422">
            <w:pPr>
              <w:rPr>
                <w:rFonts w:ascii="Times New Roman" w:hAnsi="Times New Roman" w:cs="Times New Roman"/>
              </w:rPr>
            </w:pPr>
            <w:r>
              <w:rPr>
                <w:rFonts w:ascii="Times New Roman" w:hAnsi="Times New Roman" w:cs="Times New Roman"/>
              </w:rPr>
              <w:lastRenderedPageBreak/>
              <w:t>140(1)(a)</w:t>
            </w:r>
          </w:p>
        </w:tc>
        <w:tc>
          <w:tcPr>
            <w:tcW w:w="2717" w:type="dxa"/>
          </w:tcPr>
          <w:p w14:paraId="764B6192" w14:textId="77777777" w:rsidR="00FB2E7E" w:rsidRDefault="00FB2E7E" w:rsidP="00577422">
            <w:pPr>
              <w:rPr>
                <w:rFonts w:ascii="Times New Roman" w:hAnsi="Times New Roman" w:cs="Times New Roman"/>
              </w:rPr>
            </w:pPr>
          </w:p>
        </w:tc>
        <w:tc>
          <w:tcPr>
            <w:tcW w:w="1980" w:type="dxa"/>
          </w:tcPr>
          <w:p w14:paraId="44EB23F0" w14:textId="77777777" w:rsidR="00FB2E7E" w:rsidRPr="00B5727C" w:rsidRDefault="00FB2E7E" w:rsidP="00577422">
            <w:pPr>
              <w:rPr>
                <w:rFonts w:ascii="Times New Roman" w:hAnsi="Times New Roman" w:cs="Times New Roman"/>
              </w:rPr>
            </w:pPr>
          </w:p>
        </w:tc>
        <w:tc>
          <w:tcPr>
            <w:tcW w:w="2610" w:type="dxa"/>
          </w:tcPr>
          <w:p w14:paraId="0BCE7872"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SLG: Why allow public comments in adjudication from nonparties?</w:t>
            </w:r>
          </w:p>
        </w:tc>
        <w:tc>
          <w:tcPr>
            <w:tcW w:w="3420" w:type="dxa"/>
          </w:tcPr>
          <w:p w14:paraId="0AEF611E" w14:textId="77777777" w:rsidR="00FB2E7E" w:rsidRPr="00B5727C" w:rsidRDefault="00FB2E7E" w:rsidP="00577422">
            <w:pPr>
              <w:rPr>
                <w:rFonts w:ascii="Times New Roman" w:hAnsi="Times New Roman" w:cs="Times New Roman"/>
                <w:color w:val="000000"/>
              </w:rPr>
            </w:pPr>
          </w:p>
        </w:tc>
        <w:tc>
          <w:tcPr>
            <w:tcW w:w="5130" w:type="dxa"/>
          </w:tcPr>
          <w:p w14:paraId="1C6D7C1D"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The Commission has always accepted public comment from nonparties in adjudications, particularly energy rate cases in which the Commission conducts hearings specifically for this purpose. The Commission also recently received comments from non-parties in an adjudication concerning solid waste collection (Docket TG-151573).</w:t>
            </w:r>
          </w:p>
        </w:tc>
      </w:tr>
      <w:tr w:rsidR="00FB2E7E" w:rsidRPr="00B5727C" w14:paraId="2AE76995" w14:textId="77777777" w:rsidTr="00475B87">
        <w:trPr>
          <w:cantSplit/>
        </w:trPr>
        <w:tc>
          <w:tcPr>
            <w:tcW w:w="1328" w:type="dxa"/>
          </w:tcPr>
          <w:p w14:paraId="265D30AA" w14:textId="77777777" w:rsidR="00FB2E7E" w:rsidRDefault="00FB2E7E" w:rsidP="00577422">
            <w:pPr>
              <w:rPr>
                <w:rFonts w:ascii="Times New Roman" w:hAnsi="Times New Roman" w:cs="Times New Roman"/>
              </w:rPr>
            </w:pPr>
            <w:r>
              <w:rPr>
                <w:rFonts w:ascii="Times New Roman" w:hAnsi="Times New Roman" w:cs="Times New Roman"/>
              </w:rPr>
              <w:t>140(1) &amp; (5)</w:t>
            </w:r>
          </w:p>
        </w:tc>
        <w:tc>
          <w:tcPr>
            <w:tcW w:w="2717" w:type="dxa"/>
          </w:tcPr>
          <w:p w14:paraId="6020AAF2" w14:textId="77777777" w:rsidR="00FB2E7E" w:rsidRDefault="00FB2E7E" w:rsidP="00577422">
            <w:pPr>
              <w:rPr>
                <w:rFonts w:ascii="Times New Roman" w:hAnsi="Times New Roman" w:cs="Times New Roman"/>
              </w:rPr>
            </w:pPr>
            <w:r>
              <w:rPr>
                <w:rFonts w:ascii="Times New Roman" w:hAnsi="Times New Roman" w:cs="Times New Roman"/>
              </w:rPr>
              <w:t>PSE: Delete reference to submissions as “formal” and “informal” as unnecessarily confusing</w:t>
            </w:r>
          </w:p>
        </w:tc>
        <w:tc>
          <w:tcPr>
            <w:tcW w:w="1980" w:type="dxa"/>
          </w:tcPr>
          <w:p w14:paraId="604AE0CD" w14:textId="77777777" w:rsidR="00FB2E7E" w:rsidRPr="00B5727C" w:rsidRDefault="00FB2E7E" w:rsidP="00577422">
            <w:pPr>
              <w:rPr>
                <w:rFonts w:ascii="Times New Roman" w:hAnsi="Times New Roman" w:cs="Times New Roman"/>
              </w:rPr>
            </w:pPr>
          </w:p>
        </w:tc>
        <w:tc>
          <w:tcPr>
            <w:tcW w:w="2610" w:type="dxa"/>
          </w:tcPr>
          <w:p w14:paraId="339EFEFA" w14:textId="77777777" w:rsidR="00FB2E7E" w:rsidRPr="00B5727C" w:rsidRDefault="00FB2E7E" w:rsidP="00577422">
            <w:pPr>
              <w:rPr>
                <w:rFonts w:ascii="Times New Roman" w:hAnsi="Times New Roman" w:cs="Times New Roman"/>
                <w:color w:val="000000"/>
              </w:rPr>
            </w:pPr>
          </w:p>
        </w:tc>
        <w:tc>
          <w:tcPr>
            <w:tcW w:w="3420" w:type="dxa"/>
          </w:tcPr>
          <w:p w14:paraId="75A882E0" w14:textId="77777777" w:rsidR="00FB2E7E" w:rsidRPr="00B5727C" w:rsidRDefault="00FB2E7E" w:rsidP="00577422">
            <w:pPr>
              <w:rPr>
                <w:rFonts w:ascii="Times New Roman" w:hAnsi="Times New Roman" w:cs="Times New Roman"/>
                <w:color w:val="000000"/>
              </w:rPr>
            </w:pPr>
          </w:p>
        </w:tc>
        <w:tc>
          <w:tcPr>
            <w:tcW w:w="5130" w:type="dxa"/>
          </w:tcPr>
          <w:p w14:paraId="5CB1C53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The Commission has long distinguished its handling of formal and informal submissions, the latter including such documents as consumer complaints and comments on open meeting items. The proposed rules simply recognize this distinction, but Staff has revised the language to make it more clear.</w:t>
            </w:r>
          </w:p>
        </w:tc>
      </w:tr>
      <w:tr w:rsidR="00FB2E7E" w:rsidRPr="00B5727C" w14:paraId="6F5BB988" w14:textId="77777777" w:rsidTr="00475B87">
        <w:trPr>
          <w:cantSplit/>
        </w:trPr>
        <w:tc>
          <w:tcPr>
            <w:tcW w:w="1328" w:type="dxa"/>
          </w:tcPr>
          <w:p w14:paraId="0ACA3F1E" w14:textId="77777777" w:rsidR="00FB2E7E" w:rsidRDefault="00FB2E7E" w:rsidP="00577422">
            <w:pPr>
              <w:rPr>
                <w:rFonts w:ascii="Times New Roman" w:hAnsi="Times New Roman" w:cs="Times New Roman"/>
              </w:rPr>
            </w:pPr>
            <w:r>
              <w:rPr>
                <w:rFonts w:ascii="Times New Roman" w:hAnsi="Times New Roman" w:cs="Times New Roman"/>
              </w:rPr>
              <w:t>140(3)</w:t>
            </w:r>
          </w:p>
        </w:tc>
        <w:tc>
          <w:tcPr>
            <w:tcW w:w="2717" w:type="dxa"/>
          </w:tcPr>
          <w:p w14:paraId="0BE4080A" w14:textId="77777777" w:rsidR="00FB2E7E" w:rsidRDefault="00FB2E7E" w:rsidP="00577422">
            <w:pPr>
              <w:rPr>
                <w:rFonts w:ascii="Times New Roman" w:hAnsi="Times New Roman" w:cs="Times New Roman"/>
              </w:rPr>
            </w:pPr>
            <w:r>
              <w:rPr>
                <w:rFonts w:ascii="Times New Roman" w:hAnsi="Times New Roman" w:cs="Times New Roman"/>
              </w:rPr>
              <w:t>PPL: Exclude workpapers from requirement that cover letters identify all submitted documents as overly burdensome</w:t>
            </w:r>
          </w:p>
        </w:tc>
        <w:tc>
          <w:tcPr>
            <w:tcW w:w="1980" w:type="dxa"/>
          </w:tcPr>
          <w:p w14:paraId="46152C91" w14:textId="77777777" w:rsidR="00FB2E7E" w:rsidRPr="00B5727C" w:rsidRDefault="00FB2E7E" w:rsidP="00577422">
            <w:pPr>
              <w:rPr>
                <w:rFonts w:ascii="Times New Roman" w:hAnsi="Times New Roman" w:cs="Times New Roman"/>
              </w:rPr>
            </w:pPr>
          </w:p>
        </w:tc>
        <w:tc>
          <w:tcPr>
            <w:tcW w:w="2610" w:type="dxa"/>
          </w:tcPr>
          <w:p w14:paraId="355B94B6" w14:textId="77777777" w:rsidR="00FB2E7E" w:rsidRDefault="00FB2E7E" w:rsidP="00577422">
            <w:pPr>
              <w:rPr>
                <w:rFonts w:ascii="Times New Roman" w:hAnsi="Times New Roman" w:cs="Times New Roman"/>
                <w:color w:val="000000"/>
              </w:rPr>
            </w:pPr>
          </w:p>
        </w:tc>
        <w:tc>
          <w:tcPr>
            <w:tcW w:w="3420" w:type="dxa"/>
          </w:tcPr>
          <w:p w14:paraId="1564E263" w14:textId="77777777" w:rsidR="00FB2E7E" w:rsidRPr="00B5727C" w:rsidRDefault="00FB2E7E" w:rsidP="00577422">
            <w:pPr>
              <w:rPr>
                <w:rFonts w:ascii="Times New Roman" w:hAnsi="Times New Roman" w:cs="Times New Roman"/>
                <w:color w:val="000000"/>
              </w:rPr>
            </w:pPr>
          </w:p>
        </w:tc>
        <w:tc>
          <w:tcPr>
            <w:tcW w:w="5130" w:type="dxa"/>
          </w:tcPr>
          <w:p w14:paraId="5A4DA26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Disagree. The purpose of listing in the cover letter all of the documents submitted is to ensure that the Commission has received all documents persons believe they have submitted. This is just as necessary for workpapers as it is for other documents. </w:t>
            </w:r>
          </w:p>
        </w:tc>
      </w:tr>
      <w:tr w:rsidR="00FB2E7E" w:rsidRPr="00B5727C" w14:paraId="2B091CA1" w14:textId="77777777" w:rsidTr="00475B87">
        <w:trPr>
          <w:cantSplit/>
        </w:trPr>
        <w:tc>
          <w:tcPr>
            <w:tcW w:w="1328" w:type="dxa"/>
          </w:tcPr>
          <w:p w14:paraId="2CE98321" w14:textId="77777777" w:rsidR="00FB2E7E" w:rsidRDefault="00FB2E7E" w:rsidP="00577422">
            <w:pPr>
              <w:rPr>
                <w:rFonts w:ascii="Times New Roman" w:hAnsi="Times New Roman" w:cs="Times New Roman"/>
              </w:rPr>
            </w:pPr>
            <w:r>
              <w:rPr>
                <w:rFonts w:ascii="Times New Roman" w:hAnsi="Times New Roman" w:cs="Times New Roman"/>
              </w:rPr>
              <w:t>140(5)</w:t>
            </w:r>
          </w:p>
        </w:tc>
        <w:tc>
          <w:tcPr>
            <w:tcW w:w="2717" w:type="dxa"/>
          </w:tcPr>
          <w:p w14:paraId="1558520C" w14:textId="77777777" w:rsidR="00FB2E7E" w:rsidRDefault="00FB2E7E" w:rsidP="00577422">
            <w:pPr>
              <w:rPr>
                <w:rFonts w:ascii="Times New Roman" w:hAnsi="Times New Roman" w:cs="Times New Roman"/>
              </w:rPr>
            </w:pPr>
          </w:p>
        </w:tc>
        <w:tc>
          <w:tcPr>
            <w:tcW w:w="1980" w:type="dxa"/>
          </w:tcPr>
          <w:p w14:paraId="78504DA7" w14:textId="77777777" w:rsidR="00FB2E7E" w:rsidRPr="00B5727C" w:rsidRDefault="00FB2E7E" w:rsidP="00577422">
            <w:pPr>
              <w:rPr>
                <w:rFonts w:ascii="Times New Roman" w:hAnsi="Times New Roman" w:cs="Times New Roman"/>
              </w:rPr>
            </w:pPr>
          </w:p>
        </w:tc>
        <w:tc>
          <w:tcPr>
            <w:tcW w:w="2610" w:type="dxa"/>
          </w:tcPr>
          <w:p w14:paraId="3BC001D2"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WK: Extend time for electronic submission beyond 5:00 p.m. on due date</w:t>
            </w:r>
          </w:p>
        </w:tc>
        <w:tc>
          <w:tcPr>
            <w:tcW w:w="3420" w:type="dxa"/>
          </w:tcPr>
          <w:p w14:paraId="50129C65"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Include email size limitations on the website</w:t>
            </w:r>
          </w:p>
        </w:tc>
        <w:tc>
          <w:tcPr>
            <w:tcW w:w="5130" w:type="dxa"/>
          </w:tcPr>
          <w:p w14:paraId="7506B6FD"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WK – Disagree. Commission staff, as well as presiding officers, often want access to documents on the date they are due, even if that is at, or just prior to, 5:00. In addition, documents should be filed when records center staff is available to provide assistance, if necessary.</w:t>
            </w:r>
          </w:p>
          <w:p w14:paraId="1DA7021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 Agree. Staff has added appropriate language.</w:t>
            </w:r>
          </w:p>
        </w:tc>
      </w:tr>
      <w:tr w:rsidR="00FB2E7E" w:rsidRPr="00B5727C" w14:paraId="71278B9A" w14:textId="77777777" w:rsidTr="00475B87">
        <w:trPr>
          <w:cantSplit/>
        </w:trPr>
        <w:tc>
          <w:tcPr>
            <w:tcW w:w="1328" w:type="dxa"/>
          </w:tcPr>
          <w:p w14:paraId="179C1D44" w14:textId="77777777" w:rsidR="00FB2E7E" w:rsidRDefault="00FB2E7E" w:rsidP="00577422">
            <w:pPr>
              <w:rPr>
                <w:rFonts w:ascii="Times New Roman" w:hAnsi="Times New Roman" w:cs="Times New Roman"/>
              </w:rPr>
            </w:pPr>
            <w:r>
              <w:rPr>
                <w:rFonts w:ascii="Times New Roman" w:hAnsi="Times New Roman" w:cs="Times New Roman"/>
              </w:rPr>
              <w:lastRenderedPageBreak/>
              <w:t>140(6)(a)</w:t>
            </w:r>
          </w:p>
        </w:tc>
        <w:tc>
          <w:tcPr>
            <w:tcW w:w="2717" w:type="dxa"/>
          </w:tcPr>
          <w:p w14:paraId="5B1B65D6" w14:textId="77777777" w:rsidR="00FB2E7E" w:rsidRDefault="00FB2E7E" w:rsidP="00577422">
            <w:pPr>
              <w:rPr>
                <w:rFonts w:ascii="Times New Roman" w:hAnsi="Times New Roman" w:cs="Times New Roman"/>
              </w:rPr>
            </w:pPr>
            <w:r>
              <w:rPr>
                <w:rFonts w:ascii="Times New Roman" w:hAnsi="Times New Roman" w:cs="Times New Roman"/>
              </w:rPr>
              <w:t>PSE: Delete reference to Excel to allow for alternative spreadsheet software applications</w:t>
            </w:r>
          </w:p>
        </w:tc>
        <w:tc>
          <w:tcPr>
            <w:tcW w:w="1980" w:type="dxa"/>
          </w:tcPr>
          <w:p w14:paraId="451E9C0F" w14:textId="77777777" w:rsidR="00FB2E7E" w:rsidRPr="00B5727C" w:rsidRDefault="00FB2E7E" w:rsidP="00577422">
            <w:pPr>
              <w:rPr>
                <w:rFonts w:ascii="Times New Roman" w:hAnsi="Times New Roman" w:cs="Times New Roman"/>
              </w:rPr>
            </w:pPr>
          </w:p>
        </w:tc>
        <w:tc>
          <w:tcPr>
            <w:tcW w:w="2610" w:type="dxa"/>
          </w:tcPr>
          <w:p w14:paraId="4255B2B5"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SLG: Allow for .pdf other than Adobe Acrobat; clarify whether Excel documents must also be provided in .pdf; clarify “standard conventions” for email communications</w:t>
            </w:r>
          </w:p>
        </w:tc>
        <w:tc>
          <w:tcPr>
            <w:tcW w:w="3420" w:type="dxa"/>
          </w:tcPr>
          <w:p w14:paraId="6CB599A0"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Clarify labeling of .pdf documents depending on how they were created (i.e,, whether or not they are searchable)</w:t>
            </w:r>
          </w:p>
        </w:tc>
        <w:tc>
          <w:tcPr>
            <w:tcW w:w="5130" w:type="dxa"/>
          </w:tcPr>
          <w:p w14:paraId="0DD3811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 Disagree. The rule specifies Excel because the Commission has a license to use that program and personnel who use it, which may not be true for other programs. Staff, however, has added language to provide some flexibility for future change.</w:t>
            </w:r>
          </w:p>
          <w:p w14:paraId="060C33D7"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 Agree with respect to .pdf issues. Staff has revised the language accordingly. Disagree on email. The language is intentionally broad to allow for future changes in technology, but staff has substituted “generally accepted” for “standard” conventions.</w:t>
            </w:r>
          </w:p>
          <w:p w14:paraId="1D2D627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 Agree. Staff has deleted the segregation requirement.</w:t>
            </w:r>
          </w:p>
        </w:tc>
      </w:tr>
      <w:tr w:rsidR="00FB2E7E" w:rsidRPr="00B5727C" w14:paraId="4B0F85AD" w14:textId="77777777" w:rsidTr="00475B87">
        <w:trPr>
          <w:cantSplit/>
        </w:trPr>
        <w:tc>
          <w:tcPr>
            <w:tcW w:w="1328" w:type="dxa"/>
          </w:tcPr>
          <w:p w14:paraId="1523965F" w14:textId="77777777" w:rsidR="00FB2E7E" w:rsidRDefault="00FB2E7E" w:rsidP="00577422">
            <w:pPr>
              <w:rPr>
                <w:rFonts w:ascii="Times New Roman" w:hAnsi="Times New Roman" w:cs="Times New Roman"/>
              </w:rPr>
            </w:pPr>
            <w:r>
              <w:rPr>
                <w:rFonts w:ascii="Times New Roman" w:hAnsi="Times New Roman" w:cs="Times New Roman"/>
              </w:rPr>
              <w:t>140(6)(b)</w:t>
            </w:r>
          </w:p>
        </w:tc>
        <w:tc>
          <w:tcPr>
            <w:tcW w:w="2717" w:type="dxa"/>
          </w:tcPr>
          <w:p w14:paraId="114C8512" w14:textId="77777777" w:rsidR="00FB2E7E" w:rsidRDefault="00FB2E7E" w:rsidP="00577422">
            <w:pPr>
              <w:rPr>
                <w:rFonts w:ascii="Times New Roman" w:hAnsi="Times New Roman" w:cs="Times New Roman"/>
              </w:rPr>
            </w:pPr>
            <w:r>
              <w:rPr>
                <w:rFonts w:ascii="Times New Roman" w:hAnsi="Times New Roman" w:cs="Times New Roman"/>
              </w:rPr>
              <w:t>PPL: Use exhibit numbers rather than document/witness name to identify documents</w:t>
            </w:r>
          </w:p>
        </w:tc>
        <w:tc>
          <w:tcPr>
            <w:tcW w:w="1980" w:type="dxa"/>
          </w:tcPr>
          <w:p w14:paraId="3F99ACC0" w14:textId="77777777" w:rsidR="00FB2E7E" w:rsidRPr="00B5727C" w:rsidRDefault="00FB2E7E" w:rsidP="00577422">
            <w:pPr>
              <w:rPr>
                <w:rFonts w:ascii="Times New Roman" w:hAnsi="Times New Roman" w:cs="Times New Roman"/>
              </w:rPr>
            </w:pPr>
          </w:p>
        </w:tc>
        <w:tc>
          <w:tcPr>
            <w:tcW w:w="2610" w:type="dxa"/>
          </w:tcPr>
          <w:p w14:paraId="058517D9" w14:textId="77777777" w:rsidR="00FB2E7E" w:rsidRDefault="00FB2E7E" w:rsidP="00577422">
            <w:pPr>
              <w:rPr>
                <w:rFonts w:ascii="Times New Roman" w:hAnsi="Times New Roman" w:cs="Times New Roman"/>
                <w:color w:val="000000"/>
              </w:rPr>
            </w:pPr>
          </w:p>
        </w:tc>
        <w:tc>
          <w:tcPr>
            <w:tcW w:w="3420" w:type="dxa"/>
          </w:tcPr>
          <w:p w14:paraId="5DF087FE"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Use only docket numbers without prefix (UE, TG, etc.) in document name; include examples in rule</w:t>
            </w:r>
          </w:p>
        </w:tc>
        <w:tc>
          <w:tcPr>
            <w:tcW w:w="5130" w:type="dxa"/>
          </w:tcPr>
          <w:p w14:paraId="6F9E02E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PPL – Disagree. Staff has explored various alternatives for identifying documents and concluded that the current method with a slight modification is the best option.</w:t>
            </w:r>
          </w:p>
          <w:p w14:paraId="1BE2136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 Agree on prefixes. Staff has revised the language accordingly. Disagree with including illustrative examples. The Commission will include such examples on its website to which the proposed rule refers.</w:t>
            </w:r>
          </w:p>
        </w:tc>
      </w:tr>
      <w:tr w:rsidR="00FB2E7E" w:rsidRPr="00B5727C" w14:paraId="35F3FF54" w14:textId="77777777" w:rsidTr="00475B87">
        <w:trPr>
          <w:cantSplit/>
        </w:trPr>
        <w:tc>
          <w:tcPr>
            <w:tcW w:w="1328" w:type="dxa"/>
          </w:tcPr>
          <w:p w14:paraId="2D881238" w14:textId="77777777" w:rsidR="00FB2E7E" w:rsidRDefault="00FB2E7E" w:rsidP="00577422">
            <w:pPr>
              <w:rPr>
                <w:rFonts w:ascii="Times New Roman" w:hAnsi="Times New Roman" w:cs="Times New Roman"/>
              </w:rPr>
            </w:pPr>
            <w:r>
              <w:rPr>
                <w:rFonts w:ascii="Times New Roman" w:hAnsi="Times New Roman" w:cs="Times New Roman"/>
              </w:rPr>
              <w:t>141</w:t>
            </w:r>
          </w:p>
        </w:tc>
        <w:tc>
          <w:tcPr>
            <w:tcW w:w="2717" w:type="dxa"/>
          </w:tcPr>
          <w:p w14:paraId="582FB60D" w14:textId="77777777" w:rsidR="00FB2E7E" w:rsidRDefault="00FB2E7E" w:rsidP="00577422">
            <w:pPr>
              <w:rPr>
                <w:rFonts w:ascii="Times New Roman" w:hAnsi="Times New Roman" w:cs="Times New Roman"/>
              </w:rPr>
            </w:pPr>
            <w:r>
              <w:rPr>
                <w:rFonts w:ascii="Times New Roman" w:hAnsi="Times New Roman" w:cs="Times New Roman"/>
              </w:rPr>
              <w:t>PSE: Add “Once the commission has assigned a docket number to a document, such submission is deemed accepted by the commission.”</w:t>
            </w:r>
          </w:p>
        </w:tc>
        <w:tc>
          <w:tcPr>
            <w:tcW w:w="1980" w:type="dxa"/>
          </w:tcPr>
          <w:p w14:paraId="3967E40B" w14:textId="77777777" w:rsidR="00FB2E7E" w:rsidRDefault="00FB2E7E" w:rsidP="00577422">
            <w:pPr>
              <w:rPr>
                <w:rFonts w:ascii="Times New Roman" w:hAnsi="Times New Roman" w:cs="Times New Roman"/>
              </w:rPr>
            </w:pPr>
          </w:p>
        </w:tc>
        <w:tc>
          <w:tcPr>
            <w:tcW w:w="2610" w:type="dxa"/>
          </w:tcPr>
          <w:p w14:paraId="61A4533C"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SLG: Clarify whether “material” standard for notification of noncompliance is the same as the standard for changing the receipt date of submissions</w:t>
            </w:r>
          </w:p>
        </w:tc>
        <w:tc>
          <w:tcPr>
            <w:tcW w:w="3420" w:type="dxa"/>
          </w:tcPr>
          <w:p w14:paraId="781A0B72" w14:textId="77777777" w:rsidR="00FB2E7E" w:rsidRPr="00B5727C" w:rsidRDefault="00FB2E7E" w:rsidP="00577422">
            <w:pPr>
              <w:rPr>
                <w:rFonts w:ascii="Times New Roman" w:hAnsi="Times New Roman" w:cs="Times New Roman"/>
                <w:color w:val="000000"/>
              </w:rPr>
            </w:pPr>
          </w:p>
        </w:tc>
        <w:tc>
          <w:tcPr>
            <w:tcW w:w="5130" w:type="dxa"/>
          </w:tcPr>
          <w:p w14:paraId="1A360EC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 Agree on need for clarification but disagree with proposed language. The rule addresses submission and filing of all documents, not just initial submissions. Staff has included language that states that documents are accepted unless the Commission notifies the party otherwise.</w:t>
            </w:r>
          </w:p>
          <w:p w14:paraId="26E18D3C"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 Agree. Staff has clarified the language.</w:t>
            </w:r>
          </w:p>
        </w:tc>
      </w:tr>
      <w:tr w:rsidR="00FB2E7E" w:rsidRPr="00B5727C" w14:paraId="4847375F" w14:textId="77777777" w:rsidTr="00475B87">
        <w:trPr>
          <w:cantSplit/>
        </w:trPr>
        <w:tc>
          <w:tcPr>
            <w:tcW w:w="1328" w:type="dxa"/>
          </w:tcPr>
          <w:p w14:paraId="6C970CC2" w14:textId="77777777" w:rsidR="00FB2E7E" w:rsidRDefault="00FB2E7E" w:rsidP="00577422">
            <w:pPr>
              <w:rPr>
                <w:rFonts w:ascii="Times New Roman" w:hAnsi="Times New Roman" w:cs="Times New Roman"/>
              </w:rPr>
            </w:pPr>
            <w:r>
              <w:rPr>
                <w:rFonts w:ascii="Times New Roman" w:hAnsi="Times New Roman" w:cs="Times New Roman"/>
              </w:rPr>
              <w:t>150</w:t>
            </w:r>
          </w:p>
        </w:tc>
        <w:tc>
          <w:tcPr>
            <w:tcW w:w="2717" w:type="dxa"/>
          </w:tcPr>
          <w:p w14:paraId="79D1671C" w14:textId="77777777" w:rsidR="00FB2E7E" w:rsidRDefault="00FB2E7E" w:rsidP="00577422">
            <w:pPr>
              <w:rPr>
                <w:rFonts w:ascii="Times New Roman" w:hAnsi="Times New Roman" w:cs="Times New Roman"/>
              </w:rPr>
            </w:pPr>
          </w:p>
        </w:tc>
        <w:tc>
          <w:tcPr>
            <w:tcW w:w="1980" w:type="dxa"/>
          </w:tcPr>
          <w:p w14:paraId="716D8818" w14:textId="77777777" w:rsidR="00FB2E7E" w:rsidRDefault="00FB2E7E" w:rsidP="00577422">
            <w:pPr>
              <w:rPr>
                <w:rFonts w:ascii="Times New Roman" w:hAnsi="Times New Roman" w:cs="Times New Roman"/>
              </w:rPr>
            </w:pPr>
          </w:p>
        </w:tc>
        <w:tc>
          <w:tcPr>
            <w:tcW w:w="2610" w:type="dxa"/>
          </w:tcPr>
          <w:p w14:paraId="120AE25A" w14:textId="77777777" w:rsidR="00FB2E7E" w:rsidRDefault="00FB2E7E" w:rsidP="00577422">
            <w:pPr>
              <w:rPr>
                <w:rFonts w:ascii="Times New Roman" w:hAnsi="Times New Roman" w:cs="Times New Roman"/>
                <w:color w:val="000000"/>
              </w:rPr>
            </w:pPr>
          </w:p>
        </w:tc>
        <w:tc>
          <w:tcPr>
            <w:tcW w:w="3420" w:type="dxa"/>
          </w:tcPr>
          <w:p w14:paraId="469A643F" w14:textId="77777777" w:rsidR="00FB2E7E" w:rsidRPr="00B5727C" w:rsidRDefault="00FB2E7E" w:rsidP="00577422">
            <w:pPr>
              <w:rPr>
                <w:rFonts w:ascii="Times New Roman" w:hAnsi="Times New Roman" w:cs="Times New Roman"/>
                <w:color w:val="000000"/>
              </w:rPr>
            </w:pPr>
          </w:p>
        </w:tc>
        <w:tc>
          <w:tcPr>
            <w:tcW w:w="5130" w:type="dxa"/>
          </w:tcPr>
          <w:p w14:paraId="2C049EA7"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reinstated and modified a portion of this rule to address requirements for Commission service of documents.</w:t>
            </w:r>
          </w:p>
        </w:tc>
      </w:tr>
      <w:tr w:rsidR="00FB2E7E" w:rsidRPr="00B5727C" w14:paraId="51880DD7" w14:textId="77777777" w:rsidTr="00475B87">
        <w:trPr>
          <w:cantSplit/>
        </w:trPr>
        <w:tc>
          <w:tcPr>
            <w:tcW w:w="1328" w:type="dxa"/>
          </w:tcPr>
          <w:p w14:paraId="6F241505" w14:textId="77777777" w:rsidR="00FB2E7E" w:rsidRDefault="00FB2E7E" w:rsidP="00577422">
            <w:pPr>
              <w:rPr>
                <w:rFonts w:ascii="Times New Roman" w:hAnsi="Times New Roman" w:cs="Times New Roman"/>
              </w:rPr>
            </w:pPr>
            <w:r>
              <w:rPr>
                <w:rFonts w:ascii="Times New Roman" w:hAnsi="Times New Roman" w:cs="Times New Roman"/>
              </w:rPr>
              <w:lastRenderedPageBreak/>
              <w:t>160</w:t>
            </w:r>
          </w:p>
        </w:tc>
        <w:tc>
          <w:tcPr>
            <w:tcW w:w="2717" w:type="dxa"/>
          </w:tcPr>
          <w:p w14:paraId="56475507" w14:textId="77777777" w:rsidR="00FB2E7E" w:rsidRDefault="00FB2E7E" w:rsidP="00577422">
            <w:pPr>
              <w:rPr>
                <w:rFonts w:ascii="Times New Roman" w:hAnsi="Times New Roman" w:cs="Times New Roman"/>
              </w:rPr>
            </w:pPr>
            <w:r>
              <w:rPr>
                <w:rFonts w:ascii="Times New Roman" w:hAnsi="Times New Roman" w:cs="Times New Roman"/>
              </w:rPr>
              <w:t>PSE, PPL: Exclude workpapers from requirements for marking confidential documents as administratively burdensome and unnecessary</w:t>
            </w:r>
          </w:p>
        </w:tc>
        <w:tc>
          <w:tcPr>
            <w:tcW w:w="1980" w:type="dxa"/>
          </w:tcPr>
          <w:p w14:paraId="0995E342" w14:textId="77777777" w:rsidR="00FB2E7E" w:rsidRPr="00B5727C" w:rsidRDefault="00FB2E7E" w:rsidP="00577422">
            <w:pPr>
              <w:rPr>
                <w:rFonts w:ascii="Times New Roman" w:hAnsi="Times New Roman" w:cs="Times New Roman"/>
              </w:rPr>
            </w:pPr>
          </w:p>
        </w:tc>
        <w:tc>
          <w:tcPr>
            <w:tcW w:w="2610" w:type="dxa"/>
          </w:tcPr>
          <w:p w14:paraId="563C1C2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Clarify applicability of confidentiality procedures to informal data request responses</w:t>
            </w:r>
          </w:p>
          <w:p w14:paraId="5B115225"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WRRA, WK: Clarify that applicants for solid waste certificate may not designate information as confidential</w:t>
            </w:r>
          </w:p>
        </w:tc>
        <w:tc>
          <w:tcPr>
            <w:tcW w:w="3420" w:type="dxa"/>
          </w:tcPr>
          <w:p w14:paraId="42893BF2" w14:textId="77777777" w:rsidR="00FB2E7E" w:rsidRPr="00B5727C" w:rsidRDefault="00FB2E7E" w:rsidP="00577422">
            <w:pPr>
              <w:rPr>
                <w:rFonts w:ascii="Times New Roman" w:hAnsi="Times New Roman" w:cs="Times New Roman"/>
                <w:color w:val="000000"/>
              </w:rPr>
            </w:pPr>
          </w:p>
        </w:tc>
        <w:tc>
          <w:tcPr>
            <w:tcW w:w="5130" w:type="dxa"/>
          </w:tcPr>
          <w:p w14:paraId="25CD78F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PPL – Disagree. Documents submitted to the Commission are public records, and any information the provider seeks to have protected from public disclosure pursuant to this rule and the underlying statutes must be identified. Workpapers are no exception.</w:t>
            </w:r>
          </w:p>
          <w:p w14:paraId="56A6BBED"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 As explained with respect to workpapers, the rule applies to all documents submitted to the Commission or its staff, which includes documents provided in response to informal data requests.</w:t>
            </w:r>
          </w:p>
          <w:p w14:paraId="55845A4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WK – Disagree. The Commission has consistently applied this rule to applicants for authority to provide utility service, and because RCW 81.77.210 is virtually identical to RCW 80.04.095, the rule also should apply to applicants for solid waste collection authority.</w:t>
            </w:r>
          </w:p>
        </w:tc>
      </w:tr>
      <w:tr w:rsidR="00FB2E7E" w:rsidRPr="00B5727C" w14:paraId="7B4C0CAC" w14:textId="77777777" w:rsidTr="00475B87">
        <w:trPr>
          <w:cantSplit/>
        </w:trPr>
        <w:tc>
          <w:tcPr>
            <w:tcW w:w="1328" w:type="dxa"/>
          </w:tcPr>
          <w:p w14:paraId="6B87C5D9" w14:textId="77777777" w:rsidR="00FB2E7E" w:rsidRDefault="00FB2E7E" w:rsidP="00577422">
            <w:pPr>
              <w:rPr>
                <w:rFonts w:ascii="Times New Roman" w:hAnsi="Times New Roman" w:cs="Times New Roman"/>
              </w:rPr>
            </w:pPr>
            <w:r>
              <w:rPr>
                <w:rFonts w:ascii="Times New Roman" w:hAnsi="Times New Roman" w:cs="Times New Roman"/>
              </w:rPr>
              <w:t>160(2)</w:t>
            </w:r>
          </w:p>
        </w:tc>
        <w:tc>
          <w:tcPr>
            <w:tcW w:w="2717" w:type="dxa"/>
          </w:tcPr>
          <w:p w14:paraId="52BE0061" w14:textId="77777777" w:rsidR="00FB2E7E" w:rsidRDefault="00FB2E7E" w:rsidP="00577422">
            <w:pPr>
              <w:rPr>
                <w:rFonts w:ascii="Times New Roman" w:hAnsi="Times New Roman" w:cs="Times New Roman"/>
              </w:rPr>
            </w:pPr>
            <w:r>
              <w:rPr>
                <w:rFonts w:ascii="Times New Roman" w:hAnsi="Times New Roman" w:cs="Times New Roman"/>
              </w:rPr>
              <w:t>PSE, PPL, NWN: Retain language recognizing other PRA exemptions from disclosure; Delete last sentence concerning designation of entire document as confidential as redundant</w:t>
            </w:r>
          </w:p>
        </w:tc>
        <w:tc>
          <w:tcPr>
            <w:tcW w:w="1980" w:type="dxa"/>
          </w:tcPr>
          <w:p w14:paraId="5E216E77" w14:textId="77777777" w:rsidR="00FB2E7E" w:rsidRPr="00B5727C" w:rsidRDefault="00FB2E7E" w:rsidP="00577422">
            <w:pPr>
              <w:rPr>
                <w:rFonts w:ascii="Times New Roman" w:hAnsi="Times New Roman" w:cs="Times New Roman"/>
              </w:rPr>
            </w:pPr>
            <w:r>
              <w:rPr>
                <w:rFonts w:ascii="Times New Roman" w:hAnsi="Times New Roman" w:cs="Times New Roman"/>
              </w:rPr>
              <w:t>UP: Recognize exemptions from PRA in addition to those specified; better define what is protected as “valuable information”</w:t>
            </w:r>
          </w:p>
        </w:tc>
        <w:tc>
          <w:tcPr>
            <w:tcW w:w="2610" w:type="dxa"/>
          </w:tcPr>
          <w:p w14:paraId="4397B448" w14:textId="77777777" w:rsidR="00FB2E7E" w:rsidRPr="00B5727C" w:rsidRDefault="00FB2E7E" w:rsidP="00577422">
            <w:pPr>
              <w:rPr>
                <w:rFonts w:ascii="Times New Roman" w:hAnsi="Times New Roman" w:cs="Times New Roman"/>
                <w:color w:val="000000"/>
              </w:rPr>
            </w:pPr>
          </w:p>
        </w:tc>
        <w:tc>
          <w:tcPr>
            <w:tcW w:w="3420" w:type="dxa"/>
          </w:tcPr>
          <w:p w14:paraId="2DEBFAF6" w14:textId="77777777" w:rsidR="00FB2E7E" w:rsidRPr="00B5727C" w:rsidRDefault="00FB2E7E" w:rsidP="00577422">
            <w:pPr>
              <w:rPr>
                <w:rFonts w:ascii="Times New Roman" w:hAnsi="Times New Roman" w:cs="Times New Roman"/>
                <w:color w:val="000000"/>
              </w:rPr>
            </w:pPr>
          </w:p>
        </w:tc>
        <w:tc>
          <w:tcPr>
            <w:tcW w:w="5130" w:type="dxa"/>
          </w:tcPr>
          <w:p w14:paraId="510769C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PPL, NWN – Agree in part. The rule is specific to information designated as confidential under RCW 80.04.095 or RCW 81.77.210, but Staff has included a statement that other information may be exempt from disclosure under the PRA. Although the result of the restrictions is that a document will rarely be properly designated as confidential in its entirety, the rule does not need to include that statement so Staff has deleted it.</w:t>
            </w:r>
          </w:p>
          <w:p w14:paraId="24731E1E"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UP – Agree with recognition of other exemptions. Disagree with defining “valuable information.” The statutes use the term “valuable commercial information,” and the rule simply incorporates that statutory term.</w:t>
            </w:r>
          </w:p>
          <w:p w14:paraId="6F57184C" w14:textId="77777777" w:rsidR="00FB2E7E" w:rsidRDefault="00FB2E7E" w:rsidP="00577422">
            <w:pPr>
              <w:rPr>
                <w:rFonts w:ascii="Times New Roman" w:hAnsi="Times New Roman" w:cs="Times New Roman"/>
                <w:color w:val="000000"/>
              </w:rPr>
            </w:pPr>
          </w:p>
        </w:tc>
      </w:tr>
      <w:tr w:rsidR="00FB2E7E" w:rsidRPr="00B5727C" w14:paraId="34E04191" w14:textId="77777777" w:rsidTr="00475B87">
        <w:trPr>
          <w:cantSplit/>
        </w:trPr>
        <w:tc>
          <w:tcPr>
            <w:tcW w:w="1328" w:type="dxa"/>
          </w:tcPr>
          <w:p w14:paraId="2F8F266F" w14:textId="77777777" w:rsidR="00FB2E7E" w:rsidRDefault="00FB2E7E" w:rsidP="00577422">
            <w:pPr>
              <w:rPr>
                <w:rFonts w:ascii="Times New Roman" w:hAnsi="Times New Roman" w:cs="Times New Roman"/>
              </w:rPr>
            </w:pPr>
            <w:r>
              <w:rPr>
                <w:rFonts w:ascii="Times New Roman" w:hAnsi="Times New Roman" w:cs="Times New Roman"/>
              </w:rPr>
              <w:lastRenderedPageBreak/>
              <w:t>160(3)</w:t>
            </w:r>
          </w:p>
        </w:tc>
        <w:tc>
          <w:tcPr>
            <w:tcW w:w="2717" w:type="dxa"/>
          </w:tcPr>
          <w:p w14:paraId="21C24538" w14:textId="77777777" w:rsidR="00FB2E7E" w:rsidRDefault="00FB2E7E" w:rsidP="00577422">
            <w:pPr>
              <w:rPr>
                <w:rFonts w:ascii="Times New Roman" w:hAnsi="Times New Roman" w:cs="Times New Roman"/>
              </w:rPr>
            </w:pPr>
          </w:p>
        </w:tc>
        <w:tc>
          <w:tcPr>
            <w:tcW w:w="1980" w:type="dxa"/>
          </w:tcPr>
          <w:p w14:paraId="34E64777" w14:textId="77777777" w:rsidR="00FB2E7E" w:rsidRPr="00B5727C" w:rsidRDefault="00FB2E7E" w:rsidP="00577422">
            <w:pPr>
              <w:rPr>
                <w:rFonts w:ascii="Times New Roman" w:hAnsi="Times New Roman" w:cs="Times New Roman"/>
              </w:rPr>
            </w:pPr>
            <w:r>
              <w:rPr>
                <w:rFonts w:ascii="Times New Roman" w:hAnsi="Times New Roman" w:cs="Times New Roman"/>
              </w:rPr>
              <w:t>UP: Do not distinguish between confidential and highly confidential protection; if retain, provide more guidance on characteristics of highly confidential information</w:t>
            </w:r>
          </w:p>
        </w:tc>
        <w:tc>
          <w:tcPr>
            <w:tcW w:w="2610" w:type="dxa"/>
          </w:tcPr>
          <w:p w14:paraId="01507D12" w14:textId="77777777" w:rsidR="00FB2E7E" w:rsidRDefault="00FB2E7E" w:rsidP="00577422">
            <w:pPr>
              <w:rPr>
                <w:rFonts w:ascii="Times New Roman" w:hAnsi="Times New Roman" w:cs="Times New Roman"/>
                <w:color w:val="000000"/>
              </w:rPr>
            </w:pPr>
          </w:p>
        </w:tc>
        <w:tc>
          <w:tcPr>
            <w:tcW w:w="3420" w:type="dxa"/>
          </w:tcPr>
          <w:p w14:paraId="07DAD10B" w14:textId="77777777" w:rsidR="00FB2E7E" w:rsidRPr="00B5727C" w:rsidRDefault="00FB2E7E" w:rsidP="00577422">
            <w:pPr>
              <w:rPr>
                <w:rFonts w:ascii="Times New Roman" w:hAnsi="Times New Roman" w:cs="Times New Roman"/>
                <w:color w:val="000000"/>
              </w:rPr>
            </w:pPr>
          </w:p>
        </w:tc>
        <w:tc>
          <w:tcPr>
            <w:tcW w:w="5130" w:type="dxa"/>
          </w:tcPr>
          <w:p w14:paraId="70923AA2"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The Commission has long distinguished between confidential and highly confidential information, and the proposed rule reflects current practice. The protective order can provide any necessary additional guidance on distinguishing highly confidential information from confidential information.</w:t>
            </w:r>
          </w:p>
        </w:tc>
      </w:tr>
      <w:tr w:rsidR="00FB2E7E" w:rsidRPr="00B5727C" w14:paraId="42AAEA3E" w14:textId="77777777" w:rsidTr="00475B87">
        <w:trPr>
          <w:cantSplit/>
        </w:trPr>
        <w:tc>
          <w:tcPr>
            <w:tcW w:w="1328" w:type="dxa"/>
          </w:tcPr>
          <w:p w14:paraId="1A401857" w14:textId="77777777" w:rsidR="00FB2E7E" w:rsidRDefault="00FB2E7E" w:rsidP="00577422">
            <w:pPr>
              <w:rPr>
                <w:rFonts w:ascii="Times New Roman" w:hAnsi="Times New Roman" w:cs="Times New Roman"/>
              </w:rPr>
            </w:pPr>
            <w:r>
              <w:rPr>
                <w:rFonts w:ascii="Times New Roman" w:hAnsi="Times New Roman" w:cs="Times New Roman"/>
              </w:rPr>
              <w:t>160(4)</w:t>
            </w:r>
          </w:p>
        </w:tc>
        <w:tc>
          <w:tcPr>
            <w:tcW w:w="2717" w:type="dxa"/>
          </w:tcPr>
          <w:p w14:paraId="27F29215" w14:textId="77777777" w:rsidR="00FB2E7E" w:rsidRDefault="00FB2E7E" w:rsidP="00577422">
            <w:pPr>
              <w:rPr>
                <w:rFonts w:ascii="Times New Roman" w:hAnsi="Times New Roman" w:cs="Times New Roman"/>
              </w:rPr>
            </w:pPr>
          </w:p>
        </w:tc>
        <w:tc>
          <w:tcPr>
            <w:tcW w:w="1980" w:type="dxa"/>
          </w:tcPr>
          <w:p w14:paraId="1FDAE641" w14:textId="77777777" w:rsidR="00FB2E7E" w:rsidRPr="00B5727C" w:rsidRDefault="00FB2E7E" w:rsidP="00577422">
            <w:pPr>
              <w:rPr>
                <w:rFonts w:ascii="Times New Roman" w:hAnsi="Times New Roman" w:cs="Times New Roman"/>
              </w:rPr>
            </w:pPr>
          </w:p>
        </w:tc>
        <w:tc>
          <w:tcPr>
            <w:tcW w:w="2610" w:type="dxa"/>
          </w:tcPr>
          <w:p w14:paraId="2BC00F0D" w14:textId="77777777" w:rsidR="00FB2E7E" w:rsidRDefault="00FB2E7E" w:rsidP="00577422">
            <w:pPr>
              <w:rPr>
                <w:rFonts w:ascii="Times New Roman" w:hAnsi="Times New Roman" w:cs="Times New Roman"/>
                <w:color w:val="000000"/>
              </w:rPr>
            </w:pPr>
          </w:p>
        </w:tc>
        <w:tc>
          <w:tcPr>
            <w:tcW w:w="3420" w:type="dxa"/>
          </w:tcPr>
          <w:p w14:paraId="020E2B7C"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Proposed language seems to shift the burden of correctly designating confidential information to the Commission, rather than having the party claiming confidentiality appropriately bear that burden</w:t>
            </w:r>
          </w:p>
        </w:tc>
        <w:tc>
          <w:tcPr>
            <w:tcW w:w="5130" w:type="dxa"/>
          </w:tcPr>
          <w:p w14:paraId="74A6EBA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in part. The provider bears the burden to properly designate confidential information, but the Commission also will not accept facially deficient submissions. Staff has clarified the language.</w:t>
            </w:r>
          </w:p>
        </w:tc>
      </w:tr>
      <w:tr w:rsidR="00FB2E7E" w:rsidRPr="00B5727C" w14:paraId="2BC93E00" w14:textId="77777777" w:rsidTr="00475B87">
        <w:trPr>
          <w:cantSplit/>
        </w:trPr>
        <w:tc>
          <w:tcPr>
            <w:tcW w:w="1328" w:type="dxa"/>
          </w:tcPr>
          <w:p w14:paraId="31E91A13" w14:textId="77777777" w:rsidR="00FB2E7E" w:rsidRDefault="00FB2E7E" w:rsidP="00577422">
            <w:pPr>
              <w:rPr>
                <w:rFonts w:ascii="Times New Roman" w:hAnsi="Times New Roman" w:cs="Times New Roman"/>
              </w:rPr>
            </w:pPr>
            <w:r>
              <w:rPr>
                <w:rFonts w:ascii="Times New Roman" w:hAnsi="Times New Roman" w:cs="Times New Roman"/>
              </w:rPr>
              <w:t>160(4)(b)</w:t>
            </w:r>
          </w:p>
        </w:tc>
        <w:tc>
          <w:tcPr>
            <w:tcW w:w="2717" w:type="dxa"/>
          </w:tcPr>
          <w:p w14:paraId="569A24AA" w14:textId="77777777" w:rsidR="00FB2E7E" w:rsidRDefault="00FB2E7E" w:rsidP="00577422">
            <w:pPr>
              <w:rPr>
                <w:rFonts w:ascii="Times New Roman" w:hAnsi="Times New Roman" w:cs="Times New Roman"/>
              </w:rPr>
            </w:pPr>
            <w:r>
              <w:rPr>
                <w:rFonts w:ascii="Times New Roman" w:hAnsi="Times New Roman" w:cs="Times New Roman"/>
              </w:rPr>
              <w:t>PPL: For clarity, change heading to “Submitting documents including confidential or highly confidential information”</w:t>
            </w:r>
          </w:p>
        </w:tc>
        <w:tc>
          <w:tcPr>
            <w:tcW w:w="1980" w:type="dxa"/>
          </w:tcPr>
          <w:p w14:paraId="727D7ED2" w14:textId="77777777" w:rsidR="00FB2E7E" w:rsidRPr="00B5727C" w:rsidRDefault="00FB2E7E" w:rsidP="00577422">
            <w:pPr>
              <w:rPr>
                <w:rFonts w:ascii="Times New Roman" w:hAnsi="Times New Roman" w:cs="Times New Roman"/>
              </w:rPr>
            </w:pPr>
          </w:p>
        </w:tc>
        <w:tc>
          <w:tcPr>
            <w:tcW w:w="2610" w:type="dxa"/>
          </w:tcPr>
          <w:p w14:paraId="53774229" w14:textId="77777777" w:rsidR="00FB2E7E" w:rsidRDefault="00FB2E7E" w:rsidP="00577422">
            <w:pPr>
              <w:rPr>
                <w:rFonts w:ascii="Times New Roman" w:hAnsi="Times New Roman" w:cs="Times New Roman"/>
                <w:color w:val="000000"/>
              </w:rPr>
            </w:pPr>
          </w:p>
        </w:tc>
        <w:tc>
          <w:tcPr>
            <w:tcW w:w="3420" w:type="dxa"/>
          </w:tcPr>
          <w:p w14:paraId="2132131C" w14:textId="77777777" w:rsidR="00FB2E7E" w:rsidRPr="00B5727C" w:rsidRDefault="00FB2E7E" w:rsidP="00577422">
            <w:pPr>
              <w:rPr>
                <w:rFonts w:ascii="Times New Roman" w:hAnsi="Times New Roman" w:cs="Times New Roman"/>
                <w:color w:val="000000"/>
              </w:rPr>
            </w:pPr>
          </w:p>
        </w:tc>
        <w:tc>
          <w:tcPr>
            <w:tcW w:w="5130" w:type="dxa"/>
          </w:tcPr>
          <w:p w14:paraId="1913E873"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and Staff modified the heading for clarity.</w:t>
            </w:r>
          </w:p>
        </w:tc>
      </w:tr>
      <w:tr w:rsidR="00FB2E7E" w:rsidRPr="00B5727C" w14:paraId="76818FD0" w14:textId="77777777" w:rsidTr="00475B87">
        <w:trPr>
          <w:cantSplit/>
        </w:trPr>
        <w:tc>
          <w:tcPr>
            <w:tcW w:w="1328" w:type="dxa"/>
          </w:tcPr>
          <w:p w14:paraId="625C3EA5" w14:textId="77777777" w:rsidR="00FB2E7E" w:rsidRDefault="00FB2E7E" w:rsidP="00577422">
            <w:pPr>
              <w:rPr>
                <w:rFonts w:ascii="Times New Roman" w:hAnsi="Times New Roman" w:cs="Times New Roman"/>
              </w:rPr>
            </w:pPr>
            <w:r>
              <w:rPr>
                <w:rFonts w:ascii="Times New Roman" w:hAnsi="Times New Roman" w:cs="Times New Roman"/>
              </w:rPr>
              <w:t>160(4)(c)</w:t>
            </w:r>
          </w:p>
        </w:tc>
        <w:tc>
          <w:tcPr>
            <w:tcW w:w="2717" w:type="dxa"/>
          </w:tcPr>
          <w:p w14:paraId="07DC2613" w14:textId="77777777" w:rsidR="00FB2E7E" w:rsidRDefault="00FB2E7E" w:rsidP="00577422">
            <w:pPr>
              <w:rPr>
                <w:rFonts w:ascii="Times New Roman" w:hAnsi="Times New Roman" w:cs="Times New Roman"/>
              </w:rPr>
            </w:pPr>
            <w:r>
              <w:rPr>
                <w:rFonts w:ascii="Times New Roman" w:hAnsi="Times New Roman" w:cs="Times New Roman"/>
              </w:rPr>
              <w:t>PPL: For clarity, change heading to “Submitting documents including both confidential and highly confidential information”</w:t>
            </w:r>
          </w:p>
        </w:tc>
        <w:tc>
          <w:tcPr>
            <w:tcW w:w="1980" w:type="dxa"/>
          </w:tcPr>
          <w:p w14:paraId="23AD4A1F" w14:textId="77777777" w:rsidR="00FB2E7E" w:rsidRPr="00B5727C" w:rsidRDefault="00FB2E7E" w:rsidP="00577422">
            <w:pPr>
              <w:rPr>
                <w:rFonts w:ascii="Times New Roman" w:hAnsi="Times New Roman" w:cs="Times New Roman"/>
              </w:rPr>
            </w:pPr>
          </w:p>
        </w:tc>
        <w:tc>
          <w:tcPr>
            <w:tcW w:w="2610" w:type="dxa"/>
          </w:tcPr>
          <w:p w14:paraId="4A0148F9" w14:textId="77777777" w:rsidR="00FB2E7E" w:rsidRDefault="00FB2E7E" w:rsidP="00577422">
            <w:pPr>
              <w:rPr>
                <w:rFonts w:ascii="Times New Roman" w:hAnsi="Times New Roman" w:cs="Times New Roman"/>
                <w:color w:val="000000"/>
              </w:rPr>
            </w:pPr>
          </w:p>
        </w:tc>
        <w:tc>
          <w:tcPr>
            <w:tcW w:w="3420" w:type="dxa"/>
          </w:tcPr>
          <w:p w14:paraId="2E595DC3" w14:textId="77777777" w:rsidR="00FB2E7E" w:rsidRPr="00B5727C" w:rsidRDefault="00FB2E7E" w:rsidP="00577422">
            <w:pPr>
              <w:rPr>
                <w:rFonts w:ascii="Times New Roman" w:hAnsi="Times New Roman" w:cs="Times New Roman"/>
                <w:color w:val="000000"/>
              </w:rPr>
            </w:pPr>
          </w:p>
        </w:tc>
        <w:tc>
          <w:tcPr>
            <w:tcW w:w="5130" w:type="dxa"/>
          </w:tcPr>
          <w:p w14:paraId="356ECB7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and Staff modified the heading for clarity.</w:t>
            </w:r>
          </w:p>
        </w:tc>
      </w:tr>
      <w:tr w:rsidR="00FB2E7E" w:rsidRPr="00B5727C" w14:paraId="3DA01B6E" w14:textId="77777777" w:rsidTr="00475B87">
        <w:trPr>
          <w:cantSplit/>
        </w:trPr>
        <w:tc>
          <w:tcPr>
            <w:tcW w:w="1328" w:type="dxa"/>
          </w:tcPr>
          <w:p w14:paraId="6377261B" w14:textId="77777777" w:rsidR="00FB2E7E" w:rsidRDefault="00FB2E7E" w:rsidP="00577422">
            <w:pPr>
              <w:rPr>
                <w:rFonts w:ascii="Times New Roman" w:hAnsi="Times New Roman" w:cs="Times New Roman"/>
              </w:rPr>
            </w:pPr>
            <w:r>
              <w:rPr>
                <w:rFonts w:ascii="Times New Roman" w:hAnsi="Times New Roman" w:cs="Times New Roman"/>
              </w:rPr>
              <w:lastRenderedPageBreak/>
              <w:t>160(4)(d)</w:t>
            </w:r>
          </w:p>
        </w:tc>
        <w:tc>
          <w:tcPr>
            <w:tcW w:w="2717" w:type="dxa"/>
          </w:tcPr>
          <w:p w14:paraId="6CFDCA46" w14:textId="77777777" w:rsidR="00FB2E7E" w:rsidRDefault="00FB2E7E" w:rsidP="00577422">
            <w:pPr>
              <w:rPr>
                <w:rFonts w:ascii="Times New Roman" w:hAnsi="Times New Roman" w:cs="Times New Roman"/>
              </w:rPr>
            </w:pPr>
            <w:r>
              <w:rPr>
                <w:rFonts w:ascii="Times New Roman" w:hAnsi="Times New Roman" w:cs="Times New Roman"/>
              </w:rPr>
              <w:t>PSE, PPL: Delete “Shaded information” from confidential designation language as unnecessary, cumbersome, and too limiting; Reject proposed amendments to language on shading as unnecessary, confusing, and too limiting</w:t>
            </w:r>
          </w:p>
        </w:tc>
        <w:tc>
          <w:tcPr>
            <w:tcW w:w="1980" w:type="dxa"/>
          </w:tcPr>
          <w:p w14:paraId="5F45D1EB" w14:textId="77777777" w:rsidR="00FB2E7E" w:rsidRPr="00B5727C" w:rsidRDefault="00FB2E7E" w:rsidP="00577422">
            <w:pPr>
              <w:rPr>
                <w:rFonts w:ascii="Times New Roman" w:hAnsi="Times New Roman" w:cs="Times New Roman"/>
              </w:rPr>
            </w:pPr>
          </w:p>
        </w:tc>
        <w:tc>
          <w:tcPr>
            <w:tcW w:w="2610" w:type="dxa"/>
          </w:tcPr>
          <w:p w14:paraId="14931331" w14:textId="77777777" w:rsidR="00FB2E7E" w:rsidRDefault="00FB2E7E" w:rsidP="00577422">
            <w:pPr>
              <w:rPr>
                <w:rFonts w:ascii="Times New Roman" w:hAnsi="Times New Roman" w:cs="Times New Roman"/>
                <w:color w:val="000000"/>
              </w:rPr>
            </w:pPr>
          </w:p>
        </w:tc>
        <w:tc>
          <w:tcPr>
            <w:tcW w:w="3420" w:type="dxa"/>
          </w:tcPr>
          <w:p w14:paraId="69540B13" w14:textId="77777777" w:rsidR="00FB2E7E" w:rsidRPr="00B5727C" w:rsidRDefault="00FB2E7E" w:rsidP="00577422">
            <w:pPr>
              <w:rPr>
                <w:rFonts w:ascii="Times New Roman" w:hAnsi="Times New Roman" w:cs="Times New Roman"/>
                <w:color w:val="000000"/>
              </w:rPr>
            </w:pPr>
          </w:p>
        </w:tc>
        <w:tc>
          <w:tcPr>
            <w:tcW w:w="5130" w:type="dxa"/>
          </w:tcPr>
          <w:p w14:paraId="5839D4A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in part. Generally only a portion of the information on a page, if any, is designated as confidential, so the running footer needs to specify the information claimed to be confidential. Staff, however, has substituted “Designated” for “Shaded” to reflect that the information may be identified in another way. Similarly, Staff has revised the language on shading to allow for other options as long as they are clear designations. The provider, of course, will be responsible for ensuring that the designations are clear.</w:t>
            </w:r>
          </w:p>
        </w:tc>
      </w:tr>
      <w:tr w:rsidR="00FB2E7E" w:rsidRPr="00B5727C" w14:paraId="3E742ADB" w14:textId="77777777" w:rsidTr="00475B87">
        <w:trPr>
          <w:cantSplit/>
        </w:trPr>
        <w:tc>
          <w:tcPr>
            <w:tcW w:w="1328" w:type="dxa"/>
          </w:tcPr>
          <w:p w14:paraId="4249221A" w14:textId="77777777" w:rsidR="00FB2E7E" w:rsidRDefault="00FB2E7E" w:rsidP="00577422">
            <w:pPr>
              <w:rPr>
                <w:rFonts w:ascii="Times New Roman" w:hAnsi="Times New Roman" w:cs="Times New Roman"/>
              </w:rPr>
            </w:pPr>
            <w:r>
              <w:rPr>
                <w:rFonts w:ascii="Times New Roman" w:hAnsi="Times New Roman" w:cs="Times New Roman"/>
              </w:rPr>
              <w:t>160(4)(d)</w:t>
            </w:r>
          </w:p>
        </w:tc>
        <w:tc>
          <w:tcPr>
            <w:tcW w:w="2717" w:type="dxa"/>
          </w:tcPr>
          <w:p w14:paraId="0AAE22CE" w14:textId="77777777" w:rsidR="00FB2E7E" w:rsidRDefault="00FB2E7E" w:rsidP="00577422">
            <w:pPr>
              <w:rPr>
                <w:rFonts w:ascii="Times New Roman" w:hAnsi="Times New Roman" w:cs="Times New Roman"/>
              </w:rPr>
            </w:pPr>
            <w:r>
              <w:rPr>
                <w:rFonts w:ascii="Times New Roman" w:hAnsi="Times New Roman" w:cs="Times New Roman"/>
              </w:rPr>
              <w:t>PPL: Clarify whether disc must physically be labeled or the documents contained on the disc must be labeled</w:t>
            </w:r>
          </w:p>
        </w:tc>
        <w:tc>
          <w:tcPr>
            <w:tcW w:w="1980" w:type="dxa"/>
          </w:tcPr>
          <w:p w14:paraId="5579E6C4" w14:textId="77777777" w:rsidR="00FB2E7E" w:rsidRPr="00B5727C" w:rsidRDefault="00FB2E7E" w:rsidP="00577422">
            <w:pPr>
              <w:rPr>
                <w:rFonts w:ascii="Times New Roman" w:hAnsi="Times New Roman" w:cs="Times New Roman"/>
              </w:rPr>
            </w:pPr>
          </w:p>
        </w:tc>
        <w:tc>
          <w:tcPr>
            <w:tcW w:w="2610" w:type="dxa"/>
          </w:tcPr>
          <w:p w14:paraId="4096D44E" w14:textId="77777777" w:rsidR="00FB2E7E" w:rsidRPr="00B5727C" w:rsidRDefault="00FB2E7E" w:rsidP="00577422">
            <w:pPr>
              <w:rPr>
                <w:rFonts w:ascii="Times New Roman" w:hAnsi="Times New Roman" w:cs="Times New Roman"/>
                <w:color w:val="000000"/>
              </w:rPr>
            </w:pPr>
          </w:p>
        </w:tc>
        <w:tc>
          <w:tcPr>
            <w:tcW w:w="3420" w:type="dxa"/>
          </w:tcPr>
          <w:p w14:paraId="755B8BC6" w14:textId="77777777" w:rsidR="00FB2E7E" w:rsidRPr="00B5727C" w:rsidRDefault="00FB2E7E" w:rsidP="00577422">
            <w:pPr>
              <w:rPr>
                <w:rFonts w:ascii="Times New Roman" w:hAnsi="Times New Roman" w:cs="Times New Roman"/>
                <w:color w:val="000000"/>
              </w:rPr>
            </w:pPr>
          </w:p>
        </w:tc>
        <w:tc>
          <w:tcPr>
            <w:tcW w:w="5130" w:type="dxa"/>
          </w:tcPr>
          <w:p w14:paraId="540E2A2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Staff has revised the language to be more clear.</w:t>
            </w:r>
          </w:p>
        </w:tc>
      </w:tr>
      <w:tr w:rsidR="00FB2E7E" w:rsidRPr="00B5727C" w14:paraId="6108A1F4" w14:textId="77777777" w:rsidTr="00475B87">
        <w:trPr>
          <w:cantSplit/>
        </w:trPr>
        <w:tc>
          <w:tcPr>
            <w:tcW w:w="1328" w:type="dxa"/>
          </w:tcPr>
          <w:p w14:paraId="099CE3BC" w14:textId="77777777" w:rsidR="00FB2E7E" w:rsidRDefault="00FB2E7E" w:rsidP="00577422">
            <w:pPr>
              <w:rPr>
                <w:rFonts w:ascii="Times New Roman" w:hAnsi="Times New Roman" w:cs="Times New Roman"/>
              </w:rPr>
            </w:pPr>
            <w:r>
              <w:rPr>
                <w:rFonts w:ascii="Times New Roman" w:hAnsi="Times New Roman" w:cs="Times New Roman"/>
              </w:rPr>
              <w:t>160(4) (second)</w:t>
            </w:r>
          </w:p>
        </w:tc>
        <w:tc>
          <w:tcPr>
            <w:tcW w:w="2717" w:type="dxa"/>
          </w:tcPr>
          <w:p w14:paraId="62D96468" w14:textId="77777777" w:rsidR="00FB2E7E" w:rsidRDefault="00FB2E7E" w:rsidP="00577422">
            <w:pPr>
              <w:rPr>
                <w:rFonts w:ascii="Times New Roman" w:hAnsi="Times New Roman" w:cs="Times New Roman"/>
              </w:rPr>
            </w:pPr>
            <w:r>
              <w:rPr>
                <w:rFonts w:ascii="Times New Roman" w:hAnsi="Times New Roman" w:cs="Times New Roman"/>
              </w:rPr>
              <w:t>PSE, PPL, Avista: Renumber this and following subsections; replace “confidentiality” with “confidential” in first sentence</w:t>
            </w:r>
          </w:p>
          <w:p w14:paraId="48EDE410" w14:textId="77777777" w:rsidR="00FB2E7E" w:rsidRDefault="00FB2E7E" w:rsidP="00577422">
            <w:pPr>
              <w:rPr>
                <w:rFonts w:ascii="Times New Roman" w:hAnsi="Times New Roman" w:cs="Times New Roman"/>
              </w:rPr>
            </w:pPr>
            <w:r>
              <w:rPr>
                <w:rFonts w:ascii="Times New Roman" w:hAnsi="Times New Roman" w:cs="Times New Roman"/>
              </w:rPr>
              <w:t>PSE: Delete sentence that commission will disclose information without a court order within 10 days as too limiting</w:t>
            </w:r>
          </w:p>
          <w:p w14:paraId="6953246F" w14:textId="77777777" w:rsidR="00FB2E7E" w:rsidRDefault="00FB2E7E" w:rsidP="00577422">
            <w:pPr>
              <w:rPr>
                <w:rFonts w:ascii="Times New Roman" w:hAnsi="Times New Roman" w:cs="Times New Roman"/>
              </w:rPr>
            </w:pPr>
            <w:r>
              <w:rPr>
                <w:rFonts w:ascii="Times New Roman" w:hAnsi="Times New Roman" w:cs="Times New Roman"/>
              </w:rPr>
              <w:t>NWN: Reject proposed change to existing process for challenging confidentiality in adjudications as unnecessary and presenting unintended consequences</w:t>
            </w:r>
          </w:p>
        </w:tc>
        <w:tc>
          <w:tcPr>
            <w:tcW w:w="1980" w:type="dxa"/>
          </w:tcPr>
          <w:p w14:paraId="35A9A25F" w14:textId="77777777" w:rsidR="00FB2E7E" w:rsidRPr="00B5727C" w:rsidRDefault="00FB2E7E" w:rsidP="00577422">
            <w:pPr>
              <w:rPr>
                <w:rFonts w:ascii="Times New Roman" w:hAnsi="Times New Roman" w:cs="Times New Roman"/>
              </w:rPr>
            </w:pPr>
          </w:p>
        </w:tc>
        <w:tc>
          <w:tcPr>
            <w:tcW w:w="2610" w:type="dxa"/>
          </w:tcPr>
          <w:p w14:paraId="47C6ED81" w14:textId="77777777" w:rsidR="00FB2E7E" w:rsidRPr="00B5727C" w:rsidRDefault="00FB2E7E" w:rsidP="00577422">
            <w:pPr>
              <w:rPr>
                <w:rFonts w:ascii="Times New Roman" w:hAnsi="Times New Roman" w:cs="Times New Roman"/>
                <w:color w:val="000000"/>
              </w:rPr>
            </w:pPr>
          </w:p>
        </w:tc>
        <w:tc>
          <w:tcPr>
            <w:tcW w:w="3420" w:type="dxa"/>
          </w:tcPr>
          <w:p w14:paraId="35924348"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In first sentence, “confidentiality” should be “confidential”</w:t>
            </w:r>
          </w:p>
        </w:tc>
        <w:tc>
          <w:tcPr>
            <w:tcW w:w="5130" w:type="dxa"/>
          </w:tcPr>
          <w:p w14:paraId="472BFDB1"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and Staff has corrected the errors.</w:t>
            </w:r>
          </w:p>
          <w:p w14:paraId="7DB055A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Disagree with deleting sentence requiring a court order within 10 days. That is a statutory requirement. Staff, however, has modified the language to allow for waiver of the deadline or withdrawal of the challenge.</w:t>
            </w:r>
          </w:p>
          <w:p w14:paraId="70D2C62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NWN: Disagree. The process Staff proposes is consistent with the statutes and the commission’s process for responding to requests for public records. It is irrelevant that the challenge to a confidentiality designation comes from a party in an adjudicative proceeding rather than from a member of the public requesting public records. The statutes do not differentiate those circumstances, and neither should the Commission. Only a court is authorized to determine whether information designated as confidential pursuant to these statutes is exempt from disclosure. RCW 42.56.330(1).</w:t>
            </w:r>
          </w:p>
        </w:tc>
      </w:tr>
      <w:tr w:rsidR="00FB2E7E" w:rsidRPr="00B5727C" w14:paraId="25233829" w14:textId="77777777" w:rsidTr="00475B87">
        <w:trPr>
          <w:cantSplit/>
        </w:trPr>
        <w:tc>
          <w:tcPr>
            <w:tcW w:w="1328" w:type="dxa"/>
          </w:tcPr>
          <w:p w14:paraId="2339FB1D" w14:textId="77777777" w:rsidR="00FB2E7E" w:rsidRDefault="00FB2E7E" w:rsidP="00577422">
            <w:pPr>
              <w:rPr>
                <w:rFonts w:ascii="Times New Roman" w:hAnsi="Times New Roman" w:cs="Times New Roman"/>
              </w:rPr>
            </w:pPr>
            <w:r>
              <w:rPr>
                <w:rFonts w:ascii="Times New Roman" w:hAnsi="Times New Roman" w:cs="Times New Roman"/>
              </w:rPr>
              <w:lastRenderedPageBreak/>
              <w:t>160(6)</w:t>
            </w:r>
          </w:p>
        </w:tc>
        <w:tc>
          <w:tcPr>
            <w:tcW w:w="2717" w:type="dxa"/>
          </w:tcPr>
          <w:p w14:paraId="0263497A" w14:textId="77777777" w:rsidR="00FB2E7E" w:rsidRDefault="00FB2E7E" w:rsidP="00577422">
            <w:pPr>
              <w:rPr>
                <w:rFonts w:ascii="Times New Roman" w:hAnsi="Times New Roman" w:cs="Times New Roman"/>
              </w:rPr>
            </w:pPr>
          </w:p>
        </w:tc>
        <w:tc>
          <w:tcPr>
            <w:tcW w:w="1980" w:type="dxa"/>
          </w:tcPr>
          <w:p w14:paraId="36067ACD" w14:textId="77777777" w:rsidR="00FB2E7E" w:rsidRDefault="00FB2E7E" w:rsidP="00577422">
            <w:pPr>
              <w:rPr>
                <w:rFonts w:ascii="Times New Roman" w:hAnsi="Times New Roman" w:cs="Times New Roman"/>
              </w:rPr>
            </w:pPr>
          </w:p>
        </w:tc>
        <w:tc>
          <w:tcPr>
            <w:tcW w:w="2610" w:type="dxa"/>
          </w:tcPr>
          <w:p w14:paraId="31A1EE21"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Clarify whether a provider gets notice if confidential information is requested or just when the designation is challenged</w:t>
            </w:r>
          </w:p>
        </w:tc>
        <w:tc>
          <w:tcPr>
            <w:tcW w:w="3420" w:type="dxa"/>
          </w:tcPr>
          <w:p w14:paraId="2C3948CC" w14:textId="77777777" w:rsidR="00FB2E7E" w:rsidRPr="00B5727C" w:rsidRDefault="00FB2E7E" w:rsidP="00577422">
            <w:pPr>
              <w:rPr>
                <w:rFonts w:ascii="Times New Roman" w:hAnsi="Times New Roman" w:cs="Times New Roman"/>
                <w:color w:val="000000"/>
              </w:rPr>
            </w:pPr>
          </w:p>
        </w:tc>
        <w:tc>
          <w:tcPr>
            <w:tcW w:w="5130" w:type="dxa"/>
          </w:tcPr>
          <w:p w14:paraId="2CAA87A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No clarification in the rule is necessary. The rule accurately describes the Commission’s process in responding to requests for public records. Requesters often do not insist on obtaining information once they are aware it is designated as confidential, so the commission notifies the provider only when the requester continues to request information knowing it is designated as confidential.</w:t>
            </w:r>
          </w:p>
        </w:tc>
      </w:tr>
      <w:tr w:rsidR="00FB2E7E" w:rsidRPr="00B5727C" w14:paraId="15296055" w14:textId="77777777" w:rsidTr="00475B87">
        <w:trPr>
          <w:cantSplit/>
        </w:trPr>
        <w:tc>
          <w:tcPr>
            <w:tcW w:w="1328" w:type="dxa"/>
          </w:tcPr>
          <w:p w14:paraId="532E4799" w14:textId="77777777" w:rsidR="00FB2E7E" w:rsidRDefault="00FB2E7E" w:rsidP="00577422">
            <w:pPr>
              <w:rPr>
                <w:rFonts w:ascii="Times New Roman" w:hAnsi="Times New Roman" w:cs="Times New Roman"/>
              </w:rPr>
            </w:pPr>
            <w:r>
              <w:rPr>
                <w:rFonts w:ascii="Times New Roman" w:hAnsi="Times New Roman" w:cs="Times New Roman"/>
              </w:rPr>
              <w:t>175</w:t>
            </w:r>
          </w:p>
        </w:tc>
        <w:tc>
          <w:tcPr>
            <w:tcW w:w="2717" w:type="dxa"/>
          </w:tcPr>
          <w:p w14:paraId="317D9618" w14:textId="77777777" w:rsidR="00FB2E7E" w:rsidRDefault="00FB2E7E" w:rsidP="00577422">
            <w:pPr>
              <w:rPr>
                <w:rFonts w:ascii="Times New Roman" w:hAnsi="Times New Roman" w:cs="Times New Roman"/>
              </w:rPr>
            </w:pPr>
          </w:p>
        </w:tc>
        <w:tc>
          <w:tcPr>
            <w:tcW w:w="1980" w:type="dxa"/>
          </w:tcPr>
          <w:p w14:paraId="39F3E492" w14:textId="77777777" w:rsidR="00FB2E7E" w:rsidRPr="00B5727C" w:rsidRDefault="00FB2E7E" w:rsidP="00577422">
            <w:pPr>
              <w:rPr>
                <w:rFonts w:ascii="Times New Roman" w:hAnsi="Times New Roman" w:cs="Times New Roman"/>
              </w:rPr>
            </w:pPr>
            <w:r>
              <w:rPr>
                <w:rFonts w:ascii="Times New Roman" w:hAnsi="Times New Roman" w:cs="Times New Roman"/>
              </w:rPr>
              <w:t>UP: Requiring access to all documents at any and all times is wildly and impracticably overbroad</w:t>
            </w:r>
          </w:p>
        </w:tc>
        <w:tc>
          <w:tcPr>
            <w:tcW w:w="2610" w:type="dxa"/>
          </w:tcPr>
          <w:p w14:paraId="5C94845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clarify impact of PRA on documents reviewed at company locations or provided; clarify “send” as used in this section</w:t>
            </w:r>
          </w:p>
          <w:p w14:paraId="48A4D1A5"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WRRA, WK: Extend application to applicants for solid waste collection authority</w:t>
            </w:r>
          </w:p>
        </w:tc>
        <w:tc>
          <w:tcPr>
            <w:tcW w:w="3420" w:type="dxa"/>
          </w:tcPr>
          <w:p w14:paraId="760B85F3"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 xml:space="preserve"> </w:t>
            </w:r>
          </w:p>
        </w:tc>
        <w:tc>
          <w:tcPr>
            <w:tcW w:w="5130" w:type="dxa"/>
          </w:tcPr>
          <w:p w14:paraId="331EA16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UP – Disagree. Staff’s proposed language properly incorporates the authority in RCW 81.04.070 that the Commission “shall have the right, at any and all times, to inspect the accounts, books, papers, and documents of any public service company.” </w:t>
            </w:r>
            <w:r w:rsidRPr="00E53F20">
              <w:rPr>
                <w:rFonts w:ascii="Times New Roman" w:hAnsi="Times New Roman" w:cs="Times New Roman"/>
                <w:i/>
                <w:color w:val="000000"/>
              </w:rPr>
              <w:t>See also</w:t>
            </w:r>
            <w:r>
              <w:rPr>
                <w:rFonts w:ascii="Times New Roman" w:hAnsi="Times New Roman" w:cs="Times New Roman"/>
                <w:color w:val="000000"/>
              </w:rPr>
              <w:t xml:space="preserve"> RCW 81.04.090.</w:t>
            </w:r>
          </w:p>
          <w:p w14:paraId="3922DC7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 Disagree with PRA clarification. The courts, not the Commission, determine the applicability of the PRA. Agree on the use of “send.” Staff has changed to “serve.”</w:t>
            </w:r>
          </w:p>
          <w:p w14:paraId="096F7D5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WK – Disagree. The statute limits the Commission’s authority to public service companies, and the Commission cannot extend that authority by rule. The Commission, moreover, does not need this rule to request any additional information necessary to determine whether to grant an application.</w:t>
            </w:r>
          </w:p>
        </w:tc>
      </w:tr>
      <w:tr w:rsidR="00FB2E7E" w:rsidRPr="00B5727C" w14:paraId="4F0C6EA1" w14:textId="77777777" w:rsidTr="00475B87">
        <w:trPr>
          <w:cantSplit/>
        </w:trPr>
        <w:tc>
          <w:tcPr>
            <w:tcW w:w="1328" w:type="dxa"/>
          </w:tcPr>
          <w:p w14:paraId="6F6166E8" w14:textId="77777777" w:rsidR="00FB2E7E" w:rsidRDefault="00FB2E7E" w:rsidP="00577422">
            <w:pPr>
              <w:rPr>
                <w:rFonts w:ascii="Times New Roman" w:hAnsi="Times New Roman" w:cs="Times New Roman"/>
              </w:rPr>
            </w:pPr>
            <w:r>
              <w:rPr>
                <w:rFonts w:ascii="Times New Roman" w:hAnsi="Times New Roman" w:cs="Times New Roman"/>
              </w:rPr>
              <w:lastRenderedPageBreak/>
              <w:t>300(2)</w:t>
            </w:r>
          </w:p>
        </w:tc>
        <w:tc>
          <w:tcPr>
            <w:tcW w:w="2717" w:type="dxa"/>
          </w:tcPr>
          <w:p w14:paraId="06B5BDCF" w14:textId="77777777" w:rsidR="00FB2E7E" w:rsidRDefault="00FB2E7E" w:rsidP="00577422">
            <w:pPr>
              <w:rPr>
                <w:rFonts w:ascii="Times New Roman" w:hAnsi="Times New Roman" w:cs="Times New Roman"/>
              </w:rPr>
            </w:pPr>
          </w:p>
        </w:tc>
        <w:tc>
          <w:tcPr>
            <w:tcW w:w="1980" w:type="dxa"/>
          </w:tcPr>
          <w:p w14:paraId="053F547E" w14:textId="77777777" w:rsidR="00FB2E7E" w:rsidRPr="00B5727C" w:rsidRDefault="00FB2E7E" w:rsidP="00577422">
            <w:pPr>
              <w:rPr>
                <w:rFonts w:ascii="Times New Roman" w:hAnsi="Times New Roman" w:cs="Times New Roman"/>
              </w:rPr>
            </w:pPr>
          </w:p>
        </w:tc>
        <w:tc>
          <w:tcPr>
            <w:tcW w:w="2610" w:type="dxa"/>
          </w:tcPr>
          <w:p w14:paraId="69991247"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SLG: Clarify whether classification complaints under RCW 81.04.510 are adjudicative proceedings; clarify nature of tariff filings that are not suspended</w:t>
            </w:r>
          </w:p>
        </w:tc>
        <w:tc>
          <w:tcPr>
            <w:tcW w:w="3420" w:type="dxa"/>
          </w:tcPr>
          <w:p w14:paraId="305F29F3" w14:textId="77777777" w:rsidR="00FB2E7E" w:rsidRPr="00B5727C" w:rsidRDefault="00FB2E7E" w:rsidP="00577422">
            <w:pPr>
              <w:rPr>
                <w:rFonts w:ascii="Times New Roman" w:hAnsi="Times New Roman" w:cs="Times New Roman"/>
                <w:color w:val="000000"/>
              </w:rPr>
            </w:pPr>
          </w:p>
        </w:tc>
        <w:tc>
          <w:tcPr>
            <w:tcW w:w="5130" w:type="dxa"/>
          </w:tcPr>
          <w:p w14:paraId="4DD9284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Agree with respect to classification complaints. Staff has included Commission-initiated complaints. </w:t>
            </w:r>
          </w:p>
          <w:p w14:paraId="1EEB96F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with respect to suspended tariff filings. The proposed rule conditions all items on the list on the Commission taking formal action to commence an adjudication, and thus suspended tariff filings are not an adjudication unless the Commission issues a notice of prehearing conference.</w:t>
            </w:r>
          </w:p>
        </w:tc>
      </w:tr>
      <w:tr w:rsidR="00FB2E7E" w:rsidRPr="00B5727C" w14:paraId="5FE96F18" w14:textId="77777777" w:rsidTr="00475B87">
        <w:trPr>
          <w:cantSplit/>
        </w:trPr>
        <w:tc>
          <w:tcPr>
            <w:tcW w:w="1328" w:type="dxa"/>
          </w:tcPr>
          <w:p w14:paraId="2AFD06F5" w14:textId="77777777" w:rsidR="00FB2E7E" w:rsidRDefault="00FB2E7E" w:rsidP="00577422">
            <w:pPr>
              <w:rPr>
                <w:rFonts w:ascii="Times New Roman" w:hAnsi="Times New Roman" w:cs="Times New Roman"/>
              </w:rPr>
            </w:pPr>
            <w:r>
              <w:rPr>
                <w:rFonts w:ascii="Times New Roman" w:hAnsi="Times New Roman" w:cs="Times New Roman"/>
              </w:rPr>
              <w:t>304(1)(c)</w:t>
            </w:r>
          </w:p>
        </w:tc>
        <w:tc>
          <w:tcPr>
            <w:tcW w:w="2717" w:type="dxa"/>
          </w:tcPr>
          <w:p w14:paraId="4800B122" w14:textId="77777777" w:rsidR="00FB2E7E" w:rsidRDefault="00FB2E7E" w:rsidP="00577422">
            <w:pPr>
              <w:rPr>
                <w:rFonts w:ascii="Times New Roman" w:hAnsi="Times New Roman" w:cs="Times New Roman"/>
              </w:rPr>
            </w:pPr>
          </w:p>
        </w:tc>
        <w:tc>
          <w:tcPr>
            <w:tcW w:w="1980" w:type="dxa"/>
          </w:tcPr>
          <w:p w14:paraId="5D982DCE" w14:textId="77777777" w:rsidR="00FB2E7E" w:rsidRPr="00B5727C" w:rsidRDefault="00FB2E7E" w:rsidP="00577422">
            <w:pPr>
              <w:rPr>
                <w:rFonts w:ascii="Times New Roman" w:hAnsi="Times New Roman" w:cs="Times New Roman"/>
              </w:rPr>
            </w:pPr>
          </w:p>
        </w:tc>
        <w:tc>
          <w:tcPr>
            <w:tcW w:w="2610" w:type="dxa"/>
          </w:tcPr>
          <w:p w14:paraId="32222A7A" w14:textId="77777777" w:rsidR="00FB2E7E" w:rsidRDefault="00FB2E7E" w:rsidP="00577422">
            <w:pPr>
              <w:rPr>
                <w:rFonts w:ascii="Times New Roman" w:hAnsi="Times New Roman" w:cs="Times New Roman"/>
                <w:color w:val="000000"/>
              </w:rPr>
            </w:pPr>
          </w:p>
        </w:tc>
        <w:tc>
          <w:tcPr>
            <w:tcW w:w="3420" w:type="dxa"/>
          </w:tcPr>
          <w:p w14:paraId="63C460B6" w14:textId="77777777" w:rsidR="00FB2E7E" w:rsidRDefault="00FB2E7E" w:rsidP="00577422">
            <w:pPr>
              <w:rPr>
                <w:rFonts w:ascii="Times New Roman" w:hAnsi="Times New Roman" w:cs="Times New Roman"/>
                <w:color w:val="000000"/>
              </w:rPr>
            </w:pPr>
          </w:p>
        </w:tc>
        <w:tc>
          <w:tcPr>
            <w:tcW w:w="5130" w:type="dxa"/>
          </w:tcPr>
          <w:p w14:paraId="7FBF1083"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Delete definition of “Interested Person” as a term that is not used in the rule.</w:t>
            </w:r>
          </w:p>
        </w:tc>
      </w:tr>
      <w:tr w:rsidR="00FB2E7E" w:rsidRPr="00B5727C" w14:paraId="179496FC" w14:textId="77777777" w:rsidTr="00475B87">
        <w:trPr>
          <w:cantSplit/>
        </w:trPr>
        <w:tc>
          <w:tcPr>
            <w:tcW w:w="1328" w:type="dxa"/>
          </w:tcPr>
          <w:p w14:paraId="1957CF27" w14:textId="77777777" w:rsidR="00FB2E7E" w:rsidRDefault="00FB2E7E" w:rsidP="00577422">
            <w:pPr>
              <w:rPr>
                <w:rFonts w:ascii="Times New Roman" w:hAnsi="Times New Roman" w:cs="Times New Roman"/>
              </w:rPr>
            </w:pPr>
            <w:r>
              <w:rPr>
                <w:rFonts w:ascii="Times New Roman" w:hAnsi="Times New Roman" w:cs="Times New Roman"/>
              </w:rPr>
              <w:t>305</w:t>
            </w:r>
          </w:p>
        </w:tc>
        <w:tc>
          <w:tcPr>
            <w:tcW w:w="2717" w:type="dxa"/>
          </w:tcPr>
          <w:p w14:paraId="58B2C011" w14:textId="77777777" w:rsidR="00FB2E7E" w:rsidRDefault="00FB2E7E" w:rsidP="00577422">
            <w:pPr>
              <w:rPr>
                <w:rFonts w:ascii="Times New Roman" w:hAnsi="Times New Roman" w:cs="Times New Roman"/>
              </w:rPr>
            </w:pPr>
          </w:p>
        </w:tc>
        <w:tc>
          <w:tcPr>
            <w:tcW w:w="1980" w:type="dxa"/>
          </w:tcPr>
          <w:p w14:paraId="5C7F2F28" w14:textId="77777777" w:rsidR="00FB2E7E" w:rsidRPr="00B5727C" w:rsidRDefault="00FB2E7E" w:rsidP="00577422">
            <w:pPr>
              <w:rPr>
                <w:rFonts w:ascii="Times New Roman" w:hAnsi="Times New Roman" w:cs="Times New Roman"/>
              </w:rPr>
            </w:pPr>
          </w:p>
        </w:tc>
        <w:tc>
          <w:tcPr>
            <w:tcW w:w="2610" w:type="dxa"/>
          </w:tcPr>
          <w:p w14:paraId="1640E95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WRRA: Require Commission to give notice of commencement of adjudications to persons who have requested such notice </w:t>
            </w:r>
          </w:p>
        </w:tc>
        <w:tc>
          <w:tcPr>
            <w:tcW w:w="3420" w:type="dxa"/>
          </w:tcPr>
          <w:p w14:paraId="5344D0AD" w14:textId="77777777" w:rsidR="00FB2E7E" w:rsidRDefault="00FB2E7E" w:rsidP="00577422">
            <w:pPr>
              <w:rPr>
                <w:rFonts w:ascii="Times New Roman" w:hAnsi="Times New Roman" w:cs="Times New Roman"/>
                <w:color w:val="000000"/>
              </w:rPr>
            </w:pPr>
          </w:p>
        </w:tc>
        <w:tc>
          <w:tcPr>
            <w:tcW w:w="5130" w:type="dxa"/>
          </w:tcPr>
          <w:p w14:paraId="1206526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The Commission is working with stakeholders to make such information more broadly available, but codifying a requirement to maintain a list of interested persons and provide notice of all adjudications to those persons is not warranted.</w:t>
            </w:r>
          </w:p>
        </w:tc>
      </w:tr>
      <w:tr w:rsidR="00FB2E7E" w:rsidRPr="00B5727C" w14:paraId="30518163" w14:textId="77777777" w:rsidTr="00475B87">
        <w:trPr>
          <w:cantSplit/>
        </w:trPr>
        <w:tc>
          <w:tcPr>
            <w:tcW w:w="1328" w:type="dxa"/>
          </w:tcPr>
          <w:p w14:paraId="3A70F94B" w14:textId="77777777" w:rsidR="00FB2E7E" w:rsidRDefault="00FB2E7E" w:rsidP="00577422">
            <w:pPr>
              <w:rPr>
                <w:rFonts w:ascii="Times New Roman" w:hAnsi="Times New Roman" w:cs="Times New Roman"/>
              </w:rPr>
            </w:pPr>
            <w:r>
              <w:rPr>
                <w:rFonts w:ascii="Times New Roman" w:hAnsi="Times New Roman" w:cs="Times New Roman"/>
              </w:rPr>
              <w:t>305(5)(b)</w:t>
            </w:r>
          </w:p>
        </w:tc>
        <w:tc>
          <w:tcPr>
            <w:tcW w:w="2717" w:type="dxa"/>
          </w:tcPr>
          <w:p w14:paraId="1B18917C" w14:textId="77777777" w:rsidR="00FB2E7E" w:rsidRDefault="00FB2E7E" w:rsidP="00577422">
            <w:pPr>
              <w:rPr>
                <w:rFonts w:ascii="Times New Roman" w:hAnsi="Times New Roman" w:cs="Times New Roman"/>
              </w:rPr>
            </w:pPr>
            <w:r>
              <w:rPr>
                <w:rFonts w:ascii="Times New Roman" w:hAnsi="Times New Roman" w:cs="Times New Roman"/>
              </w:rPr>
              <w:t>PPL: Consider including standing among the list of circumstances in which the Commission will not commence an adjudication</w:t>
            </w:r>
          </w:p>
        </w:tc>
        <w:tc>
          <w:tcPr>
            <w:tcW w:w="1980" w:type="dxa"/>
          </w:tcPr>
          <w:p w14:paraId="1891F05B" w14:textId="77777777" w:rsidR="00FB2E7E" w:rsidRPr="00B5727C" w:rsidRDefault="00FB2E7E" w:rsidP="00577422">
            <w:pPr>
              <w:rPr>
                <w:rFonts w:ascii="Times New Roman" w:hAnsi="Times New Roman" w:cs="Times New Roman"/>
              </w:rPr>
            </w:pPr>
          </w:p>
        </w:tc>
        <w:tc>
          <w:tcPr>
            <w:tcW w:w="2610" w:type="dxa"/>
          </w:tcPr>
          <w:p w14:paraId="31BE9047" w14:textId="77777777" w:rsidR="00FB2E7E" w:rsidRDefault="00FB2E7E" w:rsidP="00577422">
            <w:pPr>
              <w:rPr>
                <w:rFonts w:ascii="Times New Roman" w:hAnsi="Times New Roman" w:cs="Times New Roman"/>
                <w:color w:val="000000"/>
              </w:rPr>
            </w:pPr>
          </w:p>
        </w:tc>
        <w:tc>
          <w:tcPr>
            <w:tcW w:w="3420" w:type="dxa"/>
          </w:tcPr>
          <w:p w14:paraId="76B1B6A0"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Do not adopt language stating that Commission may decline to commence adjudication if the matter would be better addressed informally as improperly restricting access to adjudicative process</w:t>
            </w:r>
          </w:p>
        </w:tc>
        <w:tc>
          <w:tcPr>
            <w:tcW w:w="5130" w:type="dxa"/>
          </w:tcPr>
          <w:p w14:paraId="1AB8193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PPL – Agree. Staff has added lack of standing to the list.</w:t>
            </w:r>
          </w:p>
          <w:p w14:paraId="23AC9EB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The Commission handles the vast majority of consumer complaints informally, and the Commission will decline to commence an adjudication if the complaint is better handled in that way.</w:t>
            </w:r>
          </w:p>
        </w:tc>
      </w:tr>
      <w:tr w:rsidR="00FB2E7E" w:rsidRPr="00B5727C" w14:paraId="4DBD7124" w14:textId="77777777" w:rsidTr="00475B87">
        <w:trPr>
          <w:cantSplit/>
        </w:trPr>
        <w:tc>
          <w:tcPr>
            <w:tcW w:w="1328" w:type="dxa"/>
          </w:tcPr>
          <w:p w14:paraId="41DD8191" w14:textId="77777777" w:rsidR="00FB2E7E" w:rsidRDefault="00FB2E7E" w:rsidP="00577422">
            <w:pPr>
              <w:rPr>
                <w:rFonts w:ascii="Times New Roman" w:hAnsi="Times New Roman" w:cs="Times New Roman"/>
              </w:rPr>
            </w:pPr>
            <w:r>
              <w:rPr>
                <w:rFonts w:ascii="Times New Roman" w:hAnsi="Times New Roman" w:cs="Times New Roman"/>
              </w:rPr>
              <w:t>307</w:t>
            </w:r>
          </w:p>
        </w:tc>
        <w:tc>
          <w:tcPr>
            <w:tcW w:w="2717" w:type="dxa"/>
          </w:tcPr>
          <w:p w14:paraId="69C05FE8" w14:textId="77777777" w:rsidR="00FB2E7E" w:rsidRDefault="00FB2E7E" w:rsidP="00577422">
            <w:pPr>
              <w:rPr>
                <w:rFonts w:ascii="Times New Roman" w:hAnsi="Times New Roman" w:cs="Times New Roman"/>
              </w:rPr>
            </w:pPr>
          </w:p>
        </w:tc>
        <w:tc>
          <w:tcPr>
            <w:tcW w:w="1980" w:type="dxa"/>
          </w:tcPr>
          <w:p w14:paraId="142C2505" w14:textId="77777777" w:rsidR="00FB2E7E" w:rsidRPr="00B5727C" w:rsidRDefault="00FB2E7E" w:rsidP="00577422">
            <w:pPr>
              <w:rPr>
                <w:rFonts w:ascii="Times New Roman" w:hAnsi="Times New Roman" w:cs="Times New Roman"/>
              </w:rPr>
            </w:pPr>
          </w:p>
        </w:tc>
        <w:tc>
          <w:tcPr>
            <w:tcW w:w="2610" w:type="dxa"/>
          </w:tcPr>
          <w:p w14:paraId="7C94ED35"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SLG: Consider requiring probable cause determination to third-party complaints</w:t>
            </w:r>
          </w:p>
        </w:tc>
        <w:tc>
          <w:tcPr>
            <w:tcW w:w="3420" w:type="dxa"/>
          </w:tcPr>
          <w:p w14:paraId="785CF386" w14:textId="77777777" w:rsidR="00FB2E7E" w:rsidRPr="00B5727C" w:rsidRDefault="00FB2E7E" w:rsidP="00577422">
            <w:pPr>
              <w:rPr>
                <w:rFonts w:ascii="Times New Roman" w:hAnsi="Times New Roman" w:cs="Times New Roman"/>
                <w:color w:val="000000"/>
              </w:rPr>
            </w:pPr>
          </w:p>
        </w:tc>
        <w:tc>
          <w:tcPr>
            <w:tcW w:w="5130" w:type="dxa"/>
          </w:tcPr>
          <w:p w14:paraId="20F763D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Disagree. Probable cause findings at least arguably are limited to Commission-initiated complaints. </w:t>
            </w:r>
            <w:r w:rsidRPr="001D415D">
              <w:rPr>
                <w:rFonts w:ascii="Times New Roman" w:hAnsi="Times New Roman" w:cs="Times New Roman"/>
                <w:i/>
                <w:color w:val="000000"/>
              </w:rPr>
              <w:t>See</w:t>
            </w:r>
            <w:r>
              <w:rPr>
                <w:rFonts w:ascii="Times New Roman" w:hAnsi="Times New Roman" w:cs="Times New Roman"/>
                <w:color w:val="000000"/>
              </w:rPr>
              <w:t xml:space="preserve"> RCW 80.01.060(1). Such findings are a check on government action, which is not implicated in third-party complaints.</w:t>
            </w:r>
          </w:p>
        </w:tc>
      </w:tr>
      <w:tr w:rsidR="00FB2E7E" w:rsidRPr="00B5727C" w14:paraId="7368BC33" w14:textId="77777777" w:rsidTr="00475B87">
        <w:trPr>
          <w:cantSplit/>
        </w:trPr>
        <w:tc>
          <w:tcPr>
            <w:tcW w:w="1328" w:type="dxa"/>
          </w:tcPr>
          <w:p w14:paraId="77AA4399" w14:textId="77777777" w:rsidR="00FB2E7E" w:rsidRDefault="00FB2E7E" w:rsidP="00577422">
            <w:pPr>
              <w:rPr>
                <w:rFonts w:ascii="Times New Roman" w:hAnsi="Times New Roman" w:cs="Times New Roman"/>
              </w:rPr>
            </w:pPr>
            <w:r>
              <w:rPr>
                <w:rFonts w:ascii="Times New Roman" w:hAnsi="Times New Roman" w:cs="Times New Roman"/>
              </w:rPr>
              <w:lastRenderedPageBreak/>
              <w:t>310</w:t>
            </w:r>
          </w:p>
        </w:tc>
        <w:tc>
          <w:tcPr>
            <w:tcW w:w="2717" w:type="dxa"/>
          </w:tcPr>
          <w:p w14:paraId="59F03666" w14:textId="77777777" w:rsidR="00FB2E7E" w:rsidRDefault="00FB2E7E" w:rsidP="00577422">
            <w:pPr>
              <w:rPr>
                <w:rFonts w:ascii="Times New Roman" w:hAnsi="Times New Roman" w:cs="Times New Roman"/>
              </w:rPr>
            </w:pPr>
          </w:p>
        </w:tc>
        <w:tc>
          <w:tcPr>
            <w:tcW w:w="1980" w:type="dxa"/>
          </w:tcPr>
          <w:p w14:paraId="6F63BD98" w14:textId="77777777" w:rsidR="00FB2E7E" w:rsidRPr="00B5727C" w:rsidRDefault="00FB2E7E" w:rsidP="00577422">
            <w:pPr>
              <w:rPr>
                <w:rFonts w:ascii="Times New Roman" w:hAnsi="Times New Roman" w:cs="Times New Roman"/>
              </w:rPr>
            </w:pPr>
          </w:p>
        </w:tc>
        <w:tc>
          <w:tcPr>
            <w:tcW w:w="2610" w:type="dxa"/>
          </w:tcPr>
          <w:p w14:paraId="606D688D"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WRRA, WK: On Commission review of an initial order, prohibit contact between Commissioners and advisory staff that worked on that order </w:t>
            </w:r>
          </w:p>
        </w:tc>
        <w:tc>
          <w:tcPr>
            <w:tcW w:w="3420" w:type="dxa"/>
          </w:tcPr>
          <w:p w14:paraId="6050DEA2" w14:textId="77777777" w:rsidR="00FB2E7E" w:rsidRPr="00B5727C" w:rsidRDefault="00FB2E7E" w:rsidP="00577422">
            <w:pPr>
              <w:rPr>
                <w:rFonts w:ascii="Times New Roman" w:hAnsi="Times New Roman" w:cs="Times New Roman"/>
                <w:color w:val="000000"/>
              </w:rPr>
            </w:pPr>
          </w:p>
        </w:tc>
        <w:tc>
          <w:tcPr>
            <w:tcW w:w="5130" w:type="dxa"/>
          </w:tcPr>
          <w:p w14:paraId="1979DEE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The Commission’s practice is to have a different ALJ assist the Commissioners on review than the judge who entered the initial order, but this is not an ex parte issue. To the extent this practice should be codified, it would be more appropriately addressed in WAC 480-07-825, which governs review of initial orders.</w:t>
            </w:r>
          </w:p>
        </w:tc>
      </w:tr>
      <w:tr w:rsidR="00FB2E7E" w:rsidRPr="00B5727C" w14:paraId="73050270" w14:textId="77777777" w:rsidTr="00475B87">
        <w:trPr>
          <w:cantSplit/>
        </w:trPr>
        <w:tc>
          <w:tcPr>
            <w:tcW w:w="1328" w:type="dxa"/>
          </w:tcPr>
          <w:p w14:paraId="1408D589" w14:textId="77777777" w:rsidR="00FB2E7E" w:rsidRDefault="00FB2E7E" w:rsidP="00577422">
            <w:pPr>
              <w:rPr>
                <w:rFonts w:ascii="Times New Roman" w:hAnsi="Times New Roman" w:cs="Times New Roman"/>
              </w:rPr>
            </w:pPr>
            <w:r>
              <w:rPr>
                <w:rFonts w:ascii="Times New Roman" w:hAnsi="Times New Roman" w:cs="Times New Roman"/>
              </w:rPr>
              <w:t>340(3)(e)</w:t>
            </w:r>
          </w:p>
        </w:tc>
        <w:tc>
          <w:tcPr>
            <w:tcW w:w="2717" w:type="dxa"/>
          </w:tcPr>
          <w:p w14:paraId="31F4968D" w14:textId="77777777" w:rsidR="00FB2E7E" w:rsidRDefault="00FB2E7E" w:rsidP="00577422">
            <w:pPr>
              <w:rPr>
                <w:rFonts w:ascii="Times New Roman" w:hAnsi="Times New Roman" w:cs="Times New Roman"/>
              </w:rPr>
            </w:pPr>
          </w:p>
        </w:tc>
        <w:tc>
          <w:tcPr>
            <w:tcW w:w="1980" w:type="dxa"/>
          </w:tcPr>
          <w:p w14:paraId="0F407864" w14:textId="77777777" w:rsidR="00FB2E7E" w:rsidRPr="00B5727C" w:rsidRDefault="00FB2E7E" w:rsidP="00577422">
            <w:pPr>
              <w:rPr>
                <w:rFonts w:ascii="Times New Roman" w:hAnsi="Times New Roman" w:cs="Times New Roman"/>
              </w:rPr>
            </w:pPr>
          </w:p>
        </w:tc>
        <w:tc>
          <w:tcPr>
            <w:tcW w:w="2610" w:type="dxa"/>
          </w:tcPr>
          <w:p w14:paraId="37574DA6" w14:textId="77777777" w:rsidR="00FB2E7E" w:rsidRPr="00B5727C" w:rsidRDefault="00FB2E7E" w:rsidP="00577422">
            <w:pPr>
              <w:rPr>
                <w:rFonts w:ascii="Times New Roman" w:hAnsi="Times New Roman" w:cs="Times New Roman"/>
                <w:color w:val="000000"/>
              </w:rPr>
            </w:pPr>
          </w:p>
        </w:tc>
        <w:tc>
          <w:tcPr>
            <w:tcW w:w="3420" w:type="dxa"/>
          </w:tcPr>
          <w:p w14:paraId="2B4AB16C"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Retain second sentence as valuable to reinforcing that the utility in a rate case bears the burden of proof even though it is the respondent</w:t>
            </w:r>
          </w:p>
        </w:tc>
        <w:tc>
          <w:tcPr>
            <w:tcW w:w="5130" w:type="dxa"/>
          </w:tcPr>
          <w:p w14:paraId="6B85471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This rule is intended to define the terms used to identify different parties, and assigning the burden of proof is beyond that limited scope.</w:t>
            </w:r>
          </w:p>
        </w:tc>
      </w:tr>
      <w:tr w:rsidR="00FB2E7E" w:rsidRPr="00B5727C" w14:paraId="62E1FEDF" w14:textId="77777777" w:rsidTr="00475B87">
        <w:trPr>
          <w:cantSplit/>
        </w:trPr>
        <w:tc>
          <w:tcPr>
            <w:tcW w:w="1328" w:type="dxa"/>
          </w:tcPr>
          <w:p w14:paraId="223B6ED0" w14:textId="77777777" w:rsidR="00FB2E7E" w:rsidRDefault="00FB2E7E" w:rsidP="00577422">
            <w:pPr>
              <w:rPr>
                <w:rFonts w:ascii="Times New Roman" w:hAnsi="Times New Roman" w:cs="Times New Roman"/>
              </w:rPr>
            </w:pPr>
            <w:r>
              <w:rPr>
                <w:rFonts w:ascii="Times New Roman" w:hAnsi="Times New Roman" w:cs="Times New Roman"/>
              </w:rPr>
              <w:t>345(2)</w:t>
            </w:r>
          </w:p>
        </w:tc>
        <w:tc>
          <w:tcPr>
            <w:tcW w:w="2717" w:type="dxa"/>
          </w:tcPr>
          <w:p w14:paraId="5D16D93C" w14:textId="77777777" w:rsidR="00FB2E7E" w:rsidRDefault="00FB2E7E" w:rsidP="00577422">
            <w:pPr>
              <w:rPr>
                <w:rFonts w:ascii="Times New Roman" w:hAnsi="Times New Roman" w:cs="Times New Roman"/>
              </w:rPr>
            </w:pPr>
          </w:p>
        </w:tc>
        <w:tc>
          <w:tcPr>
            <w:tcW w:w="1980" w:type="dxa"/>
          </w:tcPr>
          <w:p w14:paraId="5098AB10" w14:textId="77777777" w:rsidR="00FB2E7E" w:rsidRPr="00B5727C" w:rsidRDefault="00FB2E7E" w:rsidP="00577422">
            <w:pPr>
              <w:rPr>
                <w:rFonts w:ascii="Times New Roman" w:hAnsi="Times New Roman" w:cs="Times New Roman"/>
              </w:rPr>
            </w:pPr>
          </w:p>
        </w:tc>
        <w:tc>
          <w:tcPr>
            <w:tcW w:w="2610" w:type="dxa"/>
          </w:tcPr>
          <w:p w14:paraId="0BE75D9B" w14:textId="77777777" w:rsidR="00FB2E7E" w:rsidRPr="00B5727C" w:rsidRDefault="00FB2E7E" w:rsidP="00577422">
            <w:pPr>
              <w:rPr>
                <w:rFonts w:ascii="Times New Roman" w:hAnsi="Times New Roman" w:cs="Times New Roman"/>
                <w:color w:val="000000"/>
              </w:rPr>
            </w:pPr>
          </w:p>
        </w:tc>
        <w:tc>
          <w:tcPr>
            <w:tcW w:w="3420" w:type="dxa"/>
          </w:tcPr>
          <w:p w14:paraId="45FEC02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Substitute “one additional person authorized to receive service on behalf of the party” for “the person to accept service for the party itself” with corresponding change to last sentence to make consistent with other rules in this chapter; divide into three subsections for clarity</w:t>
            </w:r>
          </w:p>
        </w:tc>
        <w:tc>
          <w:tcPr>
            <w:tcW w:w="5130" w:type="dxa"/>
          </w:tcPr>
          <w:p w14:paraId="591E5E8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on need for revision but not proposed language. Staff has revised the proposed rule to address only service on the attorney or other authorized representative.</w:t>
            </w:r>
          </w:p>
          <w:p w14:paraId="7D1D2A0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on breaking this subsection into further subsections, and Staff has made that change.</w:t>
            </w:r>
          </w:p>
        </w:tc>
      </w:tr>
      <w:tr w:rsidR="00FB2E7E" w:rsidRPr="00B5727C" w14:paraId="2F1F2412" w14:textId="77777777" w:rsidTr="00475B87">
        <w:trPr>
          <w:cantSplit/>
        </w:trPr>
        <w:tc>
          <w:tcPr>
            <w:tcW w:w="1328" w:type="dxa"/>
          </w:tcPr>
          <w:p w14:paraId="12FB90FF" w14:textId="77777777" w:rsidR="00FB2E7E" w:rsidRDefault="00FB2E7E" w:rsidP="00577422">
            <w:pPr>
              <w:rPr>
                <w:rFonts w:ascii="Times New Roman" w:hAnsi="Times New Roman" w:cs="Times New Roman"/>
              </w:rPr>
            </w:pPr>
            <w:r>
              <w:rPr>
                <w:rFonts w:ascii="Times New Roman" w:hAnsi="Times New Roman" w:cs="Times New Roman"/>
              </w:rPr>
              <w:t>355(1)(a)</w:t>
            </w:r>
          </w:p>
        </w:tc>
        <w:tc>
          <w:tcPr>
            <w:tcW w:w="2717" w:type="dxa"/>
          </w:tcPr>
          <w:p w14:paraId="57F65443" w14:textId="77777777" w:rsidR="00FB2E7E" w:rsidRDefault="00FB2E7E" w:rsidP="00577422">
            <w:pPr>
              <w:rPr>
                <w:rFonts w:ascii="Times New Roman" w:hAnsi="Times New Roman" w:cs="Times New Roman"/>
              </w:rPr>
            </w:pPr>
          </w:p>
        </w:tc>
        <w:tc>
          <w:tcPr>
            <w:tcW w:w="1980" w:type="dxa"/>
          </w:tcPr>
          <w:p w14:paraId="200B6F13" w14:textId="77777777" w:rsidR="00FB2E7E" w:rsidRPr="00B5727C" w:rsidRDefault="00FB2E7E" w:rsidP="00577422">
            <w:pPr>
              <w:rPr>
                <w:rFonts w:ascii="Times New Roman" w:hAnsi="Times New Roman" w:cs="Times New Roman"/>
              </w:rPr>
            </w:pPr>
          </w:p>
        </w:tc>
        <w:tc>
          <w:tcPr>
            <w:tcW w:w="2610" w:type="dxa"/>
          </w:tcPr>
          <w:p w14:paraId="71B0F27B" w14:textId="77777777" w:rsidR="00FB2E7E" w:rsidRPr="00B5727C" w:rsidRDefault="00FB2E7E" w:rsidP="00577422">
            <w:pPr>
              <w:rPr>
                <w:rFonts w:ascii="Times New Roman" w:hAnsi="Times New Roman" w:cs="Times New Roman"/>
                <w:color w:val="000000"/>
              </w:rPr>
            </w:pPr>
          </w:p>
        </w:tc>
        <w:tc>
          <w:tcPr>
            <w:tcW w:w="3420" w:type="dxa"/>
          </w:tcPr>
          <w:p w14:paraId="2C535CE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Require petitions to intervene to be filed within 20 days or two business days, whichever is less</w:t>
            </w:r>
          </w:p>
        </w:tc>
        <w:tc>
          <w:tcPr>
            <w:tcW w:w="5130" w:type="dxa"/>
          </w:tcPr>
          <w:p w14:paraId="1521073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Staff sees no reason to require petitions to intervene to be filed more or less than three business days prior to the initial hearing or prehearing conference as currently required.</w:t>
            </w:r>
          </w:p>
        </w:tc>
      </w:tr>
      <w:tr w:rsidR="00FB2E7E" w:rsidRPr="00B5727C" w14:paraId="7F528AFB" w14:textId="77777777" w:rsidTr="00475B87">
        <w:trPr>
          <w:cantSplit/>
        </w:trPr>
        <w:tc>
          <w:tcPr>
            <w:tcW w:w="1328" w:type="dxa"/>
          </w:tcPr>
          <w:p w14:paraId="58B7A4DF" w14:textId="77777777" w:rsidR="00FB2E7E" w:rsidRDefault="00FB2E7E" w:rsidP="00577422">
            <w:pPr>
              <w:rPr>
                <w:rFonts w:ascii="Times New Roman" w:hAnsi="Times New Roman" w:cs="Times New Roman"/>
              </w:rPr>
            </w:pPr>
            <w:r>
              <w:rPr>
                <w:rFonts w:ascii="Times New Roman" w:hAnsi="Times New Roman" w:cs="Times New Roman"/>
              </w:rPr>
              <w:t>355(1)(c)</w:t>
            </w:r>
          </w:p>
        </w:tc>
        <w:tc>
          <w:tcPr>
            <w:tcW w:w="2717" w:type="dxa"/>
          </w:tcPr>
          <w:p w14:paraId="183CF327" w14:textId="77777777" w:rsidR="00FB2E7E" w:rsidRDefault="00FB2E7E" w:rsidP="00577422">
            <w:pPr>
              <w:rPr>
                <w:rFonts w:ascii="Times New Roman" w:hAnsi="Times New Roman" w:cs="Times New Roman"/>
              </w:rPr>
            </w:pPr>
          </w:p>
        </w:tc>
        <w:tc>
          <w:tcPr>
            <w:tcW w:w="1980" w:type="dxa"/>
          </w:tcPr>
          <w:p w14:paraId="7548E779" w14:textId="77777777" w:rsidR="00FB2E7E" w:rsidRPr="00B5727C" w:rsidRDefault="00FB2E7E" w:rsidP="00577422">
            <w:pPr>
              <w:rPr>
                <w:rFonts w:ascii="Times New Roman" w:hAnsi="Times New Roman" w:cs="Times New Roman"/>
              </w:rPr>
            </w:pPr>
          </w:p>
        </w:tc>
        <w:tc>
          <w:tcPr>
            <w:tcW w:w="2610" w:type="dxa"/>
          </w:tcPr>
          <w:p w14:paraId="08E4F1AA" w14:textId="77777777" w:rsidR="00FB2E7E" w:rsidRPr="00B5727C" w:rsidRDefault="00FB2E7E" w:rsidP="00577422">
            <w:pPr>
              <w:rPr>
                <w:rFonts w:ascii="Times New Roman" w:hAnsi="Times New Roman" w:cs="Times New Roman"/>
                <w:color w:val="000000"/>
              </w:rPr>
            </w:pPr>
          </w:p>
        </w:tc>
        <w:tc>
          <w:tcPr>
            <w:tcW w:w="3420" w:type="dxa"/>
          </w:tcPr>
          <w:p w14:paraId="5217BF07"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Revise consistent with ICNU’s proposed revisions to subsection 345(2); cross reference to 360(c) should be to 360(3)</w:t>
            </w:r>
          </w:p>
        </w:tc>
        <w:tc>
          <w:tcPr>
            <w:tcW w:w="5130" w:type="dxa"/>
          </w:tcPr>
          <w:p w14:paraId="7408593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to correct cross reference and clarify language in this subsection.</w:t>
            </w:r>
          </w:p>
        </w:tc>
      </w:tr>
      <w:tr w:rsidR="00FB2E7E" w:rsidRPr="00B5727C" w14:paraId="1E4A058A" w14:textId="77777777" w:rsidTr="00475B87">
        <w:trPr>
          <w:cantSplit/>
        </w:trPr>
        <w:tc>
          <w:tcPr>
            <w:tcW w:w="1328" w:type="dxa"/>
          </w:tcPr>
          <w:p w14:paraId="1CAACBD4" w14:textId="77777777" w:rsidR="00FB2E7E" w:rsidRDefault="00FB2E7E" w:rsidP="00577422">
            <w:pPr>
              <w:rPr>
                <w:rFonts w:ascii="Times New Roman" w:hAnsi="Times New Roman" w:cs="Times New Roman"/>
              </w:rPr>
            </w:pPr>
            <w:r>
              <w:rPr>
                <w:rFonts w:ascii="Times New Roman" w:hAnsi="Times New Roman" w:cs="Times New Roman"/>
              </w:rPr>
              <w:lastRenderedPageBreak/>
              <w:t>355(3)</w:t>
            </w:r>
          </w:p>
        </w:tc>
        <w:tc>
          <w:tcPr>
            <w:tcW w:w="2717" w:type="dxa"/>
          </w:tcPr>
          <w:p w14:paraId="5F5A353E" w14:textId="77777777" w:rsidR="00FB2E7E" w:rsidRDefault="00FB2E7E" w:rsidP="00577422">
            <w:pPr>
              <w:rPr>
                <w:rFonts w:ascii="Times New Roman" w:hAnsi="Times New Roman" w:cs="Times New Roman"/>
              </w:rPr>
            </w:pPr>
          </w:p>
        </w:tc>
        <w:tc>
          <w:tcPr>
            <w:tcW w:w="1980" w:type="dxa"/>
          </w:tcPr>
          <w:p w14:paraId="22B97254" w14:textId="77777777" w:rsidR="00FB2E7E" w:rsidRPr="00B5727C" w:rsidRDefault="00FB2E7E" w:rsidP="00577422">
            <w:pPr>
              <w:rPr>
                <w:rFonts w:ascii="Times New Roman" w:hAnsi="Times New Roman" w:cs="Times New Roman"/>
              </w:rPr>
            </w:pPr>
          </w:p>
        </w:tc>
        <w:tc>
          <w:tcPr>
            <w:tcW w:w="2610" w:type="dxa"/>
          </w:tcPr>
          <w:p w14:paraId="3F63BC15" w14:textId="77777777" w:rsidR="00FB2E7E" w:rsidRPr="00B5727C" w:rsidRDefault="00FB2E7E" w:rsidP="00577422">
            <w:pPr>
              <w:rPr>
                <w:rFonts w:ascii="Times New Roman" w:hAnsi="Times New Roman" w:cs="Times New Roman"/>
                <w:color w:val="000000"/>
              </w:rPr>
            </w:pPr>
          </w:p>
        </w:tc>
        <w:tc>
          <w:tcPr>
            <w:tcW w:w="3420" w:type="dxa"/>
          </w:tcPr>
          <w:p w14:paraId="70335AFA"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Retain current requirement of substantial interest or (rather than and) public interest</w:t>
            </w:r>
          </w:p>
        </w:tc>
        <w:tc>
          <w:tcPr>
            <w:tcW w:w="5130" w:type="dxa"/>
          </w:tcPr>
          <w:p w14:paraId="7D36117E"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Staff has retained the existing requirement.</w:t>
            </w:r>
          </w:p>
        </w:tc>
      </w:tr>
      <w:tr w:rsidR="00FB2E7E" w:rsidRPr="00B5727C" w14:paraId="410031C2" w14:textId="77777777" w:rsidTr="00475B87">
        <w:trPr>
          <w:cantSplit/>
        </w:trPr>
        <w:tc>
          <w:tcPr>
            <w:tcW w:w="1328" w:type="dxa"/>
          </w:tcPr>
          <w:p w14:paraId="18C32EDD" w14:textId="77777777" w:rsidR="00FB2E7E" w:rsidRDefault="00FB2E7E" w:rsidP="00577422">
            <w:pPr>
              <w:rPr>
                <w:rFonts w:ascii="Times New Roman" w:hAnsi="Times New Roman" w:cs="Times New Roman"/>
              </w:rPr>
            </w:pPr>
            <w:r>
              <w:rPr>
                <w:rFonts w:ascii="Times New Roman" w:hAnsi="Times New Roman" w:cs="Times New Roman"/>
              </w:rPr>
              <w:t>360(2)</w:t>
            </w:r>
          </w:p>
        </w:tc>
        <w:tc>
          <w:tcPr>
            <w:tcW w:w="2717" w:type="dxa"/>
          </w:tcPr>
          <w:p w14:paraId="12E9A2D0" w14:textId="77777777" w:rsidR="00FB2E7E" w:rsidRDefault="00FB2E7E" w:rsidP="00577422">
            <w:pPr>
              <w:rPr>
                <w:rFonts w:ascii="Times New Roman" w:hAnsi="Times New Roman" w:cs="Times New Roman"/>
              </w:rPr>
            </w:pPr>
          </w:p>
        </w:tc>
        <w:tc>
          <w:tcPr>
            <w:tcW w:w="1980" w:type="dxa"/>
          </w:tcPr>
          <w:p w14:paraId="2817C6D4" w14:textId="77777777" w:rsidR="00FB2E7E" w:rsidRPr="00B5727C" w:rsidRDefault="00FB2E7E" w:rsidP="00577422">
            <w:pPr>
              <w:rPr>
                <w:rFonts w:ascii="Times New Roman" w:hAnsi="Times New Roman" w:cs="Times New Roman"/>
              </w:rPr>
            </w:pPr>
          </w:p>
        </w:tc>
        <w:tc>
          <w:tcPr>
            <w:tcW w:w="2610" w:type="dxa"/>
          </w:tcPr>
          <w:p w14:paraId="33336E83" w14:textId="77777777" w:rsidR="00FB2E7E" w:rsidRPr="00B5727C" w:rsidRDefault="00FB2E7E" w:rsidP="00577422">
            <w:pPr>
              <w:rPr>
                <w:rFonts w:ascii="Times New Roman" w:hAnsi="Times New Roman" w:cs="Times New Roman"/>
                <w:color w:val="000000"/>
              </w:rPr>
            </w:pPr>
          </w:p>
        </w:tc>
        <w:tc>
          <w:tcPr>
            <w:tcW w:w="3420" w:type="dxa"/>
          </w:tcPr>
          <w:p w14:paraId="5723539B"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Clarify rules on service to ensure consistency and that designating multiple persons to receive service is permitted</w:t>
            </w:r>
          </w:p>
        </w:tc>
        <w:tc>
          <w:tcPr>
            <w:tcW w:w="5130" w:type="dxa"/>
          </w:tcPr>
          <w:p w14:paraId="014B4E1C"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Staff has provided clarification.</w:t>
            </w:r>
          </w:p>
        </w:tc>
      </w:tr>
      <w:tr w:rsidR="00FB2E7E" w:rsidRPr="00B5727C" w14:paraId="5E5B8982" w14:textId="77777777" w:rsidTr="00475B87">
        <w:trPr>
          <w:cantSplit/>
        </w:trPr>
        <w:tc>
          <w:tcPr>
            <w:tcW w:w="1328" w:type="dxa"/>
          </w:tcPr>
          <w:p w14:paraId="3F81B20D" w14:textId="77777777" w:rsidR="00FB2E7E" w:rsidRDefault="00FB2E7E" w:rsidP="00577422">
            <w:pPr>
              <w:rPr>
                <w:rFonts w:ascii="Times New Roman" w:hAnsi="Times New Roman" w:cs="Times New Roman"/>
              </w:rPr>
            </w:pPr>
            <w:r>
              <w:rPr>
                <w:rFonts w:ascii="Times New Roman" w:hAnsi="Times New Roman" w:cs="Times New Roman"/>
              </w:rPr>
              <w:t>360(5)</w:t>
            </w:r>
          </w:p>
        </w:tc>
        <w:tc>
          <w:tcPr>
            <w:tcW w:w="2717" w:type="dxa"/>
          </w:tcPr>
          <w:p w14:paraId="6D98621B" w14:textId="77777777" w:rsidR="00FB2E7E" w:rsidRDefault="00FB2E7E" w:rsidP="00577422">
            <w:pPr>
              <w:rPr>
                <w:rFonts w:ascii="Times New Roman" w:hAnsi="Times New Roman" w:cs="Times New Roman"/>
              </w:rPr>
            </w:pPr>
            <w:r>
              <w:rPr>
                <w:rFonts w:ascii="Times New Roman" w:hAnsi="Times New Roman" w:cs="Times New Roman"/>
              </w:rPr>
              <w:t>PSE: Include designation of which representatives have executed a protective order</w:t>
            </w:r>
          </w:p>
        </w:tc>
        <w:tc>
          <w:tcPr>
            <w:tcW w:w="1980" w:type="dxa"/>
          </w:tcPr>
          <w:p w14:paraId="09F8874B" w14:textId="77777777" w:rsidR="00FB2E7E" w:rsidRPr="00B5727C" w:rsidRDefault="00FB2E7E" w:rsidP="00577422">
            <w:pPr>
              <w:rPr>
                <w:rFonts w:ascii="Times New Roman" w:hAnsi="Times New Roman" w:cs="Times New Roman"/>
              </w:rPr>
            </w:pPr>
          </w:p>
        </w:tc>
        <w:tc>
          <w:tcPr>
            <w:tcW w:w="2610" w:type="dxa"/>
          </w:tcPr>
          <w:p w14:paraId="1E6B07DD" w14:textId="77777777" w:rsidR="00FB2E7E" w:rsidRPr="00B5727C" w:rsidRDefault="00FB2E7E" w:rsidP="00577422">
            <w:pPr>
              <w:rPr>
                <w:rFonts w:ascii="Times New Roman" w:hAnsi="Times New Roman" w:cs="Times New Roman"/>
                <w:color w:val="000000"/>
              </w:rPr>
            </w:pPr>
          </w:p>
        </w:tc>
        <w:tc>
          <w:tcPr>
            <w:tcW w:w="3420" w:type="dxa"/>
          </w:tcPr>
          <w:p w14:paraId="0B1964EE"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Revise language to not constrain electronic service to only two persons per party</w:t>
            </w:r>
          </w:p>
        </w:tc>
        <w:tc>
          <w:tcPr>
            <w:tcW w:w="5130" w:type="dxa"/>
          </w:tcPr>
          <w:p w14:paraId="6841C86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PSE – Disagree. The Commission creates the initial master service list as an attachment to the prehearing conference order, which the Commission generally serves before anyone has signed any protective order. The Commission may develop a process to identify on the master service list which persons have signed the protective order, but the rule should not require that.</w:t>
            </w:r>
          </w:p>
          <w:p w14:paraId="3EB26F1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ICNU – Agree. Staff has clarified the language. </w:t>
            </w:r>
          </w:p>
        </w:tc>
      </w:tr>
      <w:tr w:rsidR="00FB2E7E" w:rsidRPr="00B5727C" w14:paraId="0D263883" w14:textId="77777777" w:rsidTr="00475B87">
        <w:trPr>
          <w:cantSplit/>
        </w:trPr>
        <w:tc>
          <w:tcPr>
            <w:tcW w:w="1328" w:type="dxa"/>
          </w:tcPr>
          <w:p w14:paraId="78B7321D" w14:textId="77777777" w:rsidR="00FB2E7E" w:rsidRDefault="00FB2E7E" w:rsidP="00577422">
            <w:pPr>
              <w:rPr>
                <w:rFonts w:ascii="Times New Roman" w:hAnsi="Times New Roman" w:cs="Times New Roman"/>
              </w:rPr>
            </w:pPr>
            <w:r>
              <w:rPr>
                <w:rFonts w:ascii="Times New Roman" w:hAnsi="Times New Roman" w:cs="Times New Roman"/>
              </w:rPr>
              <w:t>360(6)</w:t>
            </w:r>
          </w:p>
        </w:tc>
        <w:tc>
          <w:tcPr>
            <w:tcW w:w="2717" w:type="dxa"/>
          </w:tcPr>
          <w:p w14:paraId="270A8656" w14:textId="77777777" w:rsidR="00FB2E7E" w:rsidRDefault="00FB2E7E" w:rsidP="00577422">
            <w:pPr>
              <w:rPr>
                <w:rFonts w:ascii="Times New Roman" w:hAnsi="Times New Roman" w:cs="Times New Roman"/>
              </w:rPr>
            </w:pPr>
            <w:r>
              <w:rPr>
                <w:rFonts w:ascii="Times New Roman" w:hAnsi="Times New Roman" w:cs="Times New Roman"/>
              </w:rPr>
              <w:t>PPL: Add “except as otherwise required by law” to the beginning of the subsection on mandatory electronic filing</w:t>
            </w:r>
          </w:p>
        </w:tc>
        <w:tc>
          <w:tcPr>
            <w:tcW w:w="1980" w:type="dxa"/>
          </w:tcPr>
          <w:p w14:paraId="59D05833" w14:textId="77777777" w:rsidR="00FB2E7E" w:rsidRPr="00B5727C" w:rsidRDefault="00FB2E7E" w:rsidP="00577422">
            <w:pPr>
              <w:rPr>
                <w:rFonts w:ascii="Times New Roman" w:hAnsi="Times New Roman" w:cs="Times New Roman"/>
              </w:rPr>
            </w:pPr>
          </w:p>
        </w:tc>
        <w:tc>
          <w:tcPr>
            <w:tcW w:w="2610" w:type="dxa"/>
          </w:tcPr>
          <w:p w14:paraId="28D476E5" w14:textId="77777777" w:rsidR="00FB2E7E" w:rsidRPr="00B5727C" w:rsidRDefault="00FB2E7E" w:rsidP="00577422">
            <w:pPr>
              <w:rPr>
                <w:rFonts w:ascii="Times New Roman" w:hAnsi="Times New Roman" w:cs="Times New Roman"/>
                <w:color w:val="000000"/>
              </w:rPr>
            </w:pPr>
          </w:p>
        </w:tc>
        <w:tc>
          <w:tcPr>
            <w:tcW w:w="3420" w:type="dxa"/>
          </w:tcPr>
          <w:p w14:paraId="79E1E4E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Revise last sentence to recognize paper service may be required and to encourage parties to work together on any requests for paper service</w:t>
            </w:r>
          </w:p>
          <w:p w14:paraId="6A17C7E9"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Require paper service on parties that request it; language limiting paper documents Commission will serve is too narrow</w:t>
            </w:r>
          </w:p>
        </w:tc>
        <w:tc>
          <w:tcPr>
            <w:tcW w:w="5130" w:type="dxa"/>
          </w:tcPr>
          <w:p w14:paraId="2D5D2CD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PPL – Agree in part. Staff has included comparable language at the beginning of the second sentence in subsection (a).</w:t>
            </w:r>
          </w:p>
          <w:p w14:paraId="6A8EA70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 Agree to the extent described above. Disagree on expressly encouraging parties to cooperate on distribution of paper copies. The Commission generally expects parties to cooperate and need not state so here.</w:t>
            </w:r>
          </w:p>
          <w:p w14:paraId="7DAA665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 Disagree. Paper service should not be mandatory unless required by statute. The rule also appropriately provides that the Commission will serve only those paper documents that a statute requires, not necessarily all documents served in a particular proceeding. Staff nevertheless has clarified the language.</w:t>
            </w:r>
          </w:p>
        </w:tc>
      </w:tr>
      <w:tr w:rsidR="00FB2E7E" w:rsidRPr="00B5727C" w14:paraId="049B08A5" w14:textId="77777777" w:rsidTr="00475B87">
        <w:trPr>
          <w:cantSplit/>
        </w:trPr>
        <w:tc>
          <w:tcPr>
            <w:tcW w:w="1328" w:type="dxa"/>
          </w:tcPr>
          <w:p w14:paraId="0E529F95" w14:textId="77777777" w:rsidR="00FB2E7E" w:rsidRDefault="00FB2E7E" w:rsidP="00577422">
            <w:pPr>
              <w:rPr>
                <w:rFonts w:ascii="Times New Roman" w:hAnsi="Times New Roman" w:cs="Times New Roman"/>
              </w:rPr>
            </w:pPr>
            <w:r>
              <w:rPr>
                <w:rFonts w:ascii="Times New Roman" w:hAnsi="Times New Roman" w:cs="Times New Roman"/>
              </w:rPr>
              <w:lastRenderedPageBreak/>
              <w:t>365(2)</w:t>
            </w:r>
          </w:p>
        </w:tc>
        <w:tc>
          <w:tcPr>
            <w:tcW w:w="2717" w:type="dxa"/>
          </w:tcPr>
          <w:p w14:paraId="12C0CE21" w14:textId="77777777" w:rsidR="00FB2E7E" w:rsidRDefault="00FB2E7E" w:rsidP="00577422">
            <w:pPr>
              <w:rPr>
                <w:rFonts w:ascii="Times New Roman" w:hAnsi="Times New Roman" w:cs="Times New Roman"/>
              </w:rPr>
            </w:pPr>
            <w:r>
              <w:rPr>
                <w:rFonts w:ascii="Times New Roman" w:hAnsi="Times New Roman" w:cs="Times New Roman"/>
              </w:rPr>
              <w:t>PPL: Add “except as otherwise required by law” to the beginning of the subsection on mandatory electronic filing</w:t>
            </w:r>
          </w:p>
        </w:tc>
        <w:tc>
          <w:tcPr>
            <w:tcW w:w="1980" w:type="dxa"/>
          </w:tcPr>
          <w:p w14:paraId="09B087E8" w14:textId="77777777" w:rsidR="00FB2E7E" w:rsidRPr="00B5727C" w:rsidRDefault="00FB2E7E" w:rsidP="00577422">
            <w:pPr>
              <w:rPr>
                <w:rFonts w:ascii="Times New Roman" w:hAnsi="Times New Roman" w:cs="Times New Roman"/>
              </w:rPr>
            </w:pPr>
          </w:p>
        </w:tc>
        <w:tc>
          <w:tcPr>
            <w:tcW w:w="2610" w:type="dxa"/>
          </w:tcPr>
          <w:p w14:paraId="545A806F"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WRRA, WK: Extend time for electronic submission beyond 5:00 p.m. on due date</w:t>
            </w:r>
          </w:p>
        </w:tc>
        <w:tc>
          <w:tcPr>
            <w:tcW w:w="3420" w:type="dxa"/>
          </w:tcPr>
          <w:p w14:paraId="2EFE0229" w14:textId="77777777" w:rsidR="00FB2E7E" w:rsidRPr="00B5727C" w:rsidRDefault="00FB2E7E" w:rsidP="00577422">
            <w:pPr>
              <w:rPr>
                <w:rFonts w:ascii="Times New Roman" w:hAnsi="Times New Roman" w:cs="Times New Roman"/>
                <w:color w:val="000000"/>
              </w:rPr>
            </w:pPr>
          </w:p>
        </w:tc>
        <w:tc>
          <w:tcPr>
            <w:tcW w:w="5130" w:type="dxa"/>
          </w:tcPr>
          <w:p w14:paraId="61A59E9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PPL – Agree. Staff has added comparable language to this subsection.</w:t>
            </w:r>
          </w:p>
          <w:p w14:paraId="29C1A31B"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WK – Disagree. Commission staff, as well as presiding officers, often want access to documents on the date they are due, even if that is at, or just prior to, 5:00. In addition, documents should be filed when records center staff is available to provide assistance, if necessary.</w:t>
            </w:r>
          </w:p>
        </w:tc>
      </w:tr>
      <w:tr w:rsidR="00FB2E7E" w:rsidRPr="00B5727C" w14:paraId="5A962CE0" w14:textId="77777777" w:rsidTr="00475B87">
        <w:trPr>
          <w:cantSplit/>
        </w:trPr>
        <w:tc>
          <w:tcPr>
            <w:tcW w:w="1328" w:type="dxa"/>
          </w:tcPr>
          <w:p w14:paraId="4AA76082" w14:textId="77777777" w:rsidR="00FB2E7E" w:rsidRDefault="00FB2E7E" w:rsidP="00577422">
            <w:pPr>
              <w:rPr>
                <w:rFonts w:ascii="Times New Roman" w:hAnsi="Times New Roman" w:cs="Times New Roman"/>
              </w:rPr>
            </w:pPr>
            <w:r>
              <w:rPr>
                <w:rFonts w:ascii="Times New Roman" w:hAnsi="Times New Roman" w:cs="Times New Roman"/>
              </w:rPr>
              <w:t>370</w:t>
            </w:r>
          </w:p>
        </w:tc>
        <w:tc>
          <w:tcPr>
            <w:tcW w:w="2717" w:type="dxa"/>
          </w:tcPr>
          <w:p w14:paraId="122E2868" w14:textId="77777777" w:rsidR="00FB2E7E" w:rsidRDefault="00FB2E7E" w:rsidP="00577422">
            <w:pPr>
              <w:rPr>
                <w:rFonts w:ascii="Times New Roman" w:hAnsi="Times New Roman" w:cs="Times New Roman"/>
              </w:rPr>
            </w:pPr>
            <w:r>
              <w:rPr>
                <w:rFonts w:ascii="Times New Roman" w:hAnsi="Times New Roman" w:cs="Times New Roman"/>
              </w:rPr>
              <w:t>Avista: In subpart (1)(d), subsection (v) should be (iv)</w:t>
            </w:r>
          </w:p>
        </w:tc>
        <w:tc>
          <w:tcPr>
            <w:tcW w:w="1980" w:type="dxa"/>
          </w:tcPr>
          <w:p w14:paraId="0FD0D4B5" w14:textId="77777777" w:rsidR="00FB2E7E" w:rsidRPr="00B5727C" w:rsidRDefault="00FB2E7E" w:rsidP="00577422">
            <w:pPr>
              <w:rPr>
                <w:rFonts w:ascii="Times New Roman" w:hAnsi="Times New Roman" w:cs="Times New Roman"/>
              </w:rPr>
            </w:pPr>
          </w:p>
        </w:tc>
        <w:tc>
          <w:tcPr>
            <w:tcW w:w="2610" w:type="dxa"/>
          </w:tcPr>
          <w:p w14:paraId="597CDCB3" w14:textId="77777777" w:rsidR="00FB2E7E" w:rsidRPr="00B5727C" w:rsidRDefault="00FB2E7E" w:rsidP="00577422">
            <w:pPr>
              <w:rPr>
                <w:rFonts w:ascii="Times New Roman" w:hAnsi="Times New Roman" w:cs="Times New Roman"/>
                <w:color w:val="000000"/>
              </w:rPr>
            </w:pPr>
          </w:p>
        </w:tc>
        <w:tc>
          <w:tcPr>
            <w:tcW w:w="3420" w:type="dxa"/>
          </w:tcPr>
          <w:p w14:paraId="262B9AAB"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Clarify when responses are due to petitions that will be considered at an open meeting</w:t>
            </w:r>
          </w:p>
        </w:tc>
        <w:tc>
          <w:tcPr>
            <w:tcW w:w="5130" w:type="dxa"/>
          </w:tcPr>
          <w:p w14:paraId="71D94B37"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Avista – Agree, and Staff has made that correction.</w:t>
            </w:r>
          </w:p>
          <w:p w14:paraId="3827668E"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 Agree. Staff has included responsive language.</w:t>
            </w:r>
          </w:p>
        </w:tc>
      </w:tr>
      <w:tr w:rsidR="00FB2E7E" w:rsidRPr="00B5727C" w14:paraId="544FBCF6" w14:textId="77777777" w:rsidTr="00475B87">
        <w:trPr>
          <w:cantSplit/>
        </w:trPr>
        <w:tc>
          <w:tcPr>
            <w:tcW w:w="1328" w:type="dxa"/>
          </w:tcPr>
          <w:p w14:paraId="4E447EAB" w14:textId="77777777" w:rsidR="00FB2E7E" w:rsidRDefault="00FB2E7E" w:rsidP="00577422">
            <w:pPr>
              <w:rPr>
                <w:rFonts w:ascii="Times New Roman" w:hAnsi="Times New Roman" w:cs="Times New Roman"/>
              </w:rPr>
            </w:pPr>
            <w:r>
              <w:rPr>
                <w:rFonts w:ascii="Times New Roman" w:hAnsi="Times New Roman" w:cs="Times New Roman"/>
              </w:rPr>
              <w:t>385(3)</w:t>
            </w:r>
          </w:p>
        </w:tc>
        <w:tc>
          <w:tcPr>
            <w:tcW w:w="2717" w:type="dxa"/>
          </w:tcPr>
          <w:p w14:paraId="34BC322D" w14:textId="77777777" w:rsidR="00FB2E7E" w:rsidRDefault="00FB2E7E" w:rsidP="00577422">
            <w:pPr>
              <w:rPr>
                <w:rFonts w:ascii="Times New Roman" w:hAnsi="Times New Roman" w:cs="Times New Roman"/>
              </w:rPr>
            </w:pPr>
          </w:p>
        </w:tc>
        <w:tc>
          <w:tcPr>
            <w:tcW w:w="1980" w:type="dxa"/>
          </w:tcPr>
          <w:p w14:paraId="32DDA9D6" w14:textId="77777777" w:rsidR="00FB2E7E" w:rsidRPr="00B5727C" w:rsidRDefault="00FB2E7E" w:rsidP="00577422">
            <w:pPr>
              <w:rPr>
                <w:rFonts w:ascii="Times New Roman" w:hAnsi="Times New Roman" w:cs="Times New Roman"/>
              </w:rPr>
            </w:pPr>
          </w:p>
        </w:tc>
        <w:tc>
          <w:tcPr>
            <w:tcW w:w="2610" w:type="dxa"/>
          </w:tcPr>
          <w:p w14:paraId="7CC94723" w14:textId="77777777" w:rsidR="00FB2E7E" w:rsidRPr="00B5727C" w:rsidRDefault="00FB2E7E" w:rsidP="00577422">
            <w:pPr>
              <w:rPr>
                <w:rFonts w:ascii="Times New Roman" w:hAnsi="Times New Roman" w:cs="Times New Roman"/>
                <w:color w:val="000000"/>
              </w:rPr>
            </w:pPr>
          </w:p>
        </w:tc>
        <w:tc>
          <w:tcPr>
            <w:tcW w:w="3420" w:type="dxa"/>
          </w:tcPr>
          <w:p w14:paraId="50BB0618" w14:textId="77777777" w:rsidR="00FB2E7E" w:rsidRDefault="00FB2E7E" w:rsidP="00577422">
            <w:pPr>
              <w:rPr>
                <w:rFonts w:ascii="Times New Roman" w:hAnsi="Times New Roman" w:cs="Times New Roman"/>
                <w:color w:val="000000"/>
              </w:rPr>
            </w:pPr>
          </w:p>
        </w:tc>
        <w:tc>
          <w:tcPr>
            <w:tcW w:w="5130" w:type="dxa"/>
          </w:tcPr>
          <w:p w14:paraId="31E5B4A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added a timing requirement for requests for suspension of the procedural schedule.</w:t>
            </w:r>
          </w:p>
        </w:tc>
      </w:tr>
      <w:tr w:rsidR="00FB2E7E" w:rsidRPr="00B5727C" w14:paraId="0F74ABD5" w14:textId="77777777" w:rsidTr="00475B87">
        <w:trPr>
          <w:cantSplit/>
        </w:trPr>
        <w:tc>
          <w:tcPr>
            <w:tcW w:w="1328" w:type="dxa"/>
          </w:tcPr>
          <w:p w14:paraId="12110ADA" w14:textId="77777777" w:rsidR="00FB2E7E" w:rsidRDefault="00FB2E7E" w:rsidP="00577422">
            <w:pPr>
              <w:rPr>
                <w:rFonts w:ascii="Times New Roman" w:hAnsi="Times New Roman" w:cs="Times New Roman"/>
              </w:rPr>
            </w:pPr>
            <w:r>
              <w:rPr>
                <w:rFonts w:ascii="Times New Roman" w:hAnsi="Times New Roman" w:cs="Times New Roman"/>
              </w:rPr>
              <w:t>395(1)(b)</w:t>
            </w:r>
          </w:p>
        </w:tc>
        <w:tc>
          <w:tcPr>
            <w:tcW w:w="2717" w:type="dxa"/>
          </w:tcPr>
          <w:p w14:paraId="32DA0CBC" w14:textId="77777777" w:rsidR="00FB2E7E" w:rsidRDefault="00FB2E7E" w:rsidP="00577422">
            <w:pPr>
              <w:rPr>
                <w:rFonts w:ascii="Times New Roman" w:hAnsi="Times New Roman" w:cs="Times New Roman"/>
              </w:rPr>
            </w:pPr>
          </w:p>
        </w:tc>
        <w:tc>
          <w:tcPr>
            <w:tcW w:w="1980" w:type="dxa"/>
          </w:tcPr>
          <w:p w14:paraId="72276355" w14:textId="77777777" w:rsidR="00FB2E7E" w:rsidRPr="00B5727C" w:rsidRDefault="00FB2E7E" w:rsidP="00577422">
            <w:pPr>
              <w:rPr>
                <w:rFonts w:ascii="Times New Roman" w:hAnsi="Times New Roman" w:cs="Times New Roman"/>
              </w:rPr>
            </w:pPr>
          </w:p>
        </w:tc>
        <w:tc>
          <w:tcPr>
            <w:tcW w:w="2610" w:type="dxa"/>
          </w:tcPr>
          <w:p w14:paraId="6C1AA851" w14:textId="77777777" w:rsidR="00FB2E7E" w:rsidRPr="00B5727C" w:rsidRDefault="00FB2E7E" w:rsidP="00577422">
            <w:pPr>
              <w:rPr>
                <w:rFonts w:ascii="Times New Roman" w:hAnsi="Times New Roman" w:cs="Times New Roman"/>
                <w:color w:val="000000"/>
              </w:rPr>
            </w:pPr>
          </w:p>
        </w:tc>
        <w:tc>
          <w:tcPr>
            <w:tcW w:w="3420" w:type="dxa"/>
          </w:tcPr>
          <w:p w14:paraId="55B80FC1"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Exclude table of contents and authorities and signature blocks from page limits consistent with existing Commission practice</w:t>
            </w:r>
          </w:p>
        </w:tc>
        <w:tc>
          <w:tcPr>
            <w:tcW w:w="5130" w:type="dxa"/>
          </w:tcPr>
          <w:p w14:paraId="1141415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Agree. Staff has revised the language accordingly.</w:t>
            </w:r>
          </w:p>
        </w:tc>
      </w:tr>
      <w:tr w:rsidR="00FB2E7E" w:rsidRPr="00B5727C" w14:paraId="54E24F70" w14:textId="77777777" w:rsidTr="00475B87">
        <w:trPr>
          <w:cantSplit/>
        </w:trPr>
        <w:tc>
          <w:tcPr>
            <w:tcW w:w="1328" w:type="dxa"/>
          </w:tcPr>
          <w:p w14:paraId="09F0BC36" w14:textId="77777777" w:rsidR="00FB2E7E" w:rsidRDefault="00FB2E7E" w:rsidP="00577422">
            <w:pPr>
              <w:rPr>
                <w:rFonts w:ascii="Times New Roman" w:hAnsi="Times New Roman" w:cs="Times New Roman"/>
              </w:rPr>
            </w:pPr>
            <w:r>
              <w:rPr>
                <w:rFonts w:ascii="Times New Roman" w:hAnsi="Times New Roman" w:cs="Times New Roman"/>
              </w:rPr>
              <w:t>395(4)</w:t>
            </w:r>
          </w:p>
        </w:tc>
        <w:tc>
          <w:tcPr>
            <w:tcW w:w="2717" w:type="dxa"/>
          </w:tcPr>
          <w:p w14:paraId="73710F13" w14:textId="77777777" w:rsidR="00FB2E7E" w:rsidRDefault="00FB2E7E" w:rsidP="00577422">
            <w:pPr>
              <w:rPr>
                <w:rFonts w:ascii="Times New Roman" w:hAnsi="Times New Roman" w:cs="Times New Roman"/>
              </w:rPr>
            </w:pPr>
          </w:p>
        </w:tc>
        <w:tc>
          <w:tcPr>
            <w:tcW w:w="1980" w:type="dxa"/>
          </w:tcPr>
          <w:p w14:paraId="535C333A" w14:textId="77777777" w:rsidR="00FB2E7E" w:rsidRPr="00B5727C" w:rsidRDefault="00FB2E7E" w:rsidP="00577422">
            <w:pPr>
              <w:rPr>
                <w:rFonts w:ascii="Times New Roman" w:hAnsi="Times New Roman" w:cs="Times New Roman"/>
              </w:rPr>
            </w:pPr>
          </w:p>
        </w:tc>
        <w:tc>
          <w:tcPr>
            <w:tcW w:w="2610" w:type="dxa"/>
          </w:tcPr>
          <w:p w14:paraId="1326247F" w14:textId="77777777" w:rsidR="00FB2E7E" w:rsidRPr="00B5727C" w:rsidRDefault="00FB2E7E" w:rsidP="00577422">
            <w:pPr>
              <w:rPr>
                <w:rFonts w:ascii="Times New Roman" w:hAnsi="Times New Roman" w:cs="Times New Roman"/>
                <w:color w:val="000000"/>
              </w:rPr>
            </w:pPr>
          </w:p>
        </w:tc>
        <w:tc>
          <w:tcPr>
            <w:tcW w:w="3420" w:type="dxa"/>
          </w:tcPr>
          <w:p w14:paraId="3952C93F" w14:textId="77777777" w:rsidR="00FB2E7E" w:rsidRDefault="00FB2E7E" w:rsidP="00577422">
            <w:pPr>
              <w:rPr>
                <w:rFonts w:ascii="Times New Roman" w:hAnsi="Times New Roman" w:cs="Times New Roman"/>
                <w:color w:val="000000"/>
              </w:rPr>
            </w:pPr>
          </w:p>
        </w:tc>
        <w:tc>
          <w:tcPr>
            <w:tcW w:w="5130" w:type="dxa"/>
          </w:tcPr>
          <w:p w14:paraId="37FF36B3"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added language to clarify that it will rely primarily on the relief requested in a pleading or motion, rather than rely solely on the name.</w:t>
            </w:r>
          </w:p>
        </w:tc>
      </w:tr>
      <w:tr w:rsidR="00FB2E7E" w:rsidRPr="00B5727C" w14:paraId="055707EE" w14:textId="77777777" w:rsidTr="00475B87">
        <w:trPr>
          <w:cantSplit/>
        </w:trPr>
        <w:tc>
          <w:tcPr>
            <w:tcW w:w="1328" w:type="dxa"/>
          </w:tcPr>
          <w:p w14:paraId="090E506F" w14:textId="77777777" w:rsidR="00FB2E7E" w:rsidRDefault="00FB2E7E" w:rsidP="00577422">
            <w:pPr>
              <w:rPr>
                <w:rFonts w:ascii="Times New Roman" w:hAnsi="Times New Roman" w:cs="Times New Roman"/>
              </w:rPr>
            </w:pPr>
            <w:r>
              <w:rPr>
                <w:rFonts w:ascii="Times New Roman" w:hAnsi="Times New Roman" w:cs="Times New Roman"/>
              </w:rPr>
              <w:t>400(1)(c)</w:t>
            </w:r>
          </w:p>
        </w:tc>
        <w:tc>
          <w:tcPr>
            <w:tcW w:w="2717" w:type="dxa"/>
          </w:tcPr>
          <w:p w14:paraId="05307683" w14:textId="77777777" w:rsidR="00FB2E7E" w:rsidRDefault="00FB2E7E" w:rsidP="00577422">
            <w:pPr>
              <w:rPr>
                <w:rFonts w:ascii="Times New Roman" w:hAnsi="Times New Roman" w:cs="Times New Roman"/>
              </w:rPr>
            </w:pPr>
            <w:r>
              <w:rPr>
                <w:rFonts w:ascii="Times New Roman" w:hAnsi="Times New Roman" w:cs="Times New Roman"/>
              </w:rPr>
              <w:t>PSE, PPL: Condition with “reasonable efforts” or limit time period within which a company must rerun or recalculate a model to exclude models that are obsolete or no longer available and allow for additional time to rerun the model</w:t>
            </w:r>
          </w:p>
        </w:tc>
        <w:tc>
          <w:tcPr>
            <w:tcW w:w="1980" w:type="dxa"/>
          </w:tcPr>
          <w:p w14:paraId="2F3F3E4E" w14:textId="77777777" w:rsidR="00FB2E7E" w:rsidRPr="00B5727C" w:rsidRDefault="00FB2E7E" w:rsidP="00577422">
            <w:pPr>
              <w:rPr>
                <w:rFonts w:ascii="Times New Roman" w:hAnsi="Times New Roman" w:cs="Times New Roman"/>
              </w:rPr>
            </w:pPr>
          </w:p>
        </w:tc>
        <w:tc>
          <w:tcPr>
            <w:tcW w:w="2610" w:type="dxa"/>
          </w:tcPr>
          <w:p w14:paraId="28461173" w14:textId="77777777" w:rsidR="00FB2E7E" w:rsidRPr="00B5727C" w:rsidRDefault="00FB2E7E" w:rsidP="00577422">
            <w:pPr>
              <w:rPr>
                <w:rFonts w:ascii="Times New Roman" w:hAnsi="Times New Roman" w:cs="Times New Roman"/>
                <w:color w:val="000000"/>
              </w:rPr>
            </w:pPr>
          </w:p>
        </w:tc>
        <w:tc>
          <w:tcPr>
            <w:tcW w:w="3420" w:type="dxa"/>
          </w:tcPr>
          <w:p w14:paraId="23183DD3" w14:textId="77777777" w:rsidR="00FB2E7E" w:rsidRPr="00B5727C" w:rsidRDefault="00FB2E7E" w:rsidP="00577422">
            <w:pPr>
              <w:rPr>
                <w:rFonts w:ascii="Times New Roman" w:hAnsi="Times New Roman" w:cs="Times New Roman"/>
                <w:color w:val="000000"/>
              </w:rPr>
            </w:pPr>
          </w:p>
        </w:tc>
        <w:tc>
          <w:tcPr>
            <w:tcW w:w="5130" w:type="dxa"/>
          </w:tcPr>
          <w:p w14:paraId="7408815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Any cost study or model on which a party relies should not be obsolete or no longer available, and the party must be willing to rerun it with different inputs and assumptions. As with any other data request, if the party cannot respond within the required time frame, the rules already allow for a reasonable extension of time in which to provide a response. WAC 480-07-405(7)(b).</w:t>
            </w:r>
          </w:p>
        </w:tc>
      </w:tr>
      <w:tr w:rsidR="00FB2E7E" w:rsidRPr="00B5727C" w14:paraId="3DF04D8E" w14:textId="77777777" w:rsidTr="00475B87">
        <w:trPr>
          <w:cantSplit/>
        </w:trPr>
        <w:tc>
          <w:tcPr>
            <w:tcW w:w="1328" w:type="dxa"/>
          </w:tcPr>
          <w:p w14:paraId="76D7EBC8" w14:textId="77777777" w:rsidR="00FB2E7E" w:rsidRDefault="00FB2E7E" w:rsidP="00577422">
            <w:pPr>
              <w:rPr>
                <w:rFonts w:ascii="Times New Roman" w:hAnsi="Times New Roman" w:cs="Times New Roman"/>
              </w:rPr>
            </w:pPr>
            <w:r>
              <w:rPr>
                <w:rFonts w:ascii="Times New Roman" w:hAnsi="Times New Roman" w:cs="Times New Roman"/>
              </w:rPr>
              <w:lastRenderedPageBreak/>
              <w:t>400(2)(b)</w:t>
            </w:r>
          </w:p>
        </w:tc>
        <w:tc>
          <w:tcPr>
            <w:tcW w:w="2717" w:type="dxa"/>
          </w:tcPr>
          <w:p w14:paraId="547D4BF2" w14:textId="77777777" w:rsidR="00FB2E7E" w:rsidRDefault="00FB2E7E" w:rsidP="00577422">
            <w:pPr>
              <w:rPr>
                <w:rFonts w:ascii="Times New Roman" w:hAnsi="Times New Roman" w:cs="Times New Roman"/>
              </w:rPr>
            </w:pPr>
          </w:p>
        </w:tc>
        <w:tc>
          <w:tcPr>
            <w:tcW w:w="1980" w:type="dxa"/>
          </w:tcPr>
          <w:p w14:paraId="65D75928" w14:textId="77777777" w:rsidR="00FB2E7E" w:rsidRPr="00B5727C" w:rsidRDefault="00FB2E7E" w:rsidP="00577422">
            <w:pPr>
              <w:rPr>
                <w:rFonts w:ascii="Times New Roman" w:hAnsi="Times New Roman" w:cs="Times New Roman"/>
              </w:rPr>
            </w:pPr>
          </w:p>
        </w:tc>
        <w:tc>
          <w:tcPr>
            <w:tcW w:w="2610" w:type="dxa"/>
          </w:tcPr>
          <w:p w14:paraId="11842FFF" w14:textId="77777777" w:rsidR="00FB2E7E" w:rsidRPr="00B5727C" w:rsidRDefault="00FB2E7E" w:rsidP="00577422">
            <w:pPr>
              <w:rPr>
                <w:rFonts w:ascii="Times New Roman" w:hAnsi="Times New Roman" w:cs="Times New Roman"/>
                <w:color w:val="000000"/>
              </w:rPr>
            </w:pPr>
          </w:p>
        </w:tc>
        <w:tc>
          <w:tcPr>
            <w:tcW w:w="3420" w:type="dxa"/>
          </w:tcPr>
          <w:p w14:paraId="173202A9"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Include section 415 in discovery rules that are available</w:t>
            </w:r>
          </w:p>
        </w:tc>
        <w:tc>
          <w:tcPr>
            <w:tcW w:w="5130" w:type="dxa"/>
          </w:tcPr>
          <w:p w14:paraId="749CC9A2"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Agree, and Staff has made that change. </w:t>
            </w:r>
          </w:p>
        </w:tc>
      </w:tr>
      <w:tr w:rsidR="00FB2E7E" w:rsidRPr="00B5727C" w14:paraId="1B824872" w14:textId="77777777" w:rsidTr="00475B87">
        <w:trPr>
          <w:cantSplit/>
        </w:trPr>
        <w:tc>
          <w:tcPr>
            <w:tcW w:w="1328" w:type="dxa"/>
          </w:tcPr>
          <w:p w14:paraId="46DC043F" w14:textId="77777777" w:rsidR="00FB2E7E" w:rsidRDefault="00FB2E7E" w:rsidP="00577422">
            <w:pPr>
              <w:rPr>
                <w:rFonts w:ascii="Times New Roman" w:hAnsi="Times New Roman" w:cs="Times New Roman"/>
              </w:rPr>
            </w:pPr>
            <w:r>
              <w:rPr>
                <w:rFonts w:ascii="Times New Roman" w:hAnsi="Times New Roman" w:cs="Times New Roman"/>
              </w:rPr>
              <w:t>405(7)(b)</w:t>
            </w:r>
          </w:p>
        </w:tc>
        <w:tc>
          <w:tcPr>
            <w:tcW w:w="2717" w:type="dxa"/>
          </w:tcPr>
          <w:p w14:paraId="019BBF8E" w14:textId="77777777" w:rsidR="00FB2E7E" w:rsidRDefault="00FB2E7E" w:rsidP="00577422">
            <w:pPr>
              <w:rPr>
                <w:rFonts w:ascii="Times New Roman" w:hAnsi="Times New Roman" w:cs="Times New Roman"/>
              </w:rPr>
            </w:pPr>
          </w:p>
        </w:tc>
        <w:tc>
          <w:tcPr>
            <w:tcW w:w="1980" w:type="dxa"/>
          </w:tcPr>
          <w:p w14:paraId="4F1055D2" w14:textId="77777777" w:rsidR="00FB2E7E" w:rsidRPr="00B5727C" w:rsidRDefault="00FB2E7E" w:rsidP="00577422">
            <w:pPr>
              <w:rPr>
                <w:rFonts w:ascii="Times New Roman" w:hAnsi="Times New Roman" w:cs="Times New Roman"/>
                <w:color w:val="000000"/>
              </w:rPr>
            </w:pPr>
          </w:p>
        </w:tc>
        <w:tc>
          <w:tcPr>
            <w:tcW w:w="2610" w:type="dxa"/>
          </w:tcPr>
          <w:p w14:paraId="40B92BB6" w14:textId="77777777" w:rsidR="00FB2E7E" w:rsidRPr="00B5727C" w:rsidRDefault="00FB2E7E" w:rsidP="00577422">
            <w:pPr>
              <w:rPr>
                <w:rFonts w:ascii="Times New Roman" w:hAnsi="Times New Roman" w:cs="Times New Roman"/>
                <w:color w:val="000000"/>
              </w:rPr>
            </w:pPr>
          </w:p>
        </w:tc>
        <w:tc>
          <w:tcPr>
            <w:tcW w:w="3420" w:type="dxa"/>
          </w:tcPr>
          <w:p w14:paraId="1ACEC2EE"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Delete “or made” after service because only service of DRs is required</w:t>
            </w:r>
          </w:p>
        </w:tc>
        <w:tc>
          <w:tcPr>
            <w:tcW w:w="5130" w:type="dxa"/>
          </w:tcPr>
          <w:p w14:paraId="0918E7D3"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Agree, and Staff has made that correction.</w:t>
            </w:r>
          </w:p>
        </w:tc>
      </w:tr>
      <w:tr w:rsidR="00FB2E7E" w:rsidRPr="00B5727C" w14:paraId="77141050" w14:textId="77777777" w:rsidTr="00475B87">
        <w:trPr>
          <w:cantSplit/>
        </w:trPr>
        <w:tc>
          <w:tcPr>
            <w:tcW w:w="1328" w:type="dxa"/>
          </w:tcPr>
          <w:p w14:paraId="7021F921" w14:textId="77777777" w:rsidR="00FB2E7E" w:rsidRDefault="00FB2E7E" w:rsidP="00577422">
            <w:pPr>
              <w:rPr>
                <w:rFonts w:ascii="Times New Roman" w:hAnsi="Times New Roman" w:cs="Times New Roman"/>
              </w:rPr>
            </w:pPr>
            <w:r>
              <w:rPr>
                <w:rFonts w:ascii="Times New Roman" w:hAnsi="Times New Roman" w:cs="Times New Roman"/>
              </w:rPr>
              <w:t>410</w:t>
            </w:r>
          </w:p>
        </w:tc>
        <w:tc>
          <w:tcPr>
            <w:tcW w:w="2717" w:type="dxa"/>
          </w:tcPr>
          <w:p w14:paraId="625F5E46" w14:textId="77777777" w:rsidR="00FB2E7E" w:rsidRDefault="00FB2E7E" w:rsidP="00577422">
            <w:pPr>
              <w:rPr>
                <w:rFonts w:ascii="Times New Roman" w:hAnsi="Times New Roman" w:cs="Times New Roman"/>
              </w:rPr>
            </w:pPr>
          </w:p>
        </w:tc>
        <w:tc>
          <w:tcPr>
            <w:tcW w:w="1980" w:type="dxa"/>
          </w:tcPr>
          <w:p w14:paraId="7FB083DC" w14:textId="77777777" w:rsidR="00FB2E7E" w:rsidRPr="00B5727C" w:rsidRDefault="00FB2E7E" w:rsidP="00577422">
            <w:pPr>
              <w:rPr>
                <w:rFonts w:ascii="Times New Roman" w:hAnsi="Times New Roman" w:cs="Times New Roman"/>
                <w:color w:val="000000"/>
              </w:rPr>
            </w:pPr>
          </w:p>
        </w:tc>
        <w:tc>
          <w:tcPr>
            <w:tcW w:w="2610" w:type="dxa"/>
          </w:tcPr>
          <w:p w14:paraId="31BF865C" w14:textId="77777777" w:rsidR="00FB2E7E" w:rsidRPr="00B5727C" w:rsidRDefault="00FB2E7E" w:rsidP="00577422">
            <w:pPr>
              <w:rPr>
                <w:rFonts w:ascii="Times New Roman" w:hAnsi="Times New Roman" w:cs="Times New Roman"/>
                <w:color w:val="000000"/>
              </w:rPr>
            </w:pPr>
          </w:p>
        </w:tc>
        <w:tc>
          <w:tcPr>
            <w:tcW w:w="3420" w:type="dxa"/>
          </w:tcPr>
          <w:p w14:paraId="1B923F9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Do not adopt constraints on deposition of potential witnesses; retain sentence on use of depositions for impeachment for clarity; clarify that depositions apply to both witnesses and potential witnesses</w:t>
            </w:r>
          </w:p>
        </w:tc>
        <w:tc>
          <w:tcPr>
            <w:tcW w:w="5130" w:type="dxa"/>
          </w:tcPr>
          <w:p w14:paraId="549DE78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on depositions of persons not identified as potential witnesses. The proposed constraints are reasonable for purposes of Commission adjudications.</w:t>
            </w:r>
          </w:p>
          <w:p w14:paraId="48C83348"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Disagree on retaining sentence about using a deposition to impeach a witness. That is a lawful purpose and need not be separately specified.</w:t>
            </w:r>
          </w:p>
          <w:p w14:paraId="43643A0E"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Agree as to nomenclature. Staff has modified the language to use “potential witness” or “deponent” where appropriate. Staff has also clarified that a party is responsible for its potential witnesses’ supplementing deposition testimony.</w:t>
            </w:r>
          </w:p>
        </w:tc>
      </w:tr>
      <w:tr w:rsidR="00FB2E7E" w:rsidRPr="00B5727C" w14:paraId="47FE33BC" w14:textId="77777777" w:rsidTr="00475B87">
        <w:trPr>
          <w:cantSplit/>
        </w:trPr>
        <w:tc>
          <w:tcPr>
            <w:tcW w:w="1328" w:type="dxa"/>
          </w:tcPr>
          <w:p w14:paraId="57C2B61C" w14:textId="77777777" w:rsidR="00FB2E7E" w:rsidRDefault="00FB2E7E" w:rsidP="00577422">
            <w:pPr>
              <w:rPr>
                <w:rFonts w:ascii="Times New Roman" w:hAnsi="Times New Roman" w:cs="Times New Roman"/>
              </w:rPr>
            </w:pPr>
            <w:r>
              <w:rPr>
                <w:rFonts w:ascii="Times New Roman" w:hAnsi="Times New Roman" w:cs="Times New Roman"/>
              </w:rPr>
              <w:t>415</w:t>
            </w:r>
          </w:p>
        </w:tc>
        <w:tc>
          <w:tcPr>
            <w:tcW w:w="2717" w:type="dxa"/>
          </w:tcPr>
          <w:p w14:paraId="63D1437C" w14:textId="77777777" w:rsidR="00FB2E7E" w:rsidRDefault="00FB2E7E" w:rsidP="00577422">
            <w:pPr>
              <w:rPr>
                <w:rFonts w:ascii="Times New Roman" w:hAnsi="Times New Roman" w:cs="Times New Roman"/>
              </w:rPr>
            </w:pPr>
          </w:p>
        </w:tc>
        <w:tc>
          <w:tcPr>
            <w:tcW w:w="1980" w:type="dxa"/>
          </w:tcPr>
          <w:p w14:paraId="6E16DACA" w14:textId="77777777" w:rsidR="00FB2E7E" w:rsidRPr="00B5727C" w:rsidRDefault="00FB2E7E" w:rsidP="00577422">
            <w:pPr>
              <w:rPr>
                <w:rFonts w:ascii="Times New Roman" w:hAnsi="Times New Roman" w:cs="Times New Roman"/>
                <w:color w:val="000000"/>
              </w:rPr>
            </w:pPr>
          </w:p>
        </w:tc>
        <w:tc>
          <w:tcPr>
            <w:tcW w:w="2610" w:type="dxa"/>
          </w:tcPr>
          <w:p w14:paraId="7DD4630D" w14:textId="77777777" w:rsidR="00FB2E7E" w:rsidRPr="00B5727C" w:rsidRDefault="00FB2E7E" w:rsidP="00577422">
            <w:pPr>
              <w:rPr>
                <w:rFonts w:ascii="Times New Roman" w:hAnsi="Times New Roman" w:cs="Times New Roman"/>
                <w:color w:val="000000"/>
              </w:rPr>
            </w:pPr>
          </w:p>
        </w:tc>
        <w:tc>
          <w:tcPr>
            <w:tcW w:w="3420" w:type="dxa"/>
          </w:tcPr>
          <w:p w14:paraId="57E8EAAC" w14:textId="77777777" w:rsidR="00FB2E7E" w:rsidRDefault="00FB2E7E" w:rsidP="00577422">
            <w:pPr>
              <w:rPr>
                <w:rFonts w:ascii="Times New Roman" w:hAnsi="Times New Roman" w:cs="Times New Roman"/>
                <w:color w:val="000000"/>
              </w:rPr>
            </w:pPr>
          </w:p>
        </w:tc>
        <w:tc>
          <w:tcPr>
            <w:tcW w:w="5130" w:type="dxa"/>
          </w:tcPr>
          <w:p w14:paraId="1D7FB98E"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reorganized the language to make it more clear.</w:t>
            </w:r>
          </w:p>
        </w:tc>
      </w:tr>
      <w:tr w:rsidR="00FB2E7E" w:rsidRPr="00B5727C" w14:paraId="35E3B68F" w14:textId="77777777" w:rsidTr="00475B87">
        <w:trPr>
          <w:cantSplit/>
        </w:trPr>
        <w:tc>
          <w:tcPr>
            <w:tcW w:w="1328" w:type="dxa"/>
          </w:tcPr>
          <w:p w14:paraId="7E138125" w14:textId="77777777" w:rsidR="00FB2E7E" w:rsidRDefault="00FB2E7E" w:rsidP="00577422">
            <w:pPr>
              <w:rPr>
                <w:rFonts w:ascii="Times New Roman" w:hAnsi="Times New Roman" w:cs="Times New Roman"/>
              </w:rPr>
            </w:pPr>
            <w:r>
              <w:rPr>
                <w:rFonts w:ascii="Times New Roman" w:hAnsi="Times New Roman" w:cs="Times New Roman"/>
              </w:rPr>
              <w:t>430</w:t>
            </w:r>
          </w:p>
        </w:tc>
        <w:tc>
          <w:tcPr>
            <w:tcW w:w="2717" w:type="dxa"/>
          </w:tcPr>
          <w:p w14:paraId="4D4E5E14" w14:textId="77777777" w:rsidR="00FB2E7E" w:rsidRDefault="00FB2E7E" w:rsidP="00577422">
            <w:pPr>
              <w:rPr>
                <w:rFonts w:ascii="Times New Roman" w:hAnsi="Times New Roman" w:cs="Times New Roman"/>
              </w:rPr>
            </w:pPr>
          </w:p>
        </w:tc>
        <w:tc>
          <w:tcPr>
            <w:tcW w:w="1980" w:type="dxa"/>
          </w:tcPr>
          <w:p w14:paraId="527C05FF" w14:textId="77777777" w:rsidR="00FB2E7E" w:rsidRPr="00B5727C" w:rsidRDefault="00FB2E7E" w:rsidP="00577422">
            <w:pPr>
              <w:rPr>
                <w:rFonts w:ascii="Times New Roman" w:hAnsi="Times New Roman" w:cs="Times New Roman"/>
                <w:color w:val="000000"/>
              </w:rPr>
            </w:pPr>
          </w:p>
        </w:tc>
        <w:tc>
          <w:tcPr>
            <w:tcW w:w="2610" w:type="dxa"/>
          </w:tcPr>
          <w:p w14:paraId="7AFEF494" w14:textId="77777777" w:rsidR="00FB2E7E" w:rsidRPr="00B5727C" w:rsidRDefault="00FB2E7E" w:rsidP="00577422">
            <w:pPr>
              <w:rPr>
                <w:rFonts w:ascii="Times New Roman" w:hAnsi="Times New Roman" w:cs="Times New Roman"/>
                <w:color w:val="000000"/>
              </w:rPr>
            </w:pPr>
          </w:p>
        </w:tc>
        <w:tc>
          <w:tcPr>
            <w:tcW w:w="3420" w:type="dxa"/>
          </w:tcPr>
          <w:p w14:paraId="21F9D604" w14:textId="77777777" w:rsidR="00FB2E7E" w:rsidRDefault="00FB2E7E" w:rsidP="00577422">
            <w:pPr>
              <w:rPr>
                <w:rFonts w:ascii="Times New Roman" w:hAnsi="Times New Roman" w:cs="Times New Roman"/>
                <w:color w:val="000000"/>
              </w:rPr>
            </w:pPr>
          </w:p>
        </w:tc>
        <w:tc>
          <w:tcPr>
            <w:tcW w:w="5130" w:type="dxa"/>
          </w:tcPr>
          <w:p w14:paraId="089421DC"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further consolidated the list of subjects to be considered at a prehearing conference and clarified procedure following objection.</w:t>
            </w:r>
          </w:p>
        </w:tc>
      </w:tr>
      <w:tr w:rsidR="00FB2E7E" w:rsidRPr="00B5727C" w14:paraId="076BB0DA" w14:textId="77777777" w:rsidTr="00475B87">
        <w:trPr>
          <w:cantSplit/>
        </w:trPr>
        <w:tc>
          <w:tcPr>
            <w:tcW w:w="1328" w:type="dxa"/>
          </w:tcPr>
          <w:p w14:paraId="7BDF6A48" w14:textId="77777777" w:rsidR="00FB2E7E" w:rsidRDefault="00FB2E7E" w:rsidP="00577422">
            <w:pPr>
              <w:rPr>
                <w:rFonts w:ascii="Times New Roman" w:hAnsi="Times New Roman" w:cs="Times New Roman"/>
              </w:rPr>
            </w:pPr>
            <w:r>
              <w:rPr>
                <w:rFonts w:ascii="Times New Roman" w:hAnsi="Times New Roman" w:cs="Times New Roman"/>
              </w:rPr>
              <w:t>460</w:t>
            </w:r>
          </w:p>
        </w:tc>
        <w:tc>
          <w:tcPr>
            <w:tcW w:w="2717" w:type="dxa"/>
          </w:tcPr>
          <w:p w14:paraId="44FD404C" w14:textId="77777777" w:rsidR="00FB2E7E" w:rsidRDefault="00FB2E7E" w:rsidP="00577422">
            <w:pPr>
              <w:rPr>
                <w:rFonts w:ascii="Times New Roman" w:hAnsi="Times New Roman" w:cs="Times New Roman"/>
              </w:rPr>
            </w:pPr>
          </w:p>
        </w:tc>
        <w:tc>
          <w:tcPr>
            <w:tcW w:w="1980" w:type="dxa"/>
          </w:tcPr>
          <w:p w14:paraId="42986C11" w14:textId="77777777" w:rsidR="00FB2E7E" w:rsidRPr="00B5727C" w:rsidRDefault="00FB2E7E" w:rsidP="00577422">
            <w:pPr>
              <w:rPr>
                <w:rFonts w:ascii="Times New Roman" w:hAnsi="Times New Roman" w:cs="Times New Roman"/>
                <w:color w:val="000000"/>
              </w:rPr>
            </w:pPr>
          </w:p>
        </w:tc>
        <w:tc>
          <w:tcPr>
            <w:tcW w:w="2610" w:type="dxa"/>
          </w:tcPr>
          <w:p w14:paraId="6C769473" w14:textId="77777777" w:rsidR="00FB2E7E" w:rsidRPr="00B5727C" w:rsidRDefault="00FB2E7E" w:rsidP="00577422">
            <w:pPr>
              <w:rPr>
                <w:rFonts w:ascii="Times New Roman" w:hAnsi="Times New Roman" w:cs="Times New Roman"/>
                <w:color w:val="000000"/>
              </w:rPr>
            </w:pPr>
          </w:p>
        </w:tc>
        <w:tc>
          <w:tcPr>
            <w:tcW w:w="3420" w:type="dxa"/>
          </w:tcPr>
          <w:p w14:paraId="1C29FC89"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Permit some flexibility for errors discovered after the deadline for submitting errata</w:t>
            </w:r>
          </w:p>
        </w:tc>
        <w:tc>
          <w:tcPr>
            <w:tcW w:w="5130" w:type="dxa"/>
          </w:tcPr>
          <w:p w14:paraId="11C9D7E2"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Disagree with the need for more flexibility. The rule authorizes the presiding officer to establish the deadline for submitting errata, which provides sufficient flexibility.</w:t>
            </w:r>
          </w:p>
        </w:tc>
      </w:tr>
      <w:tr w:rsidR="00FB2E7E" w:rsidRPr="00B5727C" w14:paraId="64848229" w14:textId="77777777" w:rsidTr="00475B87">
        <w:trPr>
          <w:cantSplit/>
        </w:trPr>
        <w:tc>
          <w:tcPr>
            <w:tcW w:w="1328" w:type="dxa"/>
          </w:tcPr>
          <w:p w14:paraId="496C5411" w14:textId="77777777" w:rsidR="00FB2E7E" w:rsidRDefault="00FB2E7E" w:rsidP="00577422">
            <w:pPr>
              <w:rPr>
                <w:rFonts w:ascii="Times New Roman" w:hAnsi="Times New Roman" w:cs="Times New Roman"/>
              </w:rPr>
            </w:pPr>
            <w:r>
              <w:rPr>
                <w:rFonts w:ascii="Times New Roman" w:hAnsi="Times New Roman" w:cs="Times New Roman"/>
              </w:rPr>
              <w:t>460(1)(a)</w:t>
            </w:r>
          </w:p>
        </w:tc>
        <w:tc>
          <w:tcPr>
            <w:tcW w:w="2717" w:type="dxa"/>
          </w:tcPr>
          <w:p w14:paraId="5BE1E4D8" w14:textId="77777777" w:rsidR="00FB2E7E" w:rsidRDefault="00FB2E7E" w:rsidP="00577422">
            <w:pPr>
              <w:rPr>
                <w:rFonts w:ascii="Times New Roman" w:hAnsi="Times New Roman" w:cs="Times New Roman"/>
              </w:rPr>
            </w:pPr>
          </w:p>
        </w:tc>
        <w:tc>
          <w:tcPr>
            <w:tcW w:w="1980" w:type="dxa"/>
          </w:tcPr>
          <w:p w14:paraId="0415160D" w14:textId="77777777" w:rsidR="00FB2E7E" w:rsidRPr="00B5727C" w:rsidRDefault="00FB2E7E" w:rsidP="00577422">
            <w:pPr>
              <w:rPr>
                <w:rFonts w:ascii="Times New Roman" w:hAnsi="Times New Roman" w:cs="Times New Roman"/>
                <w:color w:val="000000"/>
              </w:rPr>
            </w:pPr>
          </w:p>
        </w:tc>
        <w:tc>
          <w:tcPr>
            <w:tcW w:w="2610" w:type="dxa"/>
          </w:tcPr>
          <w:p w14:paraId="37FBB38F" w14:textId="77777777" w:rsidR="00FB2E7E" w:rsidRPr="00B5727C" w:rsidRDefault="00FB2E7E" w:rsidP="00577422">
            <w:pPr>
              <w:rPr>
                <w:rFonts w:ascii="Times New Roman" w:hAnsi="Times New Roman" w:cs="Times New Roman"/>
                <w:color w:val="000000"/>
              </w:rPr>
            </w:pPr>
          </w:p>
        </w:tc>
        <w:tc>
          <w:tcPr>
            <w:tcW w:w="3420" w:type="dxa"/>
          </w:tcPr>
          <w:p w14:paraId="4E244FB0" w14:textId="77777777" w:rsidR="00FB2E7E" w:rsidRDefault="00FB2E7E" w:rsidP="00577422">
            <w:pPr>
              <w:rPr>
                <w:rFonts w:ascii="Times New Roman" w:hAnsi="Times New Roman" w:cs="Times New Roman"/>
                <w:color w:val="000000"/>
              </w:rPr>
            </w:pPr>
          </w:p>
        </w:tc>
        <w:tc>
          <w:tcPr>
            <w:tcW w:w="5130" w:type="dxa"/>
          </w:tcPr>
          <w:p w14:paraId="6211EB80"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revised the language to eliminate subsection on revising prefiled testimony to correct mistakes of fact.</w:t>
            </w:r>
          </w:p>
        </w:tc>
      </w:tr>
      <w:tr w:rsidR="00FB2E7E" w:rsidRPr="00B5727C" w14:paraId="567D645A" w14:textId="77777777" w:rsidTr="00475B87">
        <w:trPr>
          <w:cantSplit/>
        </w:trPr>
        <w:tc>
          <w:tcPr>
            <w:tcW w:w="1328" w:type="dxa"/>
          </w:tcPr>
          <w:p w14:paraId="4A8257FA" w14:textId="77777777" w:rsidR="00FB2E7E" w:rsidRDefault="00FB2E7E" w:rsidP="00577422">
            <w:pPr>
              <w:rPr>
                <w:rFonts w:ascii="Times New Roman" w:hAnsi="Times New Roman" w:cs="Times New Roman"/>
              </w:rPr>
            </w:pPr>
            <w:r>
              <w:rPr>
                <w:rFonts w:ascii="Times New Roman" w:hAnsi="Times New Roman" w:cs="Times New Roman"/>
              </w:rPr>
              <w:lastRenderedPageBreak/>
              <w:t>460(3)(a)</w:t>
            </w:r>
          </w:p>
        </w:tc>
        <w:tc>
          <w:tcPr>
            <w:tcW w:w="2717" w:type="dxa"/>
          </w:tcPr>
          <w:p w14:paraId="0576000B" w14:textId="77777777" w:rsidR="00FB2E7E" w:rsidRDefault="00FB2E7E" w:rsidP="00577422">
            <w:pPr>
              <w:rPr>
                <w:rFonts w:ascii="Times New Roman" w:hAnsi="Times New Roman" w:cs="Times New Roman"/>
              </w:rPr>
            </w:pPr>
          </w:p>
        </w:tc>
        <w:tc>
          <w:tcPr>
            <w:tcW w:w="1980" w:type="dxa"/>
          </w:tcPr>
          <w:p w14:paraId="1AEC60E4" w14:textId="77777777" w:rsidR="00FB2E7E" w:rsidRPr="00B5727C" w:rsidRDefault="00FB2E7E" w:rsidP="00577422">
            <w:pPr>
              <w:rPr>
                <w:rFonts w:ascii="Times New Roman" w:hAnsi="Times New Roman" w:cs="Times New Roman"/>
                <w:color w:val="000000"/>
              </w:rPr>
            </w:pPr>
          </w:p>
        </w:tc>
        <w:tc>
          <w:tcPr>
            <w:tcW w:w="2610" w:type="dxa"/>
          </w:tcPr>
          <w:p w14:paraId="794DDBD3" w14:textId="77777777" w:rsidR="00FB2E7E" w:rsidRPr="00B5727C" w:rsidRDefault="00FB2E7E" w:rsidP="00577422">
            <w:pPr>
              <w:rPr>
                <w:rFonts w:ascii="Times New Roman" w:hAnsi="Times New Roman" w:cs="Times New Roman"/>
                <w:color w:val="000000"/>
              </w:rPr>
            </w:pPr>
          </w:p>
        </w:tc>
        <w:tc>
          <w:tcPr>
            <w:tcW w:w="3420" w:type="dxa"/>
          </w:tcPr>
          <w:p w14:paraId="3AF7150E"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Insert “or underscored blank space” after “number” in subsection (iii) to reflect cross exhibits that do not yet have a number</w:t>
            </w:r>
          </w:p>
          <w:p w14:paraId="33EF870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PC: Require blank space rather than numbers on cross exhibits in multi-party cases to avoid confusion</w:t>
            </w:r>
          </w:p>
        </w:tc>
        <w:tc>
          <w:tcPr>
            <w:tcW w:w="5130" w:type="dxa"/>
          </w:tcPr>
          <w:p w14:paraId="071C5304"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 xml:space="preserve">ICNU – Agree, and Staff has made that change. </w:t>
            </w:r>
          </w:p>
          <w:p w14:paraId="64A985C3"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 xml:space="preserve">PC – Agree in part. Not all witnesses in a multi-party case will be cross-examined by more than one other party, so requiring an underscored blank space may not be necessary. Staff, however, has substituted “should” for “may” use an underscored blank space in multi-party cases when the witness is likely to have cross exhibits from more than one party. </w:t>
            </w:r>
          </w:p>
        </w:tc>
      </w:tr>
      <w:tr w:rsidR="00FB2E7E" w:rsidRPr="00B5727C" w14:paraId="7FD57143" w14:textId="77777777" w:rsidTr="00475B87">
        <w:trPr>
          <w:cantSplit/>
        </w:trPr>
        <w:tc>
          <w:tcPr>
            <w:tcW w:w="1328" w:type="dxa"/>
          </w:tcPr>
          <w:p w14:paraId="237FBAB9" w14:textId="77777777" w:rsidR="00FB2E7E" w:rsidRDefault="00FB2E7E" w:rsidP="00577422">
            <w:pPr>
              <w:rPr>
                <w:rFonts w:ascii="Times New Roman" w:hAnsi="Times New Roman" w:cs="Times New Roman"/>
              </w:rPr>
            </w:pPr>
            <w:r>
              <w:rPr>
                <w:rFonts w:ascii="Times New Roman" w:hAnsi="Times New Roman" w:cs="Times New Roman"/>
              </w:rPr>
              <w:t>470</w:t>
            </w:r>
          </w:p>
        </w:tc>
        <w:tc>
          <w:tcPr>
            <w:tcW w:w="2717" w:type="dxa"/>
          </w:tcPr>
          <w:p w14:paraId="762AFF81" w14:textId="77777777" w:rsidR="00FB2E7E" w:rsidRDefault="00FB2E7E" w:rsidP="00577422">
            <w:pPr>
              <w:rPr>
                <w:rFonts w:ascii="Times New Roman" w:hAnsi="Times New Roman" w:cs="Times New Roman"/>
              </w:rPr>
            </w:pPr>
          </w:p>
        </w:tc>
        <w:tc>
          <w:tcPr>
            <w:tcW w:w="1980" w:type="dxa"/>
          </w:tcPr>
          <w:p w14:paraId="6A98EFD2" w14:textId="77777777" w:rsidR="00FB2E7E" w:rsidRPr="00B5727C" w:rsidRDefault="00FB2E7E" w:rsidP="00577422">
            <w:pPr>
              <w:rPr>
                <w:rFonts w:ascii="Times New Roman" w:hAnsi="Times New Roman" w:cs="Times New Roman"/>
                <w:color w:val="000000"/>
              </w:rPr>
            </w:pPr>
          </w:p>
        </w:tc>
        <w:tc>
          <w:tcPr>
            <w:tcW w:w="2610" w:type="dxa"/>
          </w:tcPr>
          <w:p w14:paraId="08354427" w14:textId="77777777" w:rsidR="00FB2E7E" w:rsidRPr="00B5727C" w:rsidRDefault="00FB2E7E" w:rsidP="00577422">
            <w:pPr>
              <w:rPr>
                <w:rFonts w:ascii="Times New Roman" w:hAnsi="Times New Roman" w:cs="Times New Roman"/>
                <w:color w:val="000000"/>
              </w:rPr>
            </w:pPr>
          </w:p>
        </w:tc>
        <w:tc>
          <w:tcPr>
            <w:tcW w:w="3420" w:type="dxa"/>
          </w:tcPr>
          <w:p w14:paraId="7E843F1E" w14:textId="77777777" w:rsidR="00FB2E7E" w:rsidRDefault="00FB2E7E" w:rsidP="00577422">
            <w:pPr>
              <w:rPr>
                <w:rFonts w:ascii="Times New Roman" w:hAnsi="Times New Roman" w:cs="Times New Roman"/>
                <w:color w:val="000000"/>
              </w:rPr>
            </w:pPr>
          </w:p>
        </w:tc>
        <w:tc>
          <w:tcPr>
            <w:tcW w:w="5130" w:type="dxa"/>
          </w:tcPr>
          <w:p w14:paraId="32764F85"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deleted the subsection on post-hearing planning as duplicative of WAC 480-07-390.</w:t>
            </w:r>
          </w:p>
        </w:tc>
      </w:tr>
      <w:tr w:rsidR="00FB2E7E" w:rsidRPr="00B5727C" w14:paraId="102BFBA7" w14:textId="77777777" w:rsidTr="00475B87">
        <w:trPr>
          <w:cantSplit/>
        </w:trPr>
        <w:tc>
          <w:tcPr>
            <w:tcW w:w="1328" w:type="dxa"/>
          </w:tcPr>
          <w:p w14:paraId="3A671046" w14:textId="77777777" w:rsidR="00FB2E7E" w:rsidRDefault="00FB2E7E" w:rsidP="00577422">
            <w:pPr>
              <w:rPr>
                <w:rFonts w:ascii="Times New Roman" w:hAnsi="Times New Roman" w:cs="Times New Roman"/>
              </w:rPr>
            </w:pPr>
            <w:r>
              <w:rPr>
                <w:rFonts w:ascii="Times New Roman" w:hAnsi="Times New Roman" w:cs="Times New Roman"/>
              </w:rPr>
              <w:t>490(3)</w:t>
            </w:r>
          </w:p>
        </w:tc>
        <w:tc>
          <w:tcPr>
            <w:tcW w:w="2717" w:type="dxa"/>
          </w:tcPr>
          <w:p w14:paraId="1EE82DDD" w14:textId="77777777" w:rsidR="00FB2E7E" w:rsidRDefault="00FB2E7E" w:rsidP="00577422">
            <w:pPr>
              <w:rPr>
                <w:rFonts w:ascii="Times New Roman" w:hAnsi="Times New Roman" w:cs="Times New Roman"/>
              </w:rPr>
            </w:pPr>
          </w:p>
        </w:tc>
        <w:tc>
          <w:tcPr>
            <w:tcW w:w="1980" w:type="dxa"/>
          </w:tcPr>
          <w:p w14:paraId="4C34485B" w14:textId="77777777" w:rsidR="00FB2E7E" w:rsidRPr="00B5727C" w:rsidRDefault="00FB2E7E" w:rsidP="00577422">
            <w:pPr>
              <w:rPr>
                <w:rFonts w:ascii="Times New Roman" w:hAnsi="Times New Roman" w:cs="Times New Roman"/>
                <w:color w:val="000000"/>
              </w:rPr>
            </w:pPr>
          </w:p>
        </w:tc>
        <w:tc>
          <w:tcPr>
            <w:tcW w:w="2610" w:type="dxa"/>
          </w:tcPr>
          <w:p w14:paraId="0CC8B96E" w14:textId="77777777" w:rsidR="00FB2E7E" w:rsidRPr="00B5727C" w:rsidRDefault="00FB2E7E" w:rsidP="00577422">
            <w:pPr>
              <w:rPr>
                <w:rFonts w:ascii="Times New Roman" w:hAnsi="Times New Roman" w:cs="Times New Roman"/>
                <w:color w:val="000000"/>
              </w:rPr>
            </w:pPr>
          </w:p>
        </w:tc>
        <w:tc>
          <w:tcPr>
            <w:tcW w:w="3420" w:type="dxa"/>
          </w:tcPr>
          <w:p w14:paraId="0B7E79CB" w14:textId="77777777" w:rsidR="00FB2E7E" w:rsidRDefault="00FB2E7E" w:rsidP="00577422">
            <w:pPr>
              <w:rPr>
                <w:rFonts w:ascii="Times New Roman" w:hAnsi="Times New Roman" w:cs="Times New Roman"/>
                <w:color w:val="000000"/>
              </w:rPr>
            </w:pPr>
          </w:p>
        </w:tc>
        <w:tc>
          <w:tcPr>
            <w:tcW w:w="5130" w:type="dxa"/>
          </w:tcPr>
          <w:p w14:paraId="0E132981"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Staff has deleted the subsection regarding comments and documents received by members of the public as duplicative of WAC 480-07-498 (and has revised and moved to that section language concerning admitting such documents into evidence).</w:t>
            </w:r>
          </w:p>
        </w:tc>
      </w:tr>
      <w:tr w:rsidR="00FB2E7E" w:rsidRPr="00B5727C" w14:paraId="6B5C37BE" w14:textId="77777777" w:rsidTr="00475B87">
        <w:trPr>
          <w:cantSplit/>
        </w:trPr>
        <w:tc>
          <w:tcPr>
            <w:tcW w:w="1328" w:type="dxa"/>
          </w:tcPr>
          <w:p w14:paraId="0261FB95" w14:textId="77777777" w:rsidR="00FB2E7E" w:rsidRDefault="00FB2E7E" w:rsidP="00577422">
            <w:pPr>
              <w:rPr>
                <w:rFonts w:ascii="Times New Roman" w:hAnsi="Times New Roman" w:cs="Times New Roman"/>
              </w:rPr>
            </w:pPr>
            <w:r>
              <w:rPr>
                <w:rFonts w:ascii="Times New Roman" w:hAnsi="Times New Roman" w:cs="Times New Roman"/>
              </w:rPr>
              <w:t>General</w:t>
            </w:r>
          </w:p>
        </w:tc>
        <w:tc>
          <w:tcPr>
            <w:tcW w:w="2717" w:type="dxa"/>
          </w:tcPr>
          <w:p w14:paraId="03FD224E" w14:textId="77777777" w:rsidR="00FB2E7E" w:rsidRDefault="00FB2E7E" w:rsidP="00577422">
            <w:pPr>
              <w:rPr>
                <w:rFonts w:ascii="Times New Roman" w:hAnsi="Times New Roman" w:cs="Times New Roman"/>
              </w:rPr>
            </w:pPr>
          </w:p>
        </w:tc>
        <w:tc>
          <w:tcPr>
            <w:tcW w:w="1980" w:type="dxa"/>
          </w:tcPr>
          <w:p w14:paraId="2119AD08" w14:textId="77777777" w:rsidR="00FB2E7E" w:rsidRPr="00B5727C" w:rsidRDefault="00FB2E7E" w:rsidP="00577422">
            <w:pPr>
              <w:rPr>
                <w:rFonts w:ascii="Times New Roman" w:hAnsi="Times New Roman" w:cs="Times New Roman"/>
                <w:color w:val="000000"/>
              </w:rPr>
            </w:pPr>
          </w:p>
        </w:tc>
        <w:tc>
          <w:tcPr>
            <w:tcW w:w="2610" w:type="dxa"/>
          </w:tcPr>
          <w:p w14:paraId="710FDA32"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WK: Differentiate procedures for handling tariff filings that are not suspended and adjudicated</w:t>
            </w:r>
          </w:p>
        </w:tc>
        <w:tc>
          <w:tcPr>
            <w:tcW w:w="3420" w:type="dxa"/>
          </w:tcPr>
          <w:p w14:paraId="08329A01"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Clarify standard protective order or revise WAC 480-07-420 to add language to provide that administrative staff do not need to sign protective order if supporting an attorney or expert who has signed; include commentary in future drafts to explain proposed changes from prior drafts or existing rules</w:t>
            </w:r>
          </w:p>
        </w:tc>
        <w:tc>
          <w:tcPr>
            <w:tcW w:w="5130" w:type="dxa"/>
          </w:tcPr>
          <w:p w14:paraId="184ACE8A"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WK – Tariff filings that are not suspended and adjudicated are handled the same as other items on the Commission’s open meeting agenda. The procedural rules do not address the open meeting process, and Staff does not recommend amending the rules to do so.</w:t>
            </w:r>
          </w:p>
          <w:p w14:paraId="08E24420"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ICNU – This clarification would be more appropriate for the Commission’s standard protective order, which would need to be amended in either event. Any such modification, however, should come only after a broader discussion with stakeholders.</w:t>
            </w:r>
          </w:p>
        </w:tc>
      </w:tr>
      <w:tr w:rsidR="00FB2E7E" w:rsidRPr="00B5727C" w14:paraId="4E9370E8" w14:textId="77777777" w:rsidTr="00475B87">
        <w:trPr>
          <w:cantSplit/>
        </w:trPr>
        <w:tc>
          <w:tcPr>
            <w:tcW w:w="1328" w:type="dxa"/>
          </w:tcPr>
          <w:p w14:paraId="4BD37619" w14:textId="77777777" w:rsidR="00FB2E7E" w:rsidRDefault="00FB2E7E" w:rsidP="00577422">
            <w:pPr>
              <w:rPr>
                <w:rFonts w:ascii="Times New Roman" w:hAnsi="Times New Roman" w:cs="Times New Roman"/>
              </w:rPr>
            </w:pPr>
            <w:r>
              <w:rPr>
                <w:rFonts w:ascii="Times New Roman" w:hAnsi="Times New Roman" w:cs="Times New Roman"/>
              </w:rPr>
              <w:lastRenderedPageBreak/>
              <w:t>Commenter Acronyms</w:t>
            </w:r>
          </w:p>
        </w:tc>
        <w:tc>
          <w:tcPr>
            <w:tcW w:w="2717" w:type="dxa"/>
          </w:tcPr>
          <w:p w14:paraId="0A668383" w14:textId="77777777" w:rsidR="00FB2E7E" w:rsidRDefault="00FB2E7E" w:rsidP="00577422">
            <w:pPr>
              <w:rPr>
                <w:rFonts w:ascii="Times New Roman" w:hAnsi="Times New Roman" w:cs="Times New Roman"/>
              </w:rPr>
            </w:pPr>
            <w:r>
              <w:rPr>
                <w:rFonts w:ascii="Times New Roman" w:hAnsi="Times New Roman" w:cs="Times New Roman"/>
              </w:rPr>
              <w:t>PSE – Puget Sound Energy</w:t>
            </w:r>
          </w:p>
          <w:p w14:paraId="19CFF7AF" w14:textId="77777777" w:rsidR="00FB2E7E" w:rsidRDefault="00FB2E7E" w:rsidP="00577422">
            <w:pPr>
              <w:rPr>
                <w:rFonts w:ascii="Times New Roman" w:hAnsi="Times New Roman" w:cs="Times New Roman"/>
              </w:rPr>
            </w:pPr>
            <w:r>
              <w:rPr>
                <w:rFonts w:ascii="Times New Roman" w:hAnsi="Times New Roman" w:cs="Times New Roman"/>
              </w:rPr>
              <w:t>PPL – Pacific Power and Light Company</w:t>
            </w:r>
          </w:p>
          <w:p w14:paraId="5A5DA5CD" w14:textId="77777777" w:rsidR="00FB2E7E" w:rsidRDefault="00FB2E7E" w:rsidP="00577422">
            <w:pPr>
              <w:rPr>
                <w:rFonts w:ascii="Times New Roman" w:hAnsi="Times New Roman" w:cs="Times New Roman"/>
              </w:rPr>
            </w:pPr>
            <w:r>
              <w:rPr>
                <w:rFonts w:ascii="Times New Roman" w:hAnsi="Times New Roman" w:cs="Times New Roman"/>
              </w:rPr>
              <w:t>Avista – Avista Corporation</w:t>
            </w:r>
          </w:p>
          <w:p w14:paraId="55AE9046" w14:textId="77777777" w:rsidR="00FB2E7E" w:rsidRDefault="00FB2E7E" w:rsidP="00577422">
            <w:pPr>
              <w:rPr>
                <w:rFonts w:ascii="Times New Roman" w:hAnsi="Times New Roman" w:cs="Times New Roman"/>
              </w:rPr>
            </w:pPr>
            <w:r>
              <w:rPr>
                <w:rFonts w:ascii="Times New Roman" w:hAnsi="Times New Roman" w:cs="Times New Roman"/>
              </w:rPr>
              <w:t>NWN – Northwest Natural Gas Company</w:t>
            </w:r>
          </w:p>
        </w:tc>
        <w:tc>
          <w:tcPr>
            <w:tcW w:w="1980" w:type="dxa"/>
          </w:tcPr>
          <w:p w14:paraId="24E1AF5D"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UP – Union Pacific Railroad Company</w:t>
            </w:r>
          </w:p>
        </w:tc>
        <w:tc>
          <w:tcPr>
            <w:tcW w:w="2610" w:type="dxa"/>
          </w:tcPr>
          <w:p w14:paraId="011145C6"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SLG – Summit Law Group</w:t>
            </w:r>
          </w:p>
          <w:p w14:paraId="0EAE7F3F"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WRRA – Washington Refuse &amp; Recycling Association</w:t>
            </w:r>
          </w:p>
          <w:p w14:paraId="57543DD9"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WK – Williams Kastner</w:t>
            </w:r>
          </w:p>
        </w:tc>
        <w:tc>
          <w:tcPr>
            <w:tcW w:w="3420" w:type="dxa"/>
          </w:tcPr>
          <w:p w14:paraId="55D58862" w14:textId="77777777" w:rsidR="00FB2E7E" w:rsidRDefault="00FB2E7E" w:rsidP="00577422">
            <w:pPr>
              <w:rPr>
                <w:rFonts w:ascii="Times New Roman" w:hAnsi="Times New Roman" w:cs="Times New Roman"/>
                <w:color w:val="000000"/>
              </w:rPr>
            </w:pPr>
            <w:r>
              <w:rPr>
                <w:rFonts w:ascii="Times New Roman" w:hAnsi="Times New Roman" w:cs="Times New Roman"/>
                <w:color w:val="000000"/>
              </w:rPr>
              <w:t>ICNU – Industrial Customers of Northwest Utilities</w:t>
            </w:r>
          </w:p>
          <w:p w14:paraId="7BDDF1F6" w14:textId="77777777" w:rsidR="00FB2E7E" w:rsidRPr="00B5727C" w:rsidRDefault="00FB2E7E" w:rsidP="00577422">
            <w:pPr>
              <w:rPr>
                <w:rFonts w:ascii="Times New Roman" w:hAnsi="Times New Roman" w:cs="Times New Roman"/>
                <w:color w:val="000000"/>
              </w:rPr>
            </w:pPr>
            <w:r>
              <w:rPr>
                <w:rFonts w:ascii="Times New Roman" w:hAnsi="Times New Roman" w:cs="Times New Roman"/>
                <w:color w:val="000000"/>
              </w:rPr>
              <w:t>PC – Public Counsel</w:t>
            </w:r>
          </w:p>
        </w:tc>
        <w:tc>
          <w:tcPr>
            <w:tcW w:w="5130" w:type="dxa"/>
          </w:tcPr>
          <w:p w14:paraId="0C986CD2" w14:textId="77777777" w:rsidR="00FB2E7E" w:rsidRPr="00B5727C" w:rsidRDefault="00FB2E7E" w:rsidP="00577422">
            <w:pPr>
              <w:rPr>
                <w:rFonts w:ascii="Times New Roman" w:hAnsi="Times New Roman" w:cs="Times New Roman"/>
                <w:color w:val="000000"/>
              </w:rPr>
            </w:pPr>
          </w:p>
        </w:tc>
      </w:tr>
    </w:tbl>
    <w:p w14:paraId="1C3B16DB" w14:textId="5AE96EF4" w:rsidR="00814C7C" w:rsidRDefault="00814C7C" w:rsidP="007950F8">
      <w:pPr>
        <w:ind w:right="1440"/>
      </w:pPr>
    </w:p>
    <w:sectPr w:rsidR="00814C7C" w:rsidSect="001040FE">
      <w:headerReference w:type="default" r:id="rId11"/>
      <w:type w:val="continuous"/>
      <w:pgSz w:w="20160" w:h="12240" w:orient="landscape" w:code="5"/>
      <w:pgMar w:top="105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FCFF1" w14:textId="77777777" w:rsidR="007E0843" w:rsidRDefault="007E0843" w:rsidP="00B5727C">
      <w:r>
        <w:separator/>
      </w:r>
    </w:p>
  </w:endnote>
  <w:endnote w:type="continuationSeparator" w:id="0">
    <w:p w14:paraId="20CAD6EE" w14:textId="77777777" w:rsidR="007E0843" w:rsidRDefault="007E0843"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755F" w14:textId="13A8D01E" w:rsidR="001040FE" w:rsidRDefault="001040FE">
    <w:pPr>
      <w:pStyle w:val="Footer"/>
      <w:jc w:val="right"/>
    </w:pPr>
    <w:r>
      <w:t xml:space="preserve">Page </w:t>
    </w:r>
    <w:sdt>
      <w:sdtPr>
        <w:id w:val="-16807301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26282">
          <w:rPr>
            <w:noProof/>
          </w:rPr>
          <w:t>2</w:t>
        </w:r>
        <w:r>
          <w:rPr>
            <w:noProof/>
          </w:rPr>
          <w:fldChar w:fldCharType="end"/>
        </w:r>
      </w:sdtContent>
    </w:sdt>
  </w:p>
  <w:p w14:paraId="405AD25E" w14:textId="3DAD1FA2" w:rsidR="000616C7" w:rsidRPr="001040FE" w:rsidRDefault="000616C7" w:rsidP="0010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79A79" w14:textId="77777777" w:rsidR="007E0843" w:rsidRDefault="007E0843" w:rsidP="00B5727C">
      <w:r>
        <w:separator/>
      </w:r>
    </w:p>
  </w:footnote>
  <w:footnote w:type="continuationSeparator" w:id="0">
    <w:p w14:paraId="4229B19A" w14:textId="77777777" w:rsidR="007E0843" w:rsidRDefault="007E0843" w:rsidP="00B5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CE10" w14:textId="77777777" w:rsidR="001040FE" w:rsidRPr="001040FE" w:rsidRDefault="001040FE" w:rsidP="001040FE">
    <w:pPr>
      <w:rPr>
        <w:sz w:val="20"/>
        <w:szCs w:val="20"/>
      </w:rPr>
    </w:pPr>
    <w:r w:rsidRPr="001040FE">
      <w:rPr>
        <w:rFonts w:ascii="Times New Roman" w:hAnsi="Times New Roman" w:cs="Times New Roman"/>
        <w:b/>
        <w:sz w:val="20"/>
        <w:szCs w:val="20"/>
      </w:rPr>
      <w:t>A-130355 Procedural Rules</w:t>
    </w:r>
    <w:r>
      <w:rPr>
        <w:rFonts w:ascii="Times New Roman" w:hAnsi="Times New Roman" w:cs="Times New Roman"/>
        <w:b/>
        <w:sz w:val="20"/>
        <w:szCs w:val="20"/>
      </w:rPr>
      <w:br/>
    </w:r>
    <w:r w:rsidRPr="001040FE">
      <w:rPr>
        <w:rFonts w:ascii="Times New Roman" w:hAnsi="Times New Roman" w:cs="Times New Roman"/>
        <w:b/>
        <w:sz w:val="20"/>
        <w:szCs w:val="20"/>
      </w:rPr>
      <w:t>Summary of Comments on Proposed Revisions to Rules in Parts I and IIIA</w:t>
    </w:r>
    <w:r>
      <w:rPr>
        <w:rFonts w:ascii="Times New Roman" w:hAnsi="Times New Roman" w:cs="Times New Roman"/>
        <w:b/>
        <w:sz w:val="20"/>
        <w:szCs w:val="20"/>
      </w:rPr>
      <w:br/>
    </w:r>
    <w:r w:rsidRPr="001040FE">
      <w:rPr>
        <w:rFonts w:ascii="Times New Roman" w:hAnsi="Times New Roman" w:cs="Times New Roman"/>
        <w:b/>
        <w:sz w:val="20"/>
        <w:szCs w:val="20"/>
      </w:rPr>
      <w:t>July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13D2B"/>
    <w:rsid w:val="000223EE"/>
    <w:rsid w:val="0003261D"/>
    <w:rsid w:val="00032CE1"/>
    <w:rsid w:val="0003348F"/>
    <w:rsid w:val="000467AB"/>
    <w:rsid w:val="000470EF"/>
    <w:rsid w:val="00047249"/>
    <w:rsid w:val="00060DB2"/>
    <w:rsid w:val="000616C7"/>
    <w:rsid w:val="00073CC5"/>
    <w:rsid w:val="000853B4"/>
    <w:rsid w:val="0008766B"/>
    <w:rsid w:val="00090850"/>
    <w:rsid w:val="00091E07"/>
    <w:rsid w:val="00092281"/>
    <w:rsid w:val="000A24B8"/>
    <w:rsid w:val="000A622B"/>
    <w:rsid w:val="000B22B6"/>
    <w:rsid w:val="000B4892"/>
    <w:rsid w:val="000B6A4C"/>
    <w:rsid w:val="000C05A9"/>
    <w:rsid w:val="000D3D08"/>
    <w:rsid w:val="000D7ECE"/>
    <w:rsid w:val="000E640C"/>
    <w:rsid w:val="000E7537"/>
    <w:rsid w:val="001008B1"/>
    <w:rsid w:val="001040FE"/>
    <w:rsid w:val="00107BA7"/>
    <w:rsid w:val="00120EF4"/>
    <w:rsid w:val="00131732"/>
    <w:rsid w:val="00132150"/>
    <w:rsid w:val="00133E01"/>
    <w:rsid w:val="0013628B"/>
    <w:rsid w:val="001400A6"/>
    <w:rsid w:val="00140DE7"/>
    <w:rsid w:val="00151815"/>
    <w:rsid w:val="00156FED"/>
    <w:rsid w:val="001609C2"/>
    <w:rsid w:val="0016797A"/>
    <w:rsid w:val="00170C61"/>
    <w:rsid w:val="00170CD2"/>
    <w:rsid w:val="00173ECC"/>
    <w:rsid w:val="001754E6"/>
    <w:rsid w:val="00176287"/>
    <w:rsid w:val="00187DAC"/>
    <w:rsid w:val="00192AE2"/>
    <w:rsid w:val="0019405B"/>
    <w:rsid w:val="00197FD5"/>
    <w:rsid w:val="001A0702"/>
    <w:rsid w:val="001A1AB4"/>
    <w:rsid w:val="001B75E9"/>
    <w:rsid w:val="001C5AB1"/>
    <w:rsid w:val="001D0624"/>
    <w:rsid w:val="001D1072"/>
    <w:rsid w:val="001D32CE"/>
    <w:rsid w:val="001D415D"/>
    <w:rsid w:val="001E1D7A"/>
    <w:rsid w:val="001E6C48"/>
    <w:rsid w:val="001F003A"/>
    <w:rsid w:val="001F2F92"/>
    <w:rsid w:val="001F5109"/>
    <w:rsid w:val="00207E56"/>
    <w:rsid w:val="00213FD8"/>
    <w:rsid w:val="00232931"/>
    <w:rsid w:val="002338B8"/>
    <w:rsid w:val="0025236D"/>
    <w:rsid w:val="00264137"/>
    <w:rsid w:val="00271206"/>
    <w:rsid w:val="00272031"/>
    <w:rsid w:val="00274B6B"/>
    <w:rsid w:val="00284143"/>
    <w:rsid w:val="002918F0"/>
    <w:rsid w:val="00293D87"/>
    <w:rsid w:val="002B0534"/>
    <w:rsid w:val="002C039A"/>
    <w:rsid w:val="002C03E1"/>
    <w:rsid w:val="002C23DE"/>
    <w:rsid w:val="002C311C"/>
    <w:rsid w:val="002D4B6D"/>
    <w:rsid w:val="002D5B46"/>
    <w:rsid w:val="002E4B3E"/>
    <w:rsid w:val="002E57AF"/>
    <w:rsid w:val="002E7AEE"/>
    <w:rsid w:val="002F019A"/>
    <w:rsid w:val="002F04FE"/>
    <w:rsid w:val="002F0A25"/>
    <w:rsid w:val="002F0AC3"/>
    <w:rsid w:val="002F0F7D"/>
    <w:rsid w:val="002F2E76"/>
    <w:rsid w:val="002F6474"/>
    <w:rsid w:val="002F7D64"/>
    <w:rsid w:val="00300820"/>
    <w:rsid w:val="003016E7"/>
    <w:rsid w:val="003028BF"/>
    <w:rsid w:val="00306BE1"/>
    <w:rsid w:val="003107D2"/>
    <w:rsid w:val="00316DE8"/>
    <w:rsid w:val="00320C03"/>
    <w:rsid w:val="003318C1"/>
    <w:rsid w:val="00334490"/>
    <w:rsid w:val="00336969"/>
    <w:rsid w:val="003461DA"/>
    <w:rsid w:val="00350F67"/>
    <w:rsid w:val="003512D1"/>
    <w:rsid w:val="0035553C"/>
    <w:rsid w:val="00360789"/>
    <w:rsid w:val="00362BEA"/>
    <w:rsid w:val="00363E57"/>
    <w:rsid w:val="00364357"/>
    <w:rsid w:val="00367D31"/>
    <w:rsid w:val="00380FB3"/>
    <w:rsid w:val="003843D3"/>
    <w:rsid w:val="00387C2F"/>
    <w:rsid w:val="00393129"/>
    <w:rsid w:val="003A2622"/>
    <w:rsid w:val="003A2720"/>
    <w:rsid w:val="003A4A7B"/>
    <w:rsid w:val="003A57E9"/>
    <w:rsid w:val="003A7B34"/>
    <w:rsid w:val="003B18C2"/>
    <w:rsid w:val="003B5C37"/>
    <w:rsid w:val="003B7C78"/>
    <w:rsid w:val="003C3FDA"/>
    <w:rsid w:val="003C4F4B"/>
    <w:rsid w:val="003D01EE"/>
    <w:rsid w:val="003D1EB4"/>
    <w:rsid w:val="003D3EB2"/>
    <w:rsid w:val="003D79EF"/>
    <w:rsid w:val="003E0387"/>
    <w:rsid w:val="003E3A5E"/>
    <w:rsid w:val="003F411A"/>
    <w:rsid w:val="003F41AA"/>
    <w:rsid w:val="0040196E"/>
    <w:rsid w:val="0040222E"/>
    <w:rsid w:val="0040225A"/>
    <w:rsid w:val="0040636C"/>
    <w:rsid w:val="0041373D"/>
    <w:rsid w:val="00425C2B"/>
    <w:rsid w:val="00425DFB"/>
    <w:rsid w:val="00426900"/>
    <w:rsid w:val="0042703D"/>
    <w:rsid w:val="00432959"/>
    <w:rsid w:val="00434762"/>
    <w:rsid w:val="00435F44"/>
    <w:rsid w:val="00442E49"/>
    <w:rsid w:val="00457D60"/>
    <w:rsid w:val="00461825"/>
    <w:rsid w:val="004638CE"/>
    <w:rsid w:val="00465C01"/>
    <w:rsid w:val="00466C2C"/>
    <w:rsid w:val="00473DC2"/>
    <w:rsid w:val="00475B87"/>
    <w:rsid w:val="00477006"/>
    <w:rsid w:val="004778D5"/>
    <w:rsid w:val="004824DD"/>
    <w:rsid w:val="0048414C"/>
    <w:rsid w:val="00494E2F"/>
    <w:rsid w:val="004B5319"/>
    <w:rsid w:val="004B6B74"/>
    <w:rsid w:val="004C3DD1"/>
    <w:rsid w:val="004C672F"/>
    <w:rsid w:val="004E1BBA"/>
    <w:rsid w:val="00502422"/>
    <w:rsid w:val="00507BF2"/>
    <w:rsid w:val="00507C7F"/>
    <w:rsid w:val="00516AC2"/>
    <w:rsid w:val="00517D03"/>
    <w:rsid w:val="00525A45"/>
    <w:rsid w:val="00526282"/>
    <w:rsid w:val="00531427"/>
    <w:rsid w:val="00531977"/>
    <w:rsid w:val="0054364E"/>
    <w:rsid w:val="00544EB8"/>
    <w:rsid w:val="00545534"/>
    <w:rsid w:val="005466C0"/>
    <w:rsid w:val="00546B6E"/>
    <w:rsid w:val="00552600"/>
    <w:rsid w:val="00552D04"/>
    <w:rsid w:val="00573980"/>
    <w:rsid w:val="00573EE0"/>
    <w:rsid w:val="0057476B"/>
    <w:rsid w:val="00580E6E"/>
    <w:rsid w:val="00592B6C"/>
    <w:rsid w:val="005A4AFF"/>
    <w:rsid w:val="005A6C74"/>
    <w:rsid w:val="005A7223"/>
    <w:rsid w:val="005B040D"/>
    <w:rsid w:val="005C4710"/>
    <w:rsid w:val="005D06FB"/>
    <w:rsid w:val="005D66A8"/>
    <w:rsid w:val="005D7AD0"/>
    <w:rsid w:val="005E0193"/>
    <w:rsid w:val="005F32AC"/>
    <w:rsid w:val="006010EE"/>
    <w:rsid w:val="006047E3"/>
    <w:rsid w:val="00604B31"/>
    <w:rsid w:val="0062057C"/>
    <w:rsid w:val="006222BA"/>
    <w:rsid w:val="00623FC5"/>
    <w:rsid w:val="00624944"/>
    <w:rsid w:val="00651966"/>
    <w:rsid w:val="0065688D"/>
    <w:rsid w:val="00660EFD"/>
    <w:rsid w:val="006709CB"/>
    <w:rsid w:val="00672C15"/>
    <w:rsid w:val="00672F7B"/>
    <w:rsid w:val="006932F5"/>
    <w:rsid w:val="00693995"/>
    <w:rsid w:val="0069739F"/>
    <w:rsid w:val="006A0419"/>
    <w:rsid w:val="006A41EE"/>
    <w:rsid w:val="006A443C"/>
    <w:rsid w:val="006A6B04"/>
    <w:rsid w:val="006B2FD1"/>
    <w:rsid w:val="006B4807"/>
    <w:rsid w:val="006B7D87"/>
    <w:rsid w:val="006C1BB9"/>
    <w:rsid w:val="006C7A1F"/>
    <w:rsid w:val="006D4BB5"/>
    <w:rsid w:val="006E09D9"/>
    <w:rsid w:val="006E2AB7"/>
    <w:rsid w:val="006E3F16"/>
    <w:rsid w:val="006E7094"/>
    <w:rsid w:val="006E779D"/>
    <w:rsid w:val="006F72F0"/>
    <w:rsid w:val="00703CDA"/>
    <w:rsid w:val="007105DE"/>
    <w:rsid w:val="00723707"/>
    <w:rsid w:val="007240ED"/>
    <w:rsid w:val="00736C02"/>
    <w:rsid w:val="00736E14"/>
    <w:rsid w:val="00740412"/>
    <w:rsid w:val="007427AF"/>
    <w:rsid w:val="0074288D"/>
    <w:rsid w:val="007437DD"/>
    <w:rsid w:val="00763478"/>
    <w:rsid w:val="0076647A"/>
    <w:rsid w:val="007673BD"/>
    <w:rsid w:val="007708FB"/>
    <w:rsid w:val="00782CFF"/>
    <w:rsid w:val="00782F0D"/>
    <w:rsid w:val="00792480"/>
    <w:rsid w:val="00794DD7"/>
    <w:rsid w:val="007950F8"/>
    <w:rsid w:val="007A138C"/>
    <w:rsid w:val="007A252D"/>
    <w:rsid w:val="007A2B0F"/>
    <w:rsid w:val="007A3D08"/>
    <w:rsid w:val="007A54E2"/>
    <w:rsid w:val="007B3289"/>
    <w:rsid w:val="007B3FD1"/>
    <w:rsid w:val="007C7642"/>
    <w:rsid w:val="007C7AF5"/>
    <w:rsid w:val="007C7B5F"/>
    <w:rsid w:val="007D3779"/>
    <w:rsid w:val="007E02EC"/>
    <w:rsid w:val="007E0843"/>
    <w:rsid w:val="007E1E6E"/>
    <w:rsid w:val="007E1EAF"/>
    <w:rsid w:val="007E43D1"/>
    <w:rsid w:val="007E64F7"/>
    <w:rsid w:val="007E6798"/>
    <w:rsid w:val="007F0D8E"/>
    <w:rsid w:val="007F195D"/>
    <w:rsid w:val="00804E4C"/>
    <w:rsid w:val="00814C7C"/>
    <w:rsid w:val="008203F4"/>
    <w:rsid w:val="00823D96"/>
    <w:rsid w:val="00837E85"/>
    <w:rsid w:val="008403B6"/>
    <w:rsid w:val="0085506D"/>
    <w:rsid w:val="00856E31"/>
    <w:rsid w:val="0086081E"/>
    <w:rsid w:val="00860DBD"/>
    <w:rsid w:val="00864814"/>
    <w:rsid w:val="0086721E"/>
    <w:rsid w:val="008678A9"/>
    <w:rsid w:val="00871AF8"/>
    <w:rsid w:val="0087663B"/>
    <w:rsid w:val="008819BE"/>
    <w:rsid w:val="00890141"/>
    <w:rsid w:val="00893941"/>
    <w:rsid w:val="00897BF2"/>
    <w:rsid w:val="008A40B0"/>
    <w:rsid w:val="008B1BCE"/>
    <w:rsid w:val="008B66E2"/>
    <w:rsid w:val="008C06D4"/>
    <w:rsid w:val="008D0D33"/>
    <w:rsid w:val="008D1F1E"/>
    <w:rsid w:val="008D6414"/>
    <w:rsid w:val="008E3AE0"/>
    <w:rsid w:val="008F22AD"/>
    <w:rsid w:val="008F2799"/>
    <w:rsid w:val="008F2EED"/>
    <w:rsid w:val="0090400E"/>
    <w:rsid w:val="00917C3D"/>
    <w:rsid w:val="00923619"/>
    <w:rsid w:val="00931CB4"/>
    <w:rsid w:val="00953711"/>
    <w:rsid w:val="00954450"/>
    <w:rsid w:val="009606FA"/>
    <w:rsid w:val="00973567"/>
    <w:rsid w:val="00975718"/>
    <w:rsid w:val="00981631"/>
    <w:rsid w:val="00981ED0"/>
    <w:rsid w:val="00984B6F"/>
    <w:rsid w:val="009A281E"/>
    <w:rsid w:val="009B742E"/>
    <w:rsid w:val="009C0096"/>
    <w:rsid w:val="009C4630"/>
    <w:rsid w:val="009C5E34"/>
    <w:rsid w:val="009C6673"/>
    <w:rsid w:val="009C7DB8"/>
    <w:rsid w:val="009D2B87"/>
    <w:rsid w:val="009D5DD2"/>
    <w:rsid w:val="009E1E62"/>
    <w:rsid w:val="009E28FB"/>
    <w:rsid w:val="009E62DF"/>
    <w:rsid w:val="009E70B5"/>
    <w:rsid w:val="009F3187"/>
    <w:rsid w:val="00A006CB"/>
    <w:rsid w:val="00A019F8"/>
    <w:rsid w:val="00A065C9"/>
    <w:rsid w:val="00A07C17"/>
    <w:rsid w:val="00A21397"/>
    <w:rsid w:val="00A26D24"/>
    <w:rsid w:val="00A35CDB"/>
    <w:rsid w:val="00A36ABD"/>
    <w:rsid w:val="00A5330A"/>
    <w:rsid w:val="00A54777"/>
    <w:rsid w:val="00A5751A"/>
    <w:rsid w:val="00A63F7C"/>
    <w:rsid w:val="00A84C2A"/>
    <w:rsid w:val="00A851C0"/>
    <w:rsid w:val="00A903A3"/>
    <w:rsid w:val="00AA0B68"/>
    <w:rsid w:val="00AA39A6"/>
    <w:rsid w:val="00AB515A"/>
    <w:rsid w:val="00AB5B4B"/>
    <w:rsid w:val="00AC4AC7"/>
    <w:rsid w:val="00AC649F"/>
    <w:rsid w:val="00AD3312"/>
    <w:rsid w:val="00AE273E"/>
    <w:rsid w:val="00AE3EEF"/>
    <w:rsid w:val="00AE4DB6"/>
    <w:rsid w:val="00AE6109"/>
    <w:rsid w:val="00AF253E"/>
    <w:rsid w:val="00AF402E"/>
    <w:rsid w:val="00B0232C"/>
    <w:rsid w:val="00B036CE"/>
    <w:rsid w:val="00B07A91"/>
    <w:rsid w:val="00B11DC2"/>
    <w:rsid w:val="00B12333"/>
    <w:rsid w:val="00B13041"/>
    <w:rsid w:val="00B178D0"/>
    <w:rsid w:val="00B27D0A"/>
    <w:rsid w:val="00B321A6"/>
    <w:rsid w:val="00B3282D"/>
    <w:rsid w:val="00B429E9"/>
    <w:rsid w:val="00B52ECB"/>
    <w:rsid w:val="00B539D0"/>
    <w:rsid w:val="00B53E5F"/>
    <w:rsid w:val="00B55F2D"/>
    <w:rsid w:val="00B5727C"/>
    <w:rsid w:val="00B61509"/>
    <w:rsid w:val="00B65F42"/>
    <w:rsid w:val="00B76DDC"/>
    <w:rsid w:val="00B804E6"/>
    <w:rsid w:val="00B819D7"/>
    <w:rsid w:val="00B829A9"/>
    <w:rsid w:val="00B9450E"/>
    <w:rsid w:val="00BA7DE0"/>
    <w:rsid w:val="00BB252A"/>
    <w:rsid w:val="00BB2952"/>
    <w:rsid w:val="00BC344D"/>
    <w:rsid w:val="00BD2946"/>
    <w:rsid w:val="00BD52AE"/>
    <w:rsid w:val="00BD7C3E"/>
    <w:rsid w:val="00BE2DEE"/>
    <w:rsid w:val="00BE7356"/>
    <w:rsid w:val="00BF063C"/>
    <w:rsid w:val="00BF37E0"/>
    <w:rsid w:val="00BF6A33"/>
    <w:rsid w:val="00BF72D5"/>
    <w:rsid w:val="00C025F7"/>
    <w:rsid w:val="00C07CE6"/>
    <w:rsid w:val="00C07D6F"/>
    <w:rsid w:val="00C12E64"/>
    <w:rsid w:val="00C1606F"/>
    <w:rsid w:val="00C257F3"/>
    <w:rsid w:val="00C30389"/>
    <w:rsid w:val="00C309AB"/>
    <w:rsid w:val="00C4095C"/>
    <w:rsid w:val="00C45E4E"/>
    <w:rsid w:val="00C71353"/>
    <w:rsid w:val="00C76DE8"/>
    <w:rsid w:val="00C771DF"/>
    <w:rsid w:val="00C803D0"/>
    <w:rsid w:val="00C80420"/>
    <w:rsid w:val="00C80C4C"/>
    <w:rsid w:val="00C82995"/>
    <w:rsid w:val="00C83A39"/>
    <w:rsid w:val="00C94ACB"/>
    <w:rsid w:val="00C96B7C"/>
    <w:rsid w:val="00CA0EEA"/>
    <w:rsid w:val="00CA5020"/>
    <w:rsid w:val="00CA5A34"/>
    <w:rsid w:val="00CB2C14"/>
    <w:rsid w:val="00CC010B"/>
    <w:rsid w:val="00CC288A"/>
    <w:rsid w:val="00CC3467"/>
    <w:rsid w:val="00CC45D6"/>
    <w:rsid w:val="00CC717D"/>
    <w:rsid w:val="00CE0A76"/>
    <w:rsid w:val="00CE7B77"/>
    <w:rsid w:val="00D00027"/>
    <w:rsid w:val="00D03169"/>
    <w:rsid w:val="00D03846"/>
    <w:rsid w:val="00D14C5D"/>
    <w:rsid w:val="00D3047B"/>
    <w:rsid w:val="00D43613"/>
    <w:rsid w:val="00D47735"/>
    <w:rsid w:val="00D75DCB"/>
    <w:rsid w:val="00D83A21"/>
    <w:rsid w:val="00DA1B86"/>
    <w:rsid w:val="00DA6FEC"/>
    <w:rsid w:val="00DC5ACF"/>
    <w:rsid w:val="00DC6AB1"/>
    <w:rsid w:val="00DC764E"/>
    <w:rsid w:val="00DD2A47"/>
    <w:rsid w:val="00DD567E"/>
    <w:rsid w:val="00DD5E2E"/>
    <w:rsid w:val="00DD71CA"/>
    <w:rsid w:val="00DD7DAD"/>
    <w:rsid w:val="00DE0FD0"/>
    <w:rsid w:val="00DE52A1"/>
    <w:rsid w:val="00DE7918"/>
    <w:rsid w:val="00DF045F"/>
    <w:rsid w:val="00E021D0"/>
    <w:rsid w:val="00E15C1E"/>
    <w:rsid w:val="00E23542"/>
    <w:rsid w:val="00E26584"/>
    <w:rsid w:val="00E310B8"/>
    <w:rsid w:val="00E357B0"/>
    <w:rsid w:val="00E446F1"/>
    <w:rsid w:val="00E47683"/>
    <w:rsid w:val="00E53F20"/>
    <w:rsid w:val="00E5639E"/>
    <w:rsid w:val="00E56A16"/>
    <w:rsid w:val="00E61191"/>
    <w:rsid w:val="00E716BE"/>
    <w:rsid w:val="00E72CBE"/>
    <w:rsid w:val="00E7516F"/>
    <w:rsid w:val="00E86322"/>
    <w:rsid w:val="00E86CD5"/>
    <w:rsid w:val="00E87C35"/>
    <w:rsid w:val="00E97A5A"/>
    <w:rsid w:val="00EA31C9"/>
    <w:rsid w:val="00EB2423"/>
    <w:rsid w:val="00EB413B"/>
    <w:rsid w:val="00EC4E42"/>
    <w:rsid w:val="00EC5D69"/>
    <w:rsid w:val="00EC7E4F"/>
    <w:rsid w:val="00ED15BD"/>
    <w:rsid w:val="00ED7DDE"/>
    <w:rsid w:val="00EE0C23"/>
    <w:rsid w:val="00EE6C41"/>
    <w:rsid w:val="00EF54CF"/>
    <w:rsid w:val="00F0379E"/>
    <w:rsid w:val="00F146F6"/>
    <w:rsid w:val="00F21B68"/>
    <w:rsid w:val="00F313B4"/>
    <w:rsid w:val="00F36400"/>
    <w:rsid w:val="00F372F8"/>
    <w:rsid w:val="00F37D5A"/>
    <w:rsid w:val="00F4466B"/>
    <w:rsid w:val="00F5389A"/>
    <w:rsid w:val="00F554FB"/>
    <w:rsid w:val="00F55BB5"/>
    <w:rsid w:val="00F63159"/>
    <w:rsid w:val="00F63900"/>
    <w:rsid w:val="00F72207"/>
    <w:rsid w:val="00F73AE9"/>
    <w:rsid w:val="00F778EB"/>
    <w:rsid w:val="00F81E84"/>
    <w:rsid w:val="00F867C7"/>
    <w:rsid w:val="00F8712A"/>
    <w:rsid w:val="00F929B5"/>
    <w:rsid w:val="00F97143"/>
    <w:rsid w:val="00FA3051"/>
    <w:rsid w:val="00FB12D0"/>
    <w:rsid w:val="00FB2E7E"/>
    <w:rsid w:val="00FC10A5"/>
    <w:rsid w:val="00FC142F"/>
    <w:rsid w:val="00FD3372"/>
    <w:rsid w:val="00FE1516"/>
    <w:rsid w:val="00FF2FF2"/>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A0A5F"/>
  <w15:chartTrackingRefBased/>
  <w15:docId w15:val="{418C4A28-EC9F-442C-A0FD-325868C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130355</DocketNumber>
    <IndustryCode xmlns="dc463f71-b30c-4ab2-9473-d307f9d35888">499</IndustryCode>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2013-03-12T07:00:00+00:00</OpenedDate>
    <Date1 xmlns="dc463f71-b30c-4ab2-9473-d307f9d35888">2017-01-10T20:53:28+00:00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E7D2BA-10EB-4090-8C08-1FA8D52AA02F}">
  <ds:schemaRefs>
    <ds:schemaRef ds:uri="http://schemas.microsoft.com/sharepoint/v3/contenttype/forms"/>
  </ds:schemaRefs>
</ds:datastoreItem>
</file>

<file path=customXml/itemProps2.xml><?xml version="1.0" encoding="utf-8"?>
<ds:datastoreItem xmlns:ds="http://schemas.openxmlformats.org/officeDocument/2006/customXml" ds:itemID="{31716885-E750-433B-AA50-5A4C604C7942}">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fb371240-bfad-4c00-bc9b-0e9ef8fe056a"/>
  </ds:schemaRefs>
</ds:datastoreItem>
</file>

<file path=customXml/itemProps3.xml><?xml version="1.0" encoding="utf-8"?>
<ds:datastoreItem xmlns:ds="http://schemas.openxmlformats.org/officeDocument/2006/customXml" ds:itemID="{0AEB3297-ABC5-462B-A9ED-107276736FAA}"/>
</file>

<file path=customXml/itemProps4.xml><?xml version="1.0" encoding="utf-8"?>
<ds:datastoreItem xmlns:ds="http://schemas.openxmlformats.org/officeDocument/2006/customXml" ds:itemID="{7655BD5E-B969-4096-BCF6-27D8BAC48EAA}">
  <ds:schemaRefs>
    <ds:schemaRef ds:uri="http://schemas.openxmlformats.org/officeDocument/2006/bibliography"/>
  </ds:schemaRefs>
</ds:datastoreItem>
</file>

<file path=customXml/itemProps5.xml><?xml version="1.0" encoding="utf-8"?>
<ds:datastoreItem xmlns:ds="http://schemas.openxmlformats.org/officeDocument/2006/customXml" ds:itemID="{15B164D9-153B-4C92-A1EB-93C37C4604DF}"/>
</file>

<file path=docProps/app.xml><?xml version="1.0" encoding="utf-8"?>
<Properties xmlns="http://schemas.openxmlformats.org/officeDocument/2006/extended-properties" xmlns:vt="http://schemas.openxmlformats.org/officeDocument/2006/docPropsVTypes">
  <Template>Normal</Template>
  <TotalTime>1</TotalTime>
  <Pages>14</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Doyle, Paige (UTC)</cp:lastModifiedBy>
  <cp:revision>2</cp:revision>
  <cp:lastPrinted>2015-02-02T23:25:00Z</cp:lastPrinted>
  <dcterms:created xsi:type="dcterms:W3CDTF">2016-11-02T21:54:00Z</dcterms:created>
  <dcterms:modified xsi:type="dcterms:W3CDTF">2016-11-02T21:54:00Z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