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2BC15" w14:textId="77777777" w:rsidR="000444DD" w:rsidRPr="005E2D5D" w:rsidRDefault="000444DD" w:rsidP="00D37137">
      <w:pPr>
        <w:pStyle w:val="BodyText"/>
        <w:spacing w:line="264" w:lineRule="auto"/>
        <w:rPr>
          <w:b/>
          <w:bCs/>
        </w:rPr>
      </w:pPr>
      <w:r w:rsidRPr="005E2D5D">
        <w:rPr>
          <w:b/>
          <w:bCs/>
        </w:rPr>
        <w:t>BEFORE THE WASHINGTON</w:t>
      </w:r>
      <w:bookmarkStart w:id="0" w:name="_GoBack"/>
      <w:bookmarkEnd w:id="0"/>
    </w:p>
    <w:p w14:paraId="7F566756" w14:textId="77777777" w:rsidR="000444DD" w:rsidRPr="005E2D5D" w:rsidRDefault="000444DD" w:rsidP="00D37137">
      <w:pPr>
        <w:pStyle w:val="BodyText"/>
        <w:spacing w:line="264" w:lineRule="auto"/>
        <w:rPr>
          <w:b/>
          <w:bCs/>
        </w:rPr>
      </w:pPr>
      <w:r w:rsidRPr="005E2D5D">
        <w:rPr>
          <w:b/>
          <w:bCs/>
        </w:rPr>
        <w:t>UTILITIES AND TRANSPORTATION COMMISSION</w:t>
      </w:r>
    </w:p>
    <w:p w14:paraId="30C75C3C" w14:textId="77777777" w:rsidR="00DC1E81" w:rsidRPr="005E2D5D" w:rsidRDefault="00DC1E81" w:rsidP="00D37137">
      <w:pPr>
        <w:spacing w:line="264" w:lineRule="auto"/>
      </w:pPr>
    </w:p>
    <w:tbl>
      <w:tblPr>
        <w:tblW w:w="8896" w:type="dxa"/>
        <w:tblBorders>
          <w:insideH w:val="single" w:sz="4" w:space="0" w:color="auto"/>
        </w:tblBorders>
        <w:tblLook w:val="0000" w:firstRow="0" w:lastRow="0" w:firstColumn="0" w:lastColumn="0" w:noHBand="0" w:noVBand="0"/>
      </w:tblPr>
      <w:tblGrid>
        <w:gridCol w:w="4308"/>
        <w:gridCol w:w="300"/>
        <w:gridCol w:w="4288"/>
      </w:tblGrid>
      <w:tr w:rsidR="000444DD" w:rsidRPr="005E2D5D" w14:paraId="11F25ED6" w14:textId="77777777" w:rsidTr="000444DD">
        <w:tc>
          <w:tcPr>
            <w:tcW w:w="4308" w:type="dxa"/>
          </w:tcPr>
          <w:p w14:paraId="6B2A255D" w14:textId="77777777" w:rsidR="000444DD" w:rsidRPr="005E2D5D" w:rsidRDefault="000444DD" w:rsidP="00D37137">
            <w:pPr>
              <w:spacing w:line="264" w:lineRule="auto"/>
              <w:rPr>
                <w:bCs/>
              </w:rPr>
            </w:pPr>
            <w:r w:rsidRPr="005E2D5D">
              <w:rPr>
                <w:bCs/>
              </w:rPr>
              <w:t>In the Matter of the Petition of</w:t>
            </w:r>
          </w:p>
          <w:p w14:paraId="4AE84A22" w14:textId="77777777" w:rsidR="000444DD" w:rsidRPr="005E2D5D" w:rsidRDefault="000444DD" w:rsidP="00D37137">
            <w:pPr>
              <w:spacing w:line="264" w:lineRule="auto"/>
              <w:rPr>
                <w:bCs/>
              </w:rPr>
            </w:pPr>
          </w:p>
          <w:p w14:paraId="4C70E32D" w14:textId="77777777" w:rsidR="000444DD" w:rsidRPr="005E2D5D" w:rsidRDefault="000444DD" w:rsidP="00D37137">
            <w:pPr>
              <w:spacing w:line="264" w:lineRule="auto"/>
              <w:rPr>
                <w:bCs/>
              </w:rPr>
            </w:pPr>
            <w:r w:rsidRPr="005E2D5D">
              <w:rPr>
                <w:bCs/>
              </w:rPr>
              <w:t>PUGET SOUND ENERGY</w:t>
            </w:r>
          </w:p>
          <w:p w14:paraId="21C8139C" w14:textId="77777777" w:rsidR="000444DD" w:rsidRPr="005E2D5D" w:rsidRDefault="000444DD" w:rsidP="00D37137">
            <w:pPr>
              <w:spacing w:line="264" w:lineRule="auto"/>
              <w:rPr>
                <w:bCs/>
              </w:rPr>
            </w:pPr>
          </w:p>
          <w:p w14:paraId="13A50E7B" w14:textId="77777777" w:rsidR="000444DD" w:rsidRPr="005E2D5D" w:rsidRDefault="000444DD" w:rsidP="00D37137">
            <w:pPr>
              <w:spacing w:line="264" w:lineRule="auto"/>
            </w:pPr>
            <w:r w:rsidRPr="005E2D5D">
              <w:rPr>
                <w:bCs/>
              </w:rPr>
              <w:t>For an Accounting Order Approving the Allocation of Proceeds of the Sale of Certain Assets to Public Utility District #1 of Jefferson County</w:t>
            </w:r>
          </w:p>
          <w:p w14:paraId="3E29511C" w14:textId="77777777" w:rsidR="000444DD" w:rsidRPr="005E2D5D" w:rsidRDefault="000444DD" w:rsidP="00D37137">
            <w:pPr>
              <w:spacing w:line="264" w:lineRule="auto"/>
            </w:pPr>
          </w:p>
          <w:p w14:paraId="52198380" w14:textId="77777777" w:rsidR="000444DD" w:rsidRPr="005E2D5D" w:rsidRDefault="000444DD" w:rsidP="00D37137">
            <w:pPr>
              <w:spacing w:line="264" w:lineRule="auto"/>
            </w:pPr>
            <w:r w:rsidRPr="005E2D5D">
              <w:t xml:space="preserve">. . . . . . . . . . . . . . . . . . . . . . . . . . . . . . . . . </w:t>
            </w:r>
          </w:p>
        </w:tc>
        <w:tc>
          <w:tcPr>
            <w:tcW w:w="300" w:type="dxa"/>
          </w:tcPr>
          <w:p w14:paraId="37D6A7A8" w14:textId="77777777" w:rsidR="000444DD" w:rsidRPr="005E2D5D" w:rsidRDefault="000444DD" w:rsidP="00D37137">
            <w:pPr>
              <w:spacing w:line="264" w:lineRule="auto"/>
            </w:pPr>
            <w:r w:rsidRPr="005E2D5D">
              <w:t>)</w:t>
            </w:r>
          </w:p>
          <w:p w14:paraId="40EAAFEC" w14:textId="77777777" w:rsidR="000444DD" w:rsidRPr="005E2D5D" w:rsidRDefault="000444DD" w:rsidP="00D37137">
            <w:pPr>
              <w:spacing w:line="264" w:lineRule="auto"/>
            </w:pPr>
            <w:r w:rsidRPr="005E2D5D">
              <w:t>)</w:t>
            </w:r>
          </w:p>
          <w:p w14:paraId="066BCD0D" w14:textId="77777777" w:rsidR="000444DD" w:rsidRPr="005E2D5D" w:rsidRDefault="000444DD" w:rsidP="00D37137">
            <w:pPr>
              <w:spacing w:line="264" w:lineRule="auto"/>
            </w:pPr>
            <w:r w:rsidRPr="005E2D5D">
              <w:t>)</w:t>
            </w:r>
          </w:p>
          <w:p w14:paraId="70A616CE" w14:textId="77777777" w:rsidR="000444DD" w:rsidRPr="005E2D5D" w:rsidRDefault="000444DD" w:rsidP="00D37137">
            <w:pPr>
              <w:spacing w:line="264" w:lineRule="auto"/>
            </w:pPr>
            <w:r w:rsidRPr="005E2D5D">
              <w:t>)</w:t>
            </w:r>
          </w:p>
          <w:p w14:paraId="2EC5C7AF" w14:textId="77777777" w:rsidR="000444DD" w:rsidRPr="005E2D5D" w:rsidRDefault="000444DD" w:rsidP="00D37137">
            <w:pPr>
              <w:spacing w:line="264" w:lineRule="auto"/>
            </w:pPr>
            <w:r w:rsidRPr="005E2D5D">
              <w:t>)</w:t>
            </w:r>
          </w:p>
          <w:p w14:paraId="748A5F4F" w14:textId="77777777" w:rsidR="000444DD" w:rsidRPr="005E2D5D" w:rsidRDefault="000444DD" w:rsidP="00D37137">
            <w:pPr>
              <w:spacing w:line="264" w:lineRule="auto"/>
            </w:pPr>
            <w:r w:rsidRPr="005E2D5D">
              <w:t>)</w:t>
            </w:r>
          </w:p>
          <w:p w14:paraId="7B7758A0" w14:textId="77777777" w:rsidR="000444DD" w:rsidRPr="005E2D5D" w:rsidRDefault="000444DD" w:rsidP="00D37137">
            <w:pPr>
              <w:spacing w:line="264" w:lineRule="auto"/>
            </w:pPr>
            <w:r w:rsidRPr="005E2D5D">
              <w:t>)</w:t>
            </w:r>
          </w:p>
          <w:p w14:paraId="2C8FE6F1" w14:textId="77777777" w:rsidR="000444DD" w:rsidRPr="005E2D5D" w:rsidRDefault="000444DD" w:rsidP="00D37137">
            <w:pPr>
              <w:spacing w:line="264" w:lineRule="auto"/>
            </w:pPr>
            <w:r w:rsidRPr="005E2D5D">
              <w:t>)</w:t>
            </w:r>
          </w:p>
          <w:p w14:paraId="279B65EC" w14:textId="77777777" w:rsidR="000444DD" w:rsidRPr="005E2D5D" w:rsidRDefault="000444DD" w:rsidP="00D37137">
            <w:pPr>
              <w:spacing w:line="264" w:lineRule="auto"/>
            </w:pPr>
            <w:r w:rsidRPr="005E2D5D">
              <w:t>)</w:t>
            </w:r>
          </w:p>
          <w:p w14:paraId="0FA1D552" w14:textId="77777777" w:rsidR="000444DD" w:rsidRPr="005E2D5D" w:rsidRDefault="000444DD" w:rsidP="00D37137">
            <w:pPr>
              <w:spacing w:line="264" w:lineRule="auto"/>
            </w:pPr>
            <w:r w:rsidRPr="005E2D5D">
              <w:t>)</w:t>
            </w:r>
          </w:p>
        </w:tc>
        <w:tc>
          <w:tcPr>
            <w:tcW w:w="4288" w:type="dxa"/>
          </w:tcPr>
          <w:p w14:paraId="4E81624F" w14:textId="77777777" w:rsidR="000444DD" w:rsidRPr="005E2D5D" w:rsidRDefault="000444DD" w:rsidP="00D37137">
            <w:pPr>
              <w:spacing w:line="264" w:lineRule="auto"/>
              <w:ind w:left="192"/>
            </w:pPr>
            <w:r w:rsidRPr="005E2D5D">
              <w:t>DOCKET UE-132027</w:t>
            </w:r>
          </w:p>
          <w:p w14:paraId="54A56164" w14:textId="77777777" w:rsidR="000444DD" w:rsidRPr="005E2D5D" w:rsidRDefault="000444DD" w:rsidP="00D37137">
            <w:pPr>
              <w:spacing w:line="264" w:lineRule="auto"/>
              <w:ind w:left="192"/>
            </w:pPr>
          </w:p>
          <w:p w14:paraId="67961A5C" w14:textId="77777777" w:rsidR="000444DD" w:rsidRPr="005E2D5D" w:rsidRDefault="000444DD" w:rsidP="00D37137">
            <w:pPr>
              <w:spacing w:line="264" w:lineRule="auto"/>
              <w:ind w:left="192"/>
            </w:pPr>
            <w:r w:rsidRPr="005E2D5D">
              <w:t>ORDER 0</w:t>
            </w:r>
            <w:r w:rsidR="004B2D89">
              <w:t>5</w:t>
            </w:r>
            <w:r w:rsidRPr="005E2D5D">
              <w:t xml:space="preserve"> </w:t>
            </w:r>
          </w:p>
          <w:p w14:paraId="047E1DE2" w14:textId="77777777" w:rsidR="000444DD" w:rsidRDefault="000444DD" w:rsidP="00D37137">
            <w:pPr>
              <w:spacing w:line="264" w:lineRule="auto"/>
              <w:ind w:left="192"/>
            </w:pPr>
          </w:p>
          <w:p w14:paraId="754D0E23" w14:textId="77777777" w:rsidR="000444DD" w:rsidRPr="005E2D5D" w:rsidRDefault="000444DD" w:rsidP="00D37137">
            <w:pPr>
              <w:spacing w:line="264" w:lineRule="auto"/>
              <w:ind w:left="192"/>
            </w:pPr>
            <w:r w:rsidRPr="005E2D5D">
              <w:t>GRANTING</w:t>
            </w:r>
            <w:r w:rsidR="004B2D89">
              <w:t xml:space="preserve"> JOINT MOTION</w:t>
            </w:r>
          </w:p>
          <w:p w14:paraId="282446E8" w14:textId="77777777" w:rsidR="000444DD" w:rsidRPr="005E2D5D" w:rsidRDefault="000444DD" w:rsidP="00D37137">
            <w:pPr>
              <w:spacing w:line="264" w:lineRule="auto"/>
              <w:ind w:left="192"/>
            </w:pPr>
          </w:p>
          <w:p w14:paraId="12C1053B" w14:textId="77777777" w:rsidR="000444DD" w:rsidRPr="005E2D5D" w:rsidRDefault="000444DD" w:rsidP="00D37137">
            <w:pPr>
              <w:spacing w:line="264" w:lineRule="auto"/>
              <w:ind w:left="192"/>
              <w:rPr>
                <w:b/>
              </w:rPr>
            </w:pPr>
          </w:p>
        </w:tc>
      </w:tr>
    </w:tbl>
    <w:p w14:paraId="1A2CE646" w14:textId="77777777" w:rsidR="000444DD" w:rsidRDefault="000444DD">
      <w:pPr>
        <w:rPr>
          <w:b/>
          <w:bCs/>
        </w:rPr>
      </w:pPr>
    </w:p>
    <w:p w14:paraId="478ADD8D" w14:textId="77777777" w:rsidR="00913A2F" w:rsidRPr="005E2D5D" w:rsidRDefault="00913A2F" w:rsidP="00316FB9">
      <w:pPr>
        <w:pStyle w:val="Heading1"/>
        <w:keepLines/>
        <w:spacing w:line="288" w:lineRule="auto"/>
        <w:rPr>
          <w:rFonts w:eastAsia="Calibri" w:cs="Times New Roman"/>
          <w:szCs w:val="25"/>
        </w:rPr>
      </w:pPr>
      <w:bookmarkStart w:id="1" w:name="_Toc397939588"/>
      <w:bookmarkStart w:id="2" w:name="OLE_LINK3"/>
      <w:bookmarkStart w:id="3" w:name="OLE_LINK4"/>
      <w:r w:rsidRPr="005E2D5D">
        <w:rPr>
          <w:rFonts w:eastAsia="Calibri" w:cs="Times New Roman"/>
          <w:szCs w:val="25"/>
        </w:rPr>
        <w:t>MEMORANDUM</w:t>
      </w:r>
      <w:bookmarkEnd w:id="1"/>
    </w:p>
    <w:p w14:paraId="3562470F" w14:textId="77777777" w:rsidR="00913A2F" w:rsidRPr="005E2D5D" w:rsidRDefault="00913A2F" w:rsidP="00263F84">
      <w:pPr>
        <w:pStyle w:val="NoSpacing"/>
      </w:pPr>
    </w:p>
    <w:p w14:paraId="164CE650" w14:textId="77777777" w:rsidR="00E1705A" w:rsidRDefault="004B2D89" w:rsidP="00D37137">
      <w:pPr>
        <w:numPr>
          <w:ilvl w:val="0"/>
          <w:numId w:val="19"/>
        </w:numPr>
        <w:spacing w:after="120" w:line="288" w:lineRule="auto"/>
        <w:ind w:hanging="720"/>
      </w:pPr>
      <w:r w:rsidRPr="004B2D89">
        <w:t xml:space="preserve">On September 11, 2014, the </w:t>
      </w:r>
      <w:r w:rsidR="00E32C49" w:rsidRPr="00E32C49">
        <w:t>Washington Utilities and Transportation Commission (Commission)</w:t>
      </w:r>
      <w:r w:rsidR="00E32C49">
        <w:t xml:space="preserve"> </w:t>
      </w:r>
      <w:r w:rsidRPr="004B2D89">
        <w:t xml:space="preserve">entered its Final Order, Order 04, in this docket, which required </w:t>
      </w:r>
      <w:r>
        <w:t>Puget Sound Energy (</w:t>
      </w:r>
      <w:r w:rsidRPr="004B2D89">
        <w:t>PSE</w:t>
      </w:r>
      <w:r>
        <w:t>)</w:t>
      </w:r>
      <w:r w:rsidRPr="004B2D89">
        <w:t xml:space="preserve"> to credit to customers a portion of the allocation of gain from </w:t>
      </w:r>
      <w:r w:rsidR="00E32C49">
        <w:t xml:space="preserve">PSE’s </w:t>
      </w:r>
      <w:r w:rsidRPr="004B2D89">
        <w:t xml:space="preserve">sale </w:t>
      </w:r>
      <w:r w:rsidR="00E32C49">
        <w:t>of assets</w:t>
      </w:r>
      <w:r w:rsidRPr="004B2D89">
        <w:t xml:space="preserve"> to</w:t>
      </w:r>
      <w:r w:rsidR="00E32C49" w:rsidRPr="00E32C49">
        <w:t xml:space="preserve"> Jefferson County Public Utility District No. 1</w:t>
      </w:r>
      <w:r w:rsidRPr="004B2D89">
        <w:t xml:space="preserve"> </w:t>
      </w:r>
      <w:r w:rsidR="00E32C49">
        <w:t>(</w:t>
      </w:r>
      <w:r w:rsidRPr="004B2D89">
        <w:t>JPUD</w:t>
      </w:r>
      <w:r w:rsidR="00E32C49">
        <w:t>)</w:t>
      </w:r>
      <w:r w:rsidR="00E32C49" w:rsidRPr="00E32C49">
        <w:t xml:space="preserve"> </w:t>
      </w:r>
      <w:r w:rsidR="00E32C49">
        <w:t xml:space="preserve">under the terms of an </w:t>
      </w:r>
      <w:r w:rsidR="00E32C49" w:rsidRPr="00E32C49">
        <w:t xml:space="preserve">Asset Purchase Agreement </w:t>
      </w:r>
      <w:r w:rsidR="00E32C49">
        <w:t>entered into by PSE and JPUD</w:t>
      </w:r>
      <w:r w:rsidR="00E32C49" w:rsidRPr="00E32C49">
        <w:t xml:space="preserve"> on June 11, 2010</w:t>
      </w:r>
      <w:r w:rsidRPr="004B2D89">
        <w:t>.  Specifically, the Commission ordered PSE to pay to customers “</w:t>
      </w:r>
      <w:r w:rsidRPr="000C653A">
        <w:rPr>
          <w:bCs/>
        </w:rPr>
        <w:t>$52,700,723 plus interest deemed accrued since the date of Jefferson County Public Utility District’s final payment to Puget Sound Energy.”</w:t>
      </w:r>
      <w:r w:rsidR="00E32C49">
        <w:rPr>
          <w:rStyle w:val="FootnoteReference"/>
          <w:bCs/>
        </w:rPr>
        <w:footnoteReference w:id="1"/>
      </w:r>
      <w:r w:rsidRPr="000C653A">
        <w:rPr>
          <w:bCs/>
        </w:rPr>
        <w:t xml:space="preserve">  PSE had proposed a four year amortization of the proceeds and the Commission accepted this allocation in Order 04.</w:t>
      </w:r>
      <w:r w:rsidR="004569EA" w:rsidRPr="005E2D5D">
        <w:t xml:space="preserve"> </w:t>
      </w:r>
    </w:p>
    <w:p w14:paraId="1F2C5911" w14:textId="77777777" w:rsidR="00D37137" w:rsidRPr="005E2D5D" w:rsidRDefault="00D37137" w:rsidP="00D37137">
      <w:pPr>
        <w:pStyle w:val="NoSpacing"/>
      </w:pPr>
    </w:p>
    <w:bookmarkEnd w:id="2"/>
    <w:bookmarkEnd w:id="3"/>
    <w:p w14:paraId="03619807" w14:textId="77777777" w:rsidR="0062259C" w:rsidRDefault="00E32C49" w:rsidP="00D37137">
      <w:pPr>
        <w:numPr>
          <w:ilvl w:val="0"/>
          <w:numId w:val="19"/>
        </w:numPr>
        <w:spacing w:after="120" w:line="288" w:lineRule="auto"/>
        <w:ind w:hanging="720"/>
      </w:pPr>
      <w:r>
        <w:t xml:space="preserve">On September 22, 2014, </w:t>
      </w:r>
      <w:r w:rsidR="004B2D89" w:rsidRPr="004B2D89">
        <w:t>PSE, the Regulatory Staff of the Washington Utilities and Transportation Commission, the Public Counsel Section of the Washington Office of Attorney General, and the Industrial Customers of Northwest Utilities (collectively referred to as Movants) jointly move</w:t>
      </w:r>
      <w:r>
        <w:t>d</w:t>
      </w:r>
      <w:r w:rsidR="004B2D89" w:rsidRPr="004B2D89">
        <w:t xml:space="preserve"> for an order amending Order 04 to conform</w:t>
      </w:r>
      <w:r>
        <w:t xml:space="preserve"> it</w:t>
      </w:r>
      <w:r w:rsidR="004B2D89" w:rsidRPr="004B2D89">
        <w:t xml:space="preserve"> to</w:t>
      </w:r>
      <w:r>
        <w:t xml:space="preserve"> </w:t>
      </w:r>
      <w:r w:rsidR="004B2D89" w:rsidRPr="004B2D89">
        <w:t xml:space="preserve">agreed changes that the Movants propose for adoption in this docket.  </w:t>
      </w:r>
      <w:r w:rsidR="000C653A">
        <w:t xml:space="preserve">In brief, </w:t>
      </w:r>
      <w:r w:rsidR="004B2D89" w:rsidRPr="004B2D89">
        <w:t xml:space="preserve">Movants request that the </w:t>
      </w:r>
      <w:r w:rsidRPr="00E32C49">
        <w:t xml:space="preserve">Commission </w:t>
      </w:r>
      <w:r w:rsidR="004B2D89" w:rsidRPr="004B2D89">
        <w:t>amend Order 04 to allow for an expedited crediting to customers of their allocated share of the gain on the sale.  The Movants request that customers be provided a one-time bill credit for service taken during the month of December 2014, rather than providing these credits over a 48-month period.  The funds to be credited to customers will earn interest at PSE’s net of tax rate of return grossed up for taxes from the date of JPUD’s final payment to PSE, until the time in which the funds are fully credited to customers, which is anticipated to be in December 2014 or early January 2015, depending on customers’ billing cycles.  In total, this amounts to $59.2 million being credited to customers’ accounts.</w:t>
      </w:r>
    </w:p>
    <w:p w14:paraId="5211F685" w14:textId="77777777" w:rsidR="00D37137" w:rsidRPr="0062259C" w:rsidRDefault="00D37137" w:rsidP="00D37137">
      <w:pPr>
        <w:pStyle w:val="NoSpacing"/>
      </w:pPr>
    </w:p>
    <w:p w14:paraId="162B2C14" w14:textId="77777777" w:rsidR="0062259C" w:rsidRDefault="0062259C" w:rsidP="00D37137">
      <w:pPr>
        <w:numPr>
          <w:ilvl w:val="0"/>
          <w:numId w:val="19"/>
        </w:numPr>
        <w:spacing w:after="120" w:line="288" w:lineRule="auto"/>
        <w:ind w:hanging="720"/>
      </w:pPr>
      <w:r>
        <w:t xml:space="preserve">Specifically, </w:t>
      </w:r>
      <w:r w:rsidRPr="0062259C">
        <w:t>the Movants seek an order amending Paragraph 73, Paragraph 88 (Conclusions of Law Paragraph (5)), and Paragraph 94 (Ordering Paragraph (4)) as follows (proposed additional language underlined</w:t>
      </w:r>
      <w:r w:rsidR="000C653A">
        <w:t>; proposed deletions struck through</w:t>
      </w:r>
      <w:r w:rsidRPr="0062259C">
        <w:t>) to allow for expedited bill credits to be passed through to customers:</w:t>
      </w:r>
    </w:p>
    <w:p w14:paraId="1146B3FD" w14:textId="77777777" w:rsidR="00D37137" w:rsidRPr="0062259C" w:rsidRDefault="00D37137" w:rsidP="00D37137">
      <w:pPr>
        <w:pStyle w:val="NoSpacing"/>
      </w:pPr>
    </w:p>
    <w:p w14:paraId="6073B7A4" w14:textId="77777777" w:rsidR="0062259C" w:rsidRPr="0062259C" w:rsidRDefault="0062259C" w:rsidP="0062259C">
      <w:pPr>
        <w:spacing w:after="120" w:line="288" w:lineRule="auto"/>
        <w:ind w:left="720"/>
      </w:pPr>
      <w:r w:rsidRPr="0062259C">
        <w:rPr>
          <w:u w:val="single"/>
        </w:rPr>
        <w:t>Paragraph 73</w:t>
      </w:r>
      <w:r w:rsidRPr="0062259C">
        <w:t>:</w:t>
      </w:r>
    </w:p>
    <w:p w14:paraId="5258FA66" w14:textId="77777777" w:rsidR="0062259C" w:rsidRPr="0062259C" w:rsidRDefault="0062259C" w:rsidP="0062259C">
      <w:pPr>
        <w:spacing w:after="120" w:line="288" w:lineRule="auto"/>
        <w:ind w:left="720"/>
      </w:pPr>
      <w:r w:rsidRPr="0062259C">
        <w:lastRenderedPageBreak/>
        <w:t xml:space="preserve">Based on the preceding discussion, the Commission determines that it should allocate to the Company the $46,686,436 net book value of the assets (i.e., original costs less accumulated depreciation) and approved transaction costs of $2,404,643.  We determine in addition that of the remaining gain on sale, $60,182,117 (i.e., sales proceeds less the sum of net book value and approved transaction costs), $7,481,394 should be allocated to PSE.  We allocate to PSE $56,572,473 from the proceeds of sale.  The balance, $52,700,723, should be allocated to ratepayers.  Thus, we allocate approximately 52 percent of the sales proceeds to PSE and 48 percent to the Company’s ratepayers. </w:t>
      </w:r>
      <w:r w:rsidRPr="0062259C">
        <w:rPr>
          <w:strike/>
        </w:rPr>
        <w:t>Following Staff’s proposal, we</w:t>
      </w:r>
      <w:r w:rsidRPr="0062259C">
        <w:t xml:space="preserve"> </w:t>
      </w:r>
      <w:r w:rsidRPr="0062259C">
        <w:rPr>
          <w:u w:val="single"/>
        </w:rPr>
        <w:t xml:space="preserve">We </w:t>
      </w:r>
      <w:r w:rsidRPr="0062259C">
        <w:t xml:space="preserve">require PSE to place the ratepayers’ share in a regulatory liability account, where the </w:t>
      </w:r>
      <w:r w:rsidRPr="0062259C">
        <w:rPr>
          <w:strike/>
        </w:rPr>
        <w:t>declining</w:t>
      </w:r>
      <w:r w:rsidRPr="0062259C">
        <w:t xml:space="preserve"> balance will earn interest at the Company’s after-tax rate of return, grossed up for taxes.  We will require PSE to return the gain to ratepayers via </w:t>
      </w:r>
      <w:r w:rsidRPr="0062259C">
        <w:rPr>
          <w:bCs/>
          <w:u w:val="single"/>
        </w:rPr>
        <w:t>a one-time bill credit for service taken in December 2014.</w:t>
      </w:r>
      <w:r w:rsidRPr="0062259C">
        <w:rPr>
          <w:bCs/>
        </w:rPr>
        <w:t xml:space="preserve"> </w:t>
      </w:r>
      <w:r w:rsidRPr="0062259C">
        <w:rPr>
          <w:strike/>
        </w:rPr>
        <w:t>pro rata monthly bill credits until the full balance plus interest is amortized at the end of four years (i.e., 48 months from the effective date of this Order).</w:t>
      </w:r>
      <w:r w:rsidRPr="0062259C">
        <w:t xml:space="preserve">  We also accept Staff’s proposed allocation among PSE’s customers</w:t>
      </w:r>
      <w:r w:rsidRPr="0062259C">
        <w:rPr>
          <w:strike/>
        </w:rPr>
        <w:t>, which PSE accepted via its rebuttal testimony</w:t>
      </w:r>
      <w:r w:rsidRPr="0062259C">
        <w:t xml:space="preserve">.      </w:t>
      </w:r>
    </w:p>
    <w:p w14:paraId="3A8B0381" w14:textId="77777777" w:rsidR="0062259C" w:rsidRPr="0062259C" w:rsidRDefault="0062259C" w:rsidP="0062259C">
      <w:pPr>
        <w:spacing w:after="120" w:line="288" w:lineRule="auto"/>
        <w:ind w:left="720"/>
      </w:pPr>
      <w:r w:rsidRPr="0062259C">
        <w:rPr>
          <w:u w:val="single"/>
        </w:rPr>
        <w:t>Paragraph 88</w:t>
      </w:r>
      <w:r w:rsidRPr="0062259C">
        <w:t>:</w:t>
      </w:r>
    </w:p>
    <w:p w14:paraId="02124DA6" w14:textId="77777777" w:rsidR="0062259C" w:rsidRDefault="0062259C" w:rsidP="0062259C">
      <w:pPr>
        <w:spacing w:after="120" w:line="288" w:lineRule="auto"/>
        <w:ind w:left="720"/>
      </w:pPr>
      <w:r w:rsidRPr="0062259C">
        <w:t xml:space="preserve">PSE should be required to record on its books a regulatory liability in favor of ratepayers in the amount of $52,700,723 (i.e., sales proceeds less the sum of net book value and authorized transaction costs), plus interest. PSE should be required to allocate the balance among customers as Staff recommends and return this gain to ratepayers via </w:t>
      </w:r>
      <w:r w:rsidRPr="0062259C">
        <w:rPr>
          <w:bCs/>
          <w:u w:val="single"/>
        </w:rPr>
        <w:t>a one-time bill credit for service in December 2014.</w:t>
      </w:r>
      <w:r w:rsidRPr="0062259C">
        <w:rPr>
          <w:bCs/>
        </w:rPr>
        <w:t xml:space="preserve"> </w:t>
      </w:r>
      <w:r w:rsidRPr="0062259C">
        <w:rPr>
          <w:strike/>
        </w:rPr>
        <w:t xml:space="preserve">pro rata monthly payments until the </w:t>
      </w:r>
      <w:r w:rsidRPr="0062259C">
        <w:rPr>
          <w:strike/>
        </w:rPr>
        <w:lastRenderedPageBreak/>
        <w:t>full balance plus interest is amortized at the end of four years (i.e., 48 months from the effective date of this Order).</w:t>
      </w:r>
      <w:r w:rsidRPr="0062259C">
        <w:t xml:space="preserve"> The </w:t>
      </w:r>
      <w:r w:rsidRPr="0062259C">
        <w:rPr>
          <w:strike/>
        </w:rPr>
        <w:t>declining</w:t>
      </w:r>
      <w:r w:rsidRPr="0062259C">
        <w:t xml:space="preserve"> balance in the regulatory liability account will earn interest at the Company’s after-tax rate of return, grossed up for taxes.  </w:t>
      </w:r>
    </w:p>
    <w:p w14:paraId="13398E5B" w14:textId="77777777" w:rsidR="0062259C" w:rsidRPr="0062259C" w:rsidRDefault="0062259C" w:rsidP="0062259C">
      <w:pPr>
        <w:spacing w:after="120" w:line="288" w:lineRule="auto"/>
        <w:ind w:left="720"/>
      </w:pPr>
      <w:r w:rsidRPr="0062259C">
        <w:rPr>
          <w:u w:val="single"/>
        </w:rPr>
        <w:t>Paragraph 94</w:t>
      </w:r>
      <w:r w:rsidRPr="0062259C">
        <w:t>:</w:t>
      </w:r>
    </w:p>
    <w:p w14:paraId="2217039E" w14:textId="77777777" w:rsidR="0062259C" w:rsidRPr="005E2D5D" w:rsidRDefault="0062259C" w:rsidP="0062259C">
      <w:pPr>
        <w:spacing w:after="120" w:line="288" w:lineRule="auto"/>
        <w:ind w:left="720"/>
      </w:pPr>
      <w:r w:rsidRPr="0062259C">
        <w:t xml:space="preserve">Puget Sound Energy is required to record on its books a regulatory liability in favor of ratepayers in the amount of </w:t>
      </w:r>
      <w:r w:rsidRPr="0062259C">
        <w:rPr>
          <w:bCs/>
        </w:rPr>
        <w:t xml:space="preserve">$52,700,723 plus interest deemed accrued since the date of Jefferson County Public Utility District’s final payment to Puget Sound Energy.  Puget Sound Energy is required to allocate the gain among customer classes as Staff recommends and to provide ratepayers </w:t>
      </w:r>
      <w:r w:rsidRPr="0062259C">
        <w:rPr>
          <w:bCs/>
          <w:u w:val="single"/>
        </w:rPr>
        <w:t>a one-time bill credit for service taken in December 2014.</w:t>
      </w:r>
      <w:r w:rsidRPr="0062259C">
        <w:rPr>
          <w:bCs/>
        </w:rPr>
        <w:t xml:space="preserve"> </w:t>
      </w:r>
      <w:r w:rsidRPr="0062259C">
        <w:rPr>
          <w:bCs/>
          <w:strike/>
        </w:rPr>
        <w:t>pro rata monthly bill credits until the full balance plus interest is amortized at the end of four years (</w:t>
      </w:r>
      <w:r w:rsidRPr="0062259C">
        <w:rPr>
          <w:bCs/>
          <w:i/>
          <w:strike/>
        </w:rPr>
        <w:t>i.e.,</w:t>
      </w:r>
      <w:r w:rsidRPr="0062259C">
        <w:rPr>
          <w:bCs/>
          <w:strike/>
        </w:rPr>
        <w:t xml:space="preserve"> 48 months from the effective date of this Order).</w:t>
      </w:r>
      <w:r w:rsidRPr="0062259C">
        <w:rPr>
          <w:bCs/>
        </w:rPr>
        <w:t xml:space="preserve"> The </w:t>
      </w:r>
      <w:r w:rsidRPr="0062259C">
        <w:rPr>
          <w:bCs/>
          <w:strike/>
        </w:rPr>
        <w:t>declining</w:t>
      </w:r>
      <w:r w:rsidRPr="0062259C">
        <w:rPr>
          <w:bCs/>
        </w:rPr>
        <w:t xml:space="preserve"> balance in the regulatory liability account will earn interest at the Company’s after-tax rate of return, grossed up for taxes.</w:t>
      </w:r>
      <w:r w:rsidRPr="005E2D5D">
        <w:rPr>
          <w:bCs/>
        </w:rPr>
        <w:t xml:space="preserve">  </w:t>
      </w:r>
    </w:p>
    <w:p w14:paraId="67F2849C" w14:textId="77777777" w:rsidR="0062259C" w:rsidRDefault="0062259C" w:rsidP="00903212">
      <w:pPr>
        <w:numPr>
          <w:ilvl w:val="0"/>
          <w:numId w:val="19"/>
        </w:numPr>
        <w:spacing w:after="120" w:line="288" w:lineRule="auto"/>
        <w:ind w:hanging="720"/>
      </w:pPr>
      <w:r>
        <w:t xml:space="preserve">Movants propose the following methodology for implementing this expedited, one-time payment to customers:  </w:t>
      </w:r>
    </w:p>
    <w:p w14:paraId="5DD6480F" w14:textId="77777777" w:rsidR="0062259C" w:rsidRDefault="0062259C" w:rsidP="00903212">
      <w:pPr>
        <w:spacing w:after="120" w:line="288" w:lineRule="auto"/>
        <w:ind w:left="1440" w:right="720" w:hanging="720"/>
      </w:pPr>
      <w:r>
        <w:t>(1)</w:t>
      </w:r>
      <w:r>
        <w:tab/>
        <w:t>The total amount allocated to ratepayers, including interest, will be spread across customer groups, per the Commission order.</w:t>
      </w:r>
    </w:p>
    <w:p w14:paraId="00975D2A" w14:textId="77777777" w:rsidR="0062259C" w:rsidRDefault="0062259C" w:rsidP="00903212">
      <w:pPr>
        <w:spacing w:after="120" w:line="288" w:lineRule="auto"/>
        <w:ind w:left="1440" w:right="720" w:hanging="720"/>
      </w:pPr>
      <w:r>
        <w:t xml:space="preserve">(2) </w:t>
      </w:r>
      <w:r>
        <w:tab/>
        <w:t>Amounts allocated to non-residential customer classes with multiple rate schedules will be further allocated to these rate schedules based on their share of kilowatt-hour (kWh) sales projected for the month of December 2014.</w:t>
      </w:r>
    </w:p>
    <w:p w14:paraId="49DDD572" w14:textId="77777777" w:rsidR="0062259C" w:rsidRDefault="0062259C" w:rsidP="00903212">
      <w:pPr>
        <w:spacing w:after="120" w:line="288" w:lineRule="auto"/>
        <w:ind w:left="1440" w:right="720" w:hanging="720"/>
      </w:pPr>
      <w:r>
        <w:t>(3)</w:t>
      </w:r>
      <w:r>
        <w:tab/>
        <w:t>Amounts allocated to each rate schedule will be divided by their projected kWh sales during the month of December 2014 to derive the rate credit for service taken during this month.  This rate credit will be implemented through PSE’s Schedule 133. Workpapers supporting the proposed rate calculations are attached as Exhibit A to this joint motion.</w:t>
      </w:r>
    </w:p>
    <w:p w14:paraId="5E52514D" w14:textId="77777777" w:rsidR="0062259C" w:rsidRDefault="0062259C" w:rsidP="00903212">
      <w:pPr>
        <w:spacing w:after="120" w:line="288" w:lineRule="auto"/>
        <w:ind w:left="1440" w:right="720" w:hanging="720"/>
      </w:pPr>
      <w:r>
        <w:t>(4)</w:t>
      </w:r>
      <w:r>
        <w:tab/>
        <w:t>If the residual balance owed from or due to all customers is less than $100,000, PSE would write-off any residual balance owed from or due customers.</w:t>
      </w:r>
    </w:p>
    <w:p w14:paraId="1705E8F1" w14:textId="77777777" w:rsidR="0062259C" w:rsidRDefault="0062259C" w:rsidP="00903212">
      <w:pPr>
        <w:spacing w:after="120" w:line="288" w:lineRule="auto"/>
        <w:ind w:left="1440" w:right="720" w:hanging="720"/>
      </w:pPr>
      <w:r>
        <w:t xml:space="preserve">(5) </w:t>
      </w:r>
      <w:r>
        <w:tab/>
        <w:t>If the residual balance owed from or due to all customers exceeds $100,000 after December 31, 2014 (e.g., due to weather variability), this amount would be surcharged or credited to customers, including any additional interest, through a filing made no later than March 31, 2015 for rates effective May 1, 2015 through May 31, 2015.  The approach to allocating and pricing this residual balance would follow the same approach used to set the original credit rates, but using projected kWh usage for the month of May 2015.</w:t>
      </w:r>
    </w:p>
    <w:p w14:paraId="58C62397" w14:textId="77777777" w:rsidR="0062259C" w:rsidRDefault="0062259C" w:rsidP="00903212">
      <w:pPr>
        <w:spacing w:after="120" w:line="288" w:lineRule="auto"/>
        <w:ind w:left="1440" w:right="720" w:hanging="720"/>
      </w:pPr>
      <w:r>
        <w:t>(6)</w:t>
      </w:r>
      <w:r>
        <w:tab/>
        <w:t>If the residual amount owed from or due customers exceeds $100,000 after May 31, 2015, which the Movants believe to be unlikely, the above process will be repeated until this amount falls below $100,000.  Otherwise, PSE would write-off any residual balance owed from or due customers.</w:t>
      </w:r>
    </w:p>
    <w:p w14:paraId="445040FB" w14:textId="77777777" w:rsidR="000C653A" w:rsidRDefault="000C653A" w:rsidP="00046A24">
      <w:pPr>
        <w:numPr>
          <w:ilvl w:val="0"/>
          <w:numId w:val="19"/>
        </w:numPr>
        <w:spacing w:after="120" w:line="288" w:lineRule="auto"/>
        <w:ind w:hanging="720"/>
      </w:pPr>
      <w:r w:rsidRPr="000C653A">
        <w:t>The Movants request this one-time payout because it provides a noticeable and appreciable credit to customers during a time when electric bills are typically high due to colder weather and shorter daylight hours.  Further, from PSE’s perspective, the one-time payout limits the time period in which this regulatory liability remains on PSE’s books.</w:t>
      </w:r>
    </w:p>
    <w:p w14:paraId="55D9B0F4" w14:textId="77777777" w:rsidR="00D37137" w:rsidRDefault="00D37137" w:rsidP="00D37137">
      <w:pPr>
        <w:pStyle w:val="NoSpacing"/>
        <w:spacing w:line="288" w:lineRule="auto"/>
      </w:pPr>
    </w:p>
    <w:p w14:paraId="1B665D54" w14:textId="77777777" w:rsidR="0062259C" w:rsidRPr="0062259C" w:rsidRDefault="000C653A" w:rsidP="00D37137">
      <w:pPr>
        <w:numPr>
          <w:ilvl w:val="0"/>
          <w:numId w:val="19"/>
        </w:numPr>
        <w:spacing w:after="120" w:line="288" w:lineRule="auto"/>
        <w:ind w:hanging="720"/>
      </w:pPr>
      <w:r w:rsidRPr="000C653A">
        <w:t>RCW 80.04.210 and WAC 480</w:t>
      </w:r>
      <w:r w:rsidRPr="000C653A">
        <w:noBreakHyphen/>
        <w:t>07</w:t>
      </w:r>
      <w:r w:rsidRPr="000C653A">
        <w:noBreakHyphen/>
        <w:t>875 authorize the Commission to amend an order after providing notice to the affected public service company and to all parties in the underlying proceeding.  In this case, all the parties to the underlying proceeding are Movants and request the amendments set forth above.</w:t>
      </w:r>
      <w:r>
        <w:t xml:space="preserve">  Thus, the purpose of the notice requirement is satisfied and there is no need for the Commission to issue a separate formal notice prior to taking action.  </w:t>
      </w:r>
      <w:r w:rsidRPr="000C653A">
        <w:t xml:space="preserve">The </w:t>
      </w:r>
      <w:r>
        <w:t xml:space="preserve">proposed </w:t>
      </w:r>
      <w:r w:rsidRPr="000C653A">
        <w:t>amendments to Order 04 allow customer</w:t>
      </w:r>
      <w:r>
        <w:t>s</w:t>
      </w:r>
      <w:r w:rsidRPr="000C653A">
        <w:t xml:space="preserve"> to experience a more immediate and substantial credit to their electric bills during a higher usage period</w:t>
      </w:r>
      <w:r>
        <w:t xml:space="preserve"> during the winter heating season.  In addition, the amendments</w:t>
      </w:r>
      <w:r w:rsidRPr="000C653A">
        <w:t xml:space="preserve"> avoid the need for PSE to carry a regulatory liability on its books for four years.  Accordingly, the </w:t>
      </w:r>
      <w:r>
        <w:t>Commission determines that it is in the public interest to</w:t>
      </w:r>
      <w:r w:rsidRPr="000C653A">
        <w:t xml:space="preserve"> amend Order 04 as set forth above.</w:t>
      </w:r>
    </w:p>
    <w:p w14:paraId="41172D71" w14:textId="77777777" w:rsidR="00CF3116" w:rsidRDefault="000C653A" w:rsidP="000C653A">
      <w:pPr>
        <w:spacing w:line="288" w:lineRule="auto"/>
        <w:ind w:left="720"/>
        <w:jc w:val="center"/>
        <w:rPr>
          <w:b/>
        </w:rPr>
      </w:pPr>
      <w:r>
        <w:rPr>
          <w:b/>
        </w:rPr>
        <w:t>ORDER</w:t>
      </w:r>
    </w:p>
    <w:p w14:paraId="31371E4B" w14:textId="77777777" w:rsidR="000C653A" w:rsidRDefault="000C653A" w:rsidP="000C653A">
      <w:pPr>
        <w:spacing w:line="288" w:lineRule="auto"/>
        <w:ind w:left="720"/>
        <w:jc w:val="center"/>
        <w:rPr>
          <w:b/>
        </w:rPr>
      </w:pPr>
    </w:p>
    <w:p w14:paraId="2A91FFB6" w14:textId="77777777" w:rsidR="00C82DFD" w:rsidRPr="00C82DFD" w:rsidRDefault="00C82DFD" w:rsidP="00495E43">
      <w:pPr>
        <w:spacing w:after="120" w:line="288" w:lineRule="auto"/>
      </w:pPr>
      <w:r w:rsidRPr="00C82DFD">
        <w:t>THE COMMISSION ORDERS THAT:</w:t>
      </w:r>
    </w:p>
    <w:p w14:paraId="3E0BA223" w14:textId="77777777" w:rsidR="00C82DFD" w:rsidRDefault="00C82DFD" w:rsidP="00C82DFD">
      <w:pPr>
        <w:spacing w:line="288" w:lineRule="auto"/>
        <w:ind w:left="720"/>
        <w:rPr>
          <w:b/>
        </w:rPr>
      </w:pPr>
    </w:p>
    <w:p w14:paraId="5F57FB52" w14:textId="77777777" w:rsidR="000C653A" w:rsidRDefault="00903212" w:rsidP="00903212">
      <w:pPr>
        <w:numPr>
          <w:ilvl w:val="0"/>
          <w:numId w:val="19"/>
        </w:numPr>
        <w:spacing w:after="120" w:line="288" w:lineRule="auto"/>
        <w:ind w:left="720" w:hanging="1440"/>
        <w:rPr>
          <w:bCs/>
          <w:color w:val="000000"/>
        </w:rPr>
      </w:pPr>
      <w:r>
        <w:rPr>
          <w:bCs/>
          <w:color w:val="000000"/>
        </w:rPr>
        <w:t>(1)</w:t>
      </w:r>
      <w:r>
        <w:rPr>
          <w:bCs/>
          <w:color w:val="000000"/>
        </w:rPr>
        <w:tab/>
      </w:r>
      <w:r w:rsidR="00C82DFD">
        <w:rPr>
          <w:bCs/>
          <w:color w:val="000000"/>
        </w:rPr>
        <w:t>Order 04 in this docket, entered on September 11, 2014, is amended as set forth in paragraph 3 of this Order.</w:t>
      </w:r>
    </w:p>
    <w:p w14:paraId="4D515420" w14:textId="77777777" w:rsidR="00C82DFD" w:rsidRPr="00C82DFD" w:rsidRDefault="00C82DFD" w:rsidP="00C82DFD">
      <w:pPr>
        <w:pStyle w:val="ListParagraph"/>
        <w:spacing w:line="288" w:lineRule="auto"/>
        <w:ind w:left="1080"/>
        <w:rPr>
          <w:bCs/>
          <w:color w:val="000000"/>
        </w:rPr>
      </w:pPr>
    </w:p>
    <w:p w14:paraId="44153993" w14:textId="77777777" w:rsidR="00CF3116" w:rsidRPr="005E2D5D" w:rsidRDefault="00903212" w:rsidP="00903212">
      <w:pPr>
        <w:numPr>
          <w:ilvl w:val="0"/>
          <w:numId w:val="19"/>
        </w:numPr>
        <w:spacing w:after="120" w:line="288" w:lineRule="auto"/>
        <w:ind w:left="720" w:hanging="1440"/>
        <w:rPr>
          <w:bCs/>
          <w:color w:val="000000"/>
        </w:rPr>
      </w:pPr>
      <w:r>
        <w:lastRenderedPageBreak/>
        <w:t>(2)</w:t>
      </w:r>
      <w:r>
        <w:tab/>
      </w:r>
      <w:r w:rsidR="00CF3116" w:rsidRPr="005E2D5D">
        <w:t>The Commission Secretary is authorized to accept by letter, with copies to all parties to this proceeding, a</w:t>
      </w:r>
      <w:r w:rsidR="00C82DFD">
        <w:t>ny</w:t>
      </w:r>
      <w:r w:rsidR="00CF3116" w:rsidRPr="005E2D5D">
        <w:t xml:space="preserve"> filing </w:t>
      </w:r>
      <w:r w:rsidR="00C82DFD">
        <w:t>by Puget Sound Energy that is necessary to comply</w:t>
      </w:r>
      <w:r w:rsidR="00CF3116" w:rsidRPr="005E2D5D">
        <w:t xml:space="preserve"> with the requirements of </w:t>
      </w:r>
      <w:r w:rsidR="00C82DFD">
        <w:t xml:space="preserve">Order 04, as amended, and </w:t>
      </w:r>
      <w:r w:rsidR="00CF3116" w:rsidRPr="005E2D5D">
        <w:t>this Order.</w:t>
      </w:r>
    </w:p>
    <w:p w14:paraId="7D4E9018" w14:textId="77777777" w:rsidR="00CF3116" w:rsidRPr="005E2D5D" w:rsidRDefault="00CF3116" w:rsidP="00316FB9">
      <w:pPr>
        <w:spacing w:line="288" w:lineRule="auto"/>
      </w:pPr>
    </w:p>
    <w:p w14:paraId="49FAE4CD" w14:textId="77777777" w:rsidR="00CF3116" w:rsidRPr="005E2D5D" w:rsidRDefault="00903212" w:rsidP="00903212">
      <w:pPr>
        <w:numPr>
          <w:ilvl w:val="0"/>
          <w:numId w:val="19"/>
        </w:numPr>
        <w:spacing w:after="120" w:line="288" w:lineRule="auto"/>
        <w:ind w:left="720" w:hanging="1440"/>
        <w:rPr>
          <w:bCs/>
          <w:color w:val="000000"/>
        </w:rPr>
      </w:pPr>
      <w:r>
        <w:t>(3)</w:t>
      </w:r>
      <w:r>
        <w:tab/>
      </w:r>
      <w:r w:rsidR="00CF3116" w:rsidRPr="005E2D5D">
        <w:t xml:space="preserve">The Commission retains jurisdiction </w:t>
      </w:r>
      <w:r w:rsidR="00C82DFD">
        <w:t xml:space="preserve">to effectuate the terms of Order 04, as amended, and this </w:t>
      </w:r>
      <w:r w:rsidR="00CF3116" w:rsidRPr="005E2D5D">
        <w:t xml:space="preserve">Order. </w:t>
      </w:r>
    </w:p>
    <w:p w14:paraId="39285E85" w14:textId="77777777" w:rsidR="00CF3116" w:rsidRPr="005E2D5D" w:rsidRDefault="00CF3116" w:rsidP="00316FB9">
      <w:pPr>
        <w:spacing w:line="288" w:lineRule="auto"/>
      </w:pPr>
    </w:p>
    <w:p w14:paraId="5CBEEA2F" w14:textId="77777777" w:rsidR="00CF3116" w:rsidRPr="005E2D5D" w:rsidRDefault="00CF3116" w:rsidP="00316FB9">
      <w:pPr>
        <w:spacing w:line="288" w:lineRule="auto"/>
      </w:pPr>
      <w:r w:rsidRPr="005E2D5D">
        <w:t xml:space="preserve">Dated at Olympia, Washington, and effective </w:t>
      </w:r>
      <w:r w:rsidR="00C82DFD">
        <w:t>October 1, 2014</w:t>
      </w:r>
      <w:r w:rsidRPr="005E2D5D">
        <w:t>.</w:t>
      </w:r>
    </w:p>
    <w:p w14:paraId="232AED0F" w14:textId="77777777" w:rsidR="00CF3116" w:rsidRPr="005E2D5D" w:rsidRDefault="00CF3116" w:rsidP="00316FB9">
      <w:pPr>
        <w:spacing w:line="288" w:lineRule="auto"/>
      </w:pPr>
    </w:p>
    <w:p w14:paraId="40D52613" w14:textId="77777777" w:rsidR="00CF3116" w:rsidRPr="005E2D5D" w:rsidRDefault="00CF3116" w:rsidP="00316FB9">
      <w:pPr>
        <w:spacing w:line="288" w:lineRule="auto"/>
        <w:jc w:val="center"/>
      </w:pPr>
      <w:r w:rsidRPr="005E2D5D">
        <w:t>WASHINGTON UTILITIES AND TRANSPORTATION COMMISSION</w:t>
      </w:r>
    </w:p>
    <w:p w14:paraId="4C2287A2" w14:textId="77777777" w:rsidR="00CF3116" w:rsidRPr="005E2D5D" w:rsidRDefault="00CF3116" w:rsidP="00316FB9">
      <w:pPr>
        <w:spacing w:line="288" w:lineRule="auto"/>
      </w:pPr>
    </w:p>
    <w:p w14:paraId="63BA3ECC" w14:textId="77777777" w:rsidR="00CF3116" w:rsidRPr="005E2D5D" w:rsidRDefault="00CF3116" w:rsidP="00316FB9">
      <w:pPr>
        <w:spacing w:line="288" w:lineRule="auto"/>
      </w:pPr>
    </w:p>
    <w:p w14:paraId="7B07F5FE" w14:textId="77777777" w:rsidR="00CF3116" w:rsidRPr="005E2D5D" w:rsidRDefault="00CF3116" w:rsidP="00316FB9">
      <w:pPr>
        <w:spacing w:line="288" w:lineRule="auto"/>
      </w:pPr>
    </w:p>
    <w:p w14:paraId="7B7501F6" w14:textId="77777777" w:rsidR="00CF3116" w:rsidRPr="005E2D5D" w:rsidRDefault="00CF3116" w:rsidP="00316FB9">
      <w:pPr>
        <w:spacing w:line="288" w:lineRule="auto"/>
      </w:pPr>
      <w:r w:rsidRPr="005E2D5D">
        <w:tab/>
      </w:r>
      <w:r w:rsidRPr="005E2D5D">
        <w:tab/>
      </w:r>
      <w:r w:rsidRPr="005E2D5D">
        <w:tab/>
      </w:r>
      <w:r w:rsidRPr="005E2D5D">
        <w:tab/>
      </w:r>
      <w:r w:rsidRPr="005E2D5D">
        <w:tab/>
        <w:t>DAVID W. DANNER, Chairman</w:t>
      </w:r>
    </w:p>
    <w:p w14:paraId="52D941C3" w14:textId="77777777" w:rsidR="00CF3116" w:rsidRPr="005E2D5D" w:rsidRDefault="00CF3116" w:rsidP="00316FB9">
      <w:pPr>
        <w:spacing w:line="288" w:lineRule="auto"/>
      </w:pPr>
    </w:p>
    <w:p w14:paraId="73BCB85E" w14:textId="77777777" w:rsidR="00CF3116" w:rsidRPr="005E2D5D" w:rsidRDefault="00CF3116" w:rsidP="00316FB9">
      <w:pPr>
        <w:spacing w:line="288" w:lineRule="auto"/>
      </w:pPr>
    </w:p>
    <w:p w14:paraId="29F9E8E2" w14:textId="77777777" w:rsidR="00CF3116" w:rsidRPr="005E2D5D" w:rsidRDefault="00CF3116" w:rsidP="00316FB9">
      <w:pPr>
        <w:spacing w:line="288" w:lineRule="auto"/>
      </w:pPr>
    </w:p>
    <w:p w14:paraId="7367EDF4" w14:textId="77777777" w:rsidR="00CF3116" w:rsidRPr="005E2D5D" w:rsidRDefault="00CF3116" w:rsidP="00316FB9">
      <w:pPr>
        <w:spacing w:line="288" w:lineRule="auto"/>
      </w:pPr>
      <w:r w:rsidRPr="005E2D5D">
        <w:tab/>
      </w:r>
      <w:r w:rsidRPr="005E2D5D">
        <w:tab/>
      </w:r>
      <w:r w:rsidRPr="005E2D5D">
        <w:tab/>
      </w:r>
      <w:r w:rsidRPr="005E2D5D">
        <w:tab/>
      </w:r>
      <w:r w:rsidRPr="005E2D5D">
        <w:tab/>
        <w:t>PHILIP B. JONES, Commissioner</w:t>
      </w:r>
    </w:p>
    <w:p w14:paraId="7520B142" w14:textId="77777777" w:rsidR="00CF3116" w:rsidRPr="005E2D5D" w:rsidRDefault="00CF3116" w:rsidP="00316FB9">
      <w:pPr>
        <w:spacing w:line="288" w:lineRule="auto"/>
      </w:pPr>
    </w:p>
    <w:p w14:paraId="023D287E" w14:textId="77777777" w:rsidR="00CF3116" w:rsidRPr="005E2D5D" w:rsidRDefault="00CF3116" w:rsidP="00316FB9">
      <w:pPr>
        <w:spacing w:line="288" w:lineRule="auto"/>
      </w:pPr>
    </w:p>
    <w:p w14:paraId="7F471275" w14:textId="77777777" w:rsidR="00CF3116" w:rsidRPr="005E2D5D" w:rsidRDefault="00CF3116" w:rsidP="00316FB9">
      <w:pPr>
        <w:spacing w:line="288" w:lineRule="auto"/>
      </w:pPr>
    </w:p>
    <w:p w14:paraId="649C048C" w14:textId="77777777" w:rsidR="00CF3116" w:rsidRPr="005E2D5D" w:rsidRDefault="00CF3116" w:rsidP="00316FB9">
      <w:pPr>
        <w:spacing w:line="288" w:lineRule="auto"/>
        <w:ind w:left="2880" w:firstLine="720"/>
      </w:pPr>
      <w:r w:rsidRPr="005E2D5D">
        <w:t>JEFFREY D. GOLTZ, Commissioner</w:t>
      </w:r>
    </w:p>
    <w:p w14:paraId="50674AF2" w14:textId="77777777" w:rsidR="00CF3116" w:rsidRPr="005E2D5D" w:rsidRDefault="00CF3116" w:rsidP="00316FB9">
      <w:pPr>
        <w:spacing w:line="288" w:lineRule="auto"/>
      </w:pPr>
    </w:p>
    <w:p w14:paraId="25B308D2" w14:textId="77777777" w:rsidR="00CF3116" w:rsidRPr="005E2D5D" w:rsidRDefault="00CF3116" w:rsidP="00CF3116">
      <w:pPr>
        <w:spacing w:line="264" w:lineRule="auto"/>
      </w:pPr>
    </w:p>
    <w:sectPr w:rsidR="00CF3116" w:rsidRPr="005E2D5D" w:rsidSect="00CC032B">
      <w:headerReference w:type="default" r:id="rId8"/>
      <w:headerReference w:type="first" r:id="rId9"/>
      <w:type w:val="continuous"/>
      <w:pgSz w:w="12240" w:h="15840" w:code="1"/>
      <w:pgMar w:top="1440" w:right="1440" w:bottom="136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67C96" w14:textId="77777777" w:rsidR="00667D81" w:rsidRDefault="00667D81">
      <w:r>
        <w:separator/>
      </w:r>
    </w:p>
  </w:endnote>
  <w:endnote w:type="continuationSeparator" w:id="0">
    <w:p w14:paraId="2CE06435" w14:textId="77777777" w:rsidR="00667D81" w:rsidRDefault="00667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E5151" w14:textId="77777777" w:rsidR="00667D81" w:rsidRDefault="00667D81">
      <w:r>
        <w:separator/>
      </w:r>
    </w:p>
  </w:footnote>
  <w:footnote w:type="continuationSeparator" w:id="0">
    <w:p w14:paraId="69016319" w14:textId="77777777" w:rsidR="00667D81" w:rsidRDefault="00667D81">
      <w:r>
        <w:continuationSeparator/>
      </w:r>
    </w:p>
  </w:footnote>
  <w:footnote w:id="1">
    <w:p w14:paraId="69C97B70" w14:textId="77777777" w:rsidR="00E32C49" w:rsidRPr="00E32C49" w:rsidRDefault="00E32C49">
      <w:pPr>
        <w:pStyle w:val="FootnoteText"/>
        <w:rPr>
          <w:rFonts w:ascii="Times New Roman" w:hAnsi="Times New Roman"/>
          <w:sz w:val="22"/>
          <w:szCs w:val="22"/>
        </w:rPr>
      </w:pPr>
      <w:r w:rsidRPr="00E32C49">
        <w:rPr>
          <w:rStyle w:val="FootnoteReference"/>
        </w:rPr>
        <w:footnoteRef/>
      </w:r>
      <w:r w:rsidRPr="00E32C49">
        <w:rPr>
          <w:rFonts w:ascii="Times New Roman" w:hAnsi="Times New Roman"/>
          <w:sz w:val="22"/>
          <w:szCs w:val="22"/>
        </w:rPr>
        <w:t xml:space="preserve"> Order 04 </w:t>
      </w:r>
      <w:r w:rsidRPr="00E32C49">
        <w:rPr>
          <w:rFonts w:ascii="Times New Roman" w:hAnsi="Times New Roman"/>
          <w:i/>
          <w:sz w:val="22"/>
          <w:szCs w:val="22"/>
        </w:rPr>
        <w:t>Synopsis.</w:t>
      </w:r>
      <w:r w:rsidRPr="00E32C49">
        <w:rPr>
          <w:rFonts w:ascii="Times New Roman" w:hAnsi="Times New Roman"/>
          <w:sz w:val="22"/>
          <w:szCs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7957C" w14:textId="77777777" w:rsidR="00E1705A" w:rsidRPr="00A3058F" w:rsidRDefault="00E1705A">
    <w:pPr>
      <w:pStyle w:val="Header"/>
      <w:tabs>
        <w:tab w:val="left" w:pos="7500"/>
      </w:tabs>
      <w:rPr>
        <w:rStyle w:val="PageNumber"/>
        <w:b/>
        <w:sz w:val="20"/>
        <w:szCs w:val="20"/>
      </w:rPr>
    </w:pPr>
    <w:r w:rsidRPr="00A3058F">
      <w:rPr>
        <w:b/>
        <w:sz w:val="20"/>
        <w:szCs w:val="20"/>
      </w:rPr>
      <w:t xml:space="preserve">DOCKET </w:t>
    </w:r>
    <w:r>
      <w:rPr>
        <w:b/>
        <w:sz w:val="20"/>
        <w:szCs w:val="20"/>
      </w:rPr>
      <w:t>UE-132027</w:t>
    </w:r>
    <w:r w:rsidRPr="00A3058F">
      <w:rPr>
        <w:b/>
        <w:sz w:val="20"/>
        <w:szCs w:val="20"/>
      </w:rPr>
      <w:tab/>
    </w:r>
    <w:r w:rsidRPr="00A3058F">
      <w:rPr>
        <w:b/>
        <w:sz w:val="20"/>
        <w:szCs w:val="20"/>
      </w:rPr>
      <w:tab/>
    </w:r>
    <w:r w:rsidRPr="00A3058F">
      <w:rPr>
        <w:b/>
        <w:sz w:val="20"/>
        <w:szCs w:val="20"/>
      </w:rPr>
      <w:tab/>
      <w:t xml:space="preserve">PAGE </w:t>
    </w:r>
    <w:r w:rsidRPr="00A3058F">
      <w:rPr>
        <w:rStyle w:val="PageNumber"/>
        <w:b/>
        <w:sz w:val="20"/>
        <w:szCs w:val="20"/>
      </w:rPr>
      <w:fldChar w:fldCharType="begin"/>
    </w:r>
    <w:r w:rsidRPr="00A3058F">
      <w:rPr>
        <w:rStyle w:val="PageNumber"/>
        <w:b/>
        <w:sz w:val="20"/>
        <w:szCs w:val="20"/>
      </w:rPr>
      <w:instrText xml:space="preserve"> PAGE </w:instrText>
    </w:r>
    <w:r w:rsidRPr="00A3058F">
      <w:rPr>
        <w:rStyle w:val="PageNumber"/>
        <w:b/>
        <w:sz w:val="20"/>
        <w:szCs w:val="20"/>
      </w:rPr>
      <w:fldChar w:fldCharType="separate"/>
    </w:r>
    <w:r w:rsidR="0046226A">
      <w:rPr>
        <w:rStyle w:val="PageNumber"/>
        <w:b/>
        <w:noProof/>
        <w:sz w:val="20"/>
        <w:szCs w:val="20"/>
      </w:rPr>
      <w:t>5</w:t>
    </w:r>
    <w:r w:rsidRPr="00A3058F">
      <w:rPr>
        <w:rStyle w:val="PageNumber"/>
        <w:b/>
        <w:sz w:val="20"/>
        <w:szCs w:val="20"/>
      </w:rPr>
      <w:fldChar w:fldCharType="end"/>
    </w:r>
  </w:p>
  <w:p w14:paraId="033E749E" w14:textId="77777777" w:rsidR="00E1705A" w:rsidRPr="00A3058F" w:rsidRDefault="00E1705A">
    <w:pPr>
      <w:pStyle w:val="Header"/>
      <w:tabs>
        <w:tab w:val="left" w:pos="7500"/>
      </w:tabs>
      <w:rPr>
        <w:b/>
        <w:sz w:val="20"/>
        <w:szCs w:val="20"/>
      </w:rPr>
    </w:pPr>
    <w:r w:rsidRPr="00A3058F">
      <w:rPr>
        <w:b/>
        <w:sz w:val="20"/>
        <w:szCs w:val="20"/>
      </w:rPr>
      <w:t>ORDER 0</w:t>
    </w:r>
    <w:r w:rsidR="00C82DFD">
      <w:rPr>
        <w:b/>
        <w:sz w:val="20"/>
        <w:szCs w:val="20"/>
      </w:rPr>
      <w:t>5</w:t>
    </w:r>
  </w:p>
  <w:p w14:paraId="0E0C7837" w14:textId="77777777" w:rsidR="00E1705A" w:rsidRPr="00A3058F" w:rsidRDefault="00E1705A">
    <w:pPr>
      <w:pStyle w:val="Header"/>
      <w:tabs>
        <w:tab w:val="left" w:pos="75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6703B" w14:textId="7B9D7715" w:rsidR="00E1705A" w:rsidRPr="00521646" w:rsidRDefault="00E1705A" w:rsidP="009862A0">
    <w:pPr>
      <w:pStyle w:val="Header"/>
      <w:tabs>
        <w:tab w:val="clear" w:pos="4320"/>
        <w:tab w:val="clear" w:pos="8640"/>
        <w:tab w:val="right" w:pos="8500"/>
      </w:tabs>
      <w:rPr>
        <w:b/>
        <w:sz w:val="20"/>
        <w:szCs w:val="20"/>
      </w:rPr>
    </w:pPr>
    <w:r w:rsidRPr="00521646">
      <w:rPr>
        <w:b/>
        <w:sz w:val="20"/>
        <w:szCs w:val="20"/>
      </w:rPr>
      <w:tab/>
    </w:r>
    <w:r w:rsidR="00660D91">
      <w:rPr>
        <w:b/>
        <w:sz w:val="20"/>
        <w:szCs w:val="20"/>
      </w:rPr>
      <w:t>[Service Date October 1,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7170C"/>
    <w:multiLevelType w:val="hybridMultilevel"/>
    <w:tmpl w:val="43EC136C"/>
    <w:lvl w:ilvl="0" w:tplc="FA9843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06DF45E7"/>
    <w:multiLevelType w:val="hybridMultilevel"/>
    <w:tmpl w:val="E20EB4BE"/>
    <w:lvl w:ilvl="0" w:tplc="2F06520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DD5817"/>
    <w:multiLevelType w:val="hybridMultilevel"/>
    <w:tmpl w:val="063C7670"/>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163C2550"/>
    <w:multiLevelType w:val="multilevel"/>
    <w:tmpl w:val="3A3C9A0C"/>
    <w:lvl w:ilvl="0">
      <w:start w:val="1"/>
      <w:numFmt w:val="decimal"/>
      <w:lvlText w:val="%1"/>
      <w:lvlJc w:val="left"/>
      <w:pPr>
        <w:tabs>
          <w:tab w:val="num" w:pos="720"/>
        </w:tabs>
        <w:ind w:left="720" w:hanging="720"/>
      </w:pPr>
      <w:rPr>
        <w:rFonts w:ascii="Times New Roman" w:hAnsi="Times New Roman" w:hint="default"/>
        <w:b w:val="0"/>
        <w:i/>
        <w:sz w:val="22"/>
        <w:szCs w:val="22"/>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3"/>
      <w:numFmt w:val="decimal"/>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7444567"/>
    <w:multiLevelType w:val="hybridMultilevel"/>
    <w:tmpl w:val="3912E99C"/>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D81143B"/>
    <w:multiLevelType w:val="hybridMultilevel"/>
    <w:tmpl w:val="B4280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C3537B"/>
    <w:multiLevelType w:val="hybridMultilevel"/>
    <w:tmpl w:val="9998F99E"/>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C46A43"/>
    <w:multiLevelType w:val="multilevel"/>
    <w:tmpl w:val="C2F84D30"/>
    <w:lvl w:ilvl="0">
      <w:start w:val="1"/>
      <w:numFmt w:val="decimal"/>
      <w:lvlText w:val="%1"/>
      <w:lvlJc w:val="left"/>
      <w:pPr>
        <w:tabs>
          <w:tab w:val="num" w:pos="0"/>
        </w:tabs>
        <w:ind w:left="0" w:hanging="1080"/>
      </w:pPr>
      <w:rPr>
        <w:rFonts w:hint="default"/>
        <w:b w:val="0"/>
        <w:i/>
        <w:sz w:val="2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0AF1669"/>
    <w:multiLevelType w:val="hybridMultilevel"/>
    <w:tmpl w:val="409C0E66"/>
    <w:lvl w:ilvl="0" w:tplc="B94AD162">
      <w:start w:val="1"/>
      <w:numFmt w:val="decimal"/>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171526"/>
    <w:multiLevelType w:val="hybridMultilevel"/>
    <w:tmpl w:val="9998F99E"/>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76C2650"/>
    <w:multiLevelType w:val="hybridMultilevel"/>
    <w:tmpl w:val="019899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D333208"/>
    <w:multiLevelType w:val="hybridMultilevel"/>
    <w:tmpl w:val="7256B65E"/>
    <w:lvl w:ilvl="0" w:tplc="9D044C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3A4233"/>
    <w:multiLevelType w:val="hybridMultilevel"/>
    <w:tmpl w:val="3A3C9A0C"/>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2F03DA2">
      <w:start w:val="3"/>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C401D61"/>
    <w:multiLevelType w:val="hybridMultilevel"/>
    <w:tmpl w:val="D59E93A8"/>
    <w:lvl w:ilvl="0" w:tplc="04090001">
      <w:start w:val="3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424D29"/>
    <w:multiLevelType w:val="multilevel"/>
    <w:tmpl w:val="8F2CFDA2"/>
    <w:lvl w:ilvl="0">
      <w:start w:val="1"/>
      <w:numFmt w:val="decimal"/>
      <w:lvlText w:val="%1"/>
      <w:lvlJc w:val="left"/>
      <w:pPr>
        <w:tabs>
          <w:tab w:val="num" w:pos="0"/>
        </w:tabs>
        <w:ind w:left="0" w:hanging="1080"/>
      </w:pPr>
      <w:rPr>
        <w:rFonts w:hint="default"/>
        <w:b w:val="0"/>
        <w:i/>
        <w:sz w:val="20"/>
      </w:rPr>
    </w:lvl>
    <w:lvl w:ilvl="1">
      <w:start w:val="4"/>
      <w:numFmt w:val="decimal"/>
      <w:lvlText w:val="%2."/>
      <w:lvlJc w:val="left"/>
      <w:pPr>
        <w:tabs>
          <w:tab w:val="num" w:pos="1800"/>
        </w:tabs>
        <w:ind w:left="1800" w:hanging="720"/>
      </w:pPr>
      <w:rPr>
        <w:rFonts w:hint="default"/>
      </w:rPr>
    </w:lvl>
    <w:lvl w:ilvl="2">
      <w:start w:val="5"/>
      <w:numFmt w:val="bullet"/>
      <w:lvlText w:val=""/>
      <w:lvlJc w:val="left"/>
      <w:pPr>
        <w:tabs>
          <w:tab w:val="num" w:pos="2340"/>
        </w:tabs>
        <w:ind w:left="234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311639"/>
    <w:multiLevelType w:val="hybridMultilevel"/>
    <w:tmpl w:val="72884F2A"/>
    <w:lvl w:ilvl="0" w:tplc="9056B51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FF00B07"/>
    <w:multiLevelType w:val="hybridMultilevel"/>
    <w:tmpl w:val="4FFE2638"/>
    <w:lvl w:ilvl="0" w:tplc="18C6E628">
      <w:start w:val="1"/>
      <w:numFmt w:val="upperLetter"/>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387408"/>
    <w:multiLevelType w:val="hybridMultilevel"/>
    <w:tmpl w:val="29D6530E"/>
    <w:lvl w:ilvl="0" w:tplc="4204FB58">
      <w:start w:val="2"/>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nsid w:val="451879A2"/>
    <w:multiLevelType w:val="hybridMultilevel"/>
    <w:tmpl w:val="F9CA7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4CD25658"/>
    <w:multiLevelType w:val="hybridMultilevel"/>
    <w:tmpl w:val="86247DF2"/>
    <w:lvl w:ilvl="0" w:tplc="3E7C9E18">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nsid w:val="57215C1B"/>
    <w:multiLevelType w:val="hybridMultilevel"/>
    <w:tmpl w:val="F9D6285C"/>
    <w:lvl w:ilvl="0" w:tplc="442A5D52">
      <w:start w:val="1"/>
      <w:numFmt w:val="decimal"/>
      <w:lvlText w:val="%1"/>
      <w:lvlJc w:val="left"/>
      <w:pPr>
        <w:ind w:left="0" w:hanging="720"/>
      </w:pPr>
      <w:rPr>
        <w:rFonts w:ascii="Times New Roman" w:hAnsi="Times New Roman" w:hint="default"/>
        <w:b w:val="0"/>
        <w:i/>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nsid w:val="5D873E58"/>
    <w:multiLevelType w:val="hybridMultilevel"/>
    <w:tmpl w:val="CD5E329C"/>
    <w:lvl w:ilvl="0" w:tplc="237A833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A82E67"/>
    <w:multiLevelType w:val="hybridMultilevel"/>
    <w:tmpl w:val="7282525C"/>
    <w:lvl w:ilvl="0" w:tplc="D7E4E3D2">
      <w:start w:val="1"/>
      <w:numFmt w:val="decimal"/>
      <w:lvlText w:val="%1"/>
      <w:lvlJc w:val="left"/>
      <w:pPr>
        <w:tabs>
          <w:tab w:val="num" w:pos="0"/>
        </w:tabs>
        <w:ind w:left="0" w:hanging="360"/>
      </w:pPr>
      <w:rPr>
        <w:rFonts w:ascii="Palatino Linotype" w:hAnsi="Palatino Linotype" w:hint="default"/>
        <w:b w:val="0"/>
        <w:i/>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2D2DC2"/>
    <w:multiLevelType w:val="hybridMultilevel"/>
    <w:tmpl w:val="0EE49B26"/>
    <w:lvl w:ilvl="0" w:tplc="A5F059CE">
      <w:start w:val="1"/>
      <w:numFmt w:val="bullet"/>
      <w:pStyle w:val="notestyleDM"/>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AA32DC"/>
    <w:multiLevelType w:val="hybridMultilevel"/>
    <w:tmpl w:val="0DA6058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1440"/>
        </w:tabs>
        <w:ind w:left="1440" w:hanging="360"/>
      </w:pPr>
      <w:rPr>
        <w:rFonts w:ascii="Times New Roman" w:eastAsia="Times New Roman" w:hAnsi="Times New Roman" w:cs="Times New Roman"/>
      </w:rPr>
    </w:lvl>
    <w:lvl w:ilvl="2" w:tplc="39640320">
      <w:start w:val="1"/>
      <w:numFmt w:val="decimal"/>
      <w:lvlText w:val="%3."/>
      <w:lvlJc w:val="right"/>
      <w:pPr>
        <w:tabs>
          <w:tab w:val="num" w:pos="2160"/>
        </w:tabs>
        <w:ind w:left="216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1B">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8"/>
  </w:num>
  <w:num w:numId="2">
    <w:abstractNumId w:val="27"/>
  </w:num>
  <w:num w:numId="3">
    <w:abstractNumId w:val="4"/>
  </w:num>
  <w:num w:numId="4">
    <w:abstractNumId w:val="35"/>
  </w:num>
  <w:num w:numId="5">
    <w:abstractNumId w:val="7"/>
  </w:num>
  <w:num w:numId="6">
    <w:abstractNumId w:val="29"/>
  </w:num>
  <w:num w:numId="7">
    <w:abstractNumId w:val="17"/>
  </w:num>
  <w:num w:numId="8">
    <w:abstractNumId w:val="34"/>
  </w:num>
  <w:num w:numId="9">
    <w:abstractNumId w:val="25"/>
  </w:num>
  <w:num w:numId="10">
    <w:abstractNumId w:val="9"/>
  </w:num>
  <w:num w:numId="11">
    <w:abstractNumId w:val="16"/>
  </w:num>
  <w:num w:numId="12">
    <w:abstractNumId w:val="33"/>
  </w:num>
  <w:num w:numId="13">
    <w:abstractNumId w:val="1"/>
  </w:num>
  <w:num w:numId="14">
    <w:abstractNumId w:val="5"/>
  </w:num>
  <w:num w:numId="15">
    <w:abstractNumId w:val="11"/>
  </w:num>
  <w:num w:numId="16">
    <w:abstractNumId w:val="9"/>
  </w:num>
  <w:num w:numId="17">
    <w:abstractNumId w:val="20"/>
  </w:num>
  <w:num w:numId="18">
    <w:abstractNumId w:val="14"/>
  </w:num>
  <w:num w:numId="19">
    <w:abstractNumId w:val="13"/>
  </w:num>
  <w:num w:numId="20">
    <w:abstractNumId w:val="31"/>
  </w:num>
  <w:num w:numId="21">
    <w:abstractNumId w:val="19"/>
  </w:num>
  <w:num w:numId="22">
    <w:abstractNumId w:val="0"/>
  </w:num>
  <w:num w:numId="23">
    <w:abstractNumId w:val="15"/>
  </w:num>
  <w:num w:numId="24">
    <w:abstractNumId w:val="32"/>
  </w:num>
  <w:num w:numId="25">
    <w:abstractNumId w:val="30"/>
  </w:num>
  <w:num w:numId="26">
    <w:abstractNumId w:val="2"/>
  </w:num>
  <w:num w:numId="27">
    <w:abstractNumId w:val="24"/>
  </w:num>
  <w:num w:numId="28">
    <w:abstractNumId w:val="23"/>
  </w:num>
  <w:num w:numId="29">
    <w:abstractNumId w:val="28"/>
  </w:num>
  <w:num w:numId="30">
    <w:abstractNumId w:val="8"/>
  </w:num>
  <w:num w:numId="31">
    <w:abstractNumId w:val="26"/>
  </w:num>
  <w:num w:numId="32">
    <w:abstractNumId w:val="26"/>
  </w:num>
  <w:num w:numId="33">
    <w:abstractNumId w:val="22"/>
  </w:num>
  <w:num w:numId="34">
    <w:abstractNumId w:val="22"/>
  </w:num>
  <w:num w:numId="35">
    <w:abstractNumId w:val="22"/>
  </w:num>
  <w:num w:numId="36">
    <w:abstractNumId w:val="22"/>
  </w:num>
  <w:num w:numId="37">
    <w:abstractNumId w:val="12"/>
  </w:num>
  <w:num w:numId="38">
    <w:abstractNumId w:val="22"/>
    <w:lvlOverride w:ilvl="0">
      <w:startOverride w:val="1"/>
    </w:lvlOverride>
  </w:num>
  <w:num w:numId="39">
    <w:abstractNumId w:val="3"/>
  </w:num>
  <w:num w:numId="40">
    <w:abstractNumId w:val="26"/>
  </w:num>
  <w:num w:numId="41">
    <w:abstractNumId w:val="22"/>
  </w:num>
  <w:num w:numId="42">
    <w:abstractNumId w:val="6"/>
  </w:num>
  <w:num w:numId="43">
    <w:abstractNumId w:val="1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3D"/>
    <w:rsid w:val="00002EE5"/>
    <w:rsid w:val="000100CA"/>
    <w:rsid w:val="00011B2E"/>
    <w:rsid w:val="00012302"/>
    <w:rsid w:val="000126FF"/>
    <w:rsid w:val="00012F81"/>
    <w:rsid w:val="00015897"/>
    <w:rsid w:val="00016470"/>
    <w:rsid w:val="0002190D"/>
    <w:rsid w:val="000224B4"/>
    <w:rsid w:val="00024C91"/>
    <w:rsid w:val="0003401E"/>
    <w:rsid w:val="00036F4B"/>
    <w:rsid w:val="000375E7"/>
    <w:rsid w:val="00040FA7"/>
    <w:rsid w:val="000444DD"/>
    <w:rsid w:val="00046964"/>
    <w:rsid w:val="00046A24"/>
    <w:rsid w:val="000506F2"/>
    <w:rsid w:val="00052045"/>
    <w:rsid w:val="000534DF"/>
    <w:rsid w:val="00057E9B"/>
    <w:rsid w:val="00067701"/>
    <w:rsid w:val="00067B59"/>
    <w:rsid w:val="00070E24"/>
    <w:rsid w:val="00081680"/>
    <w:rsid w:val="00081A6D"/>
    <w:rsid w:val="000876D7"/>
    <w:rsid w:val="00087A65"/>
    <w:rsid w:val="00091417"/>
    <w:rsid w:val="000A18F8"/>
    <w:rsid w:val="000A600A"/>
    <w:rsid w:val="000A6204"/>
    <w:rsid w:val="000A6BF2"/>
    <w:rsid w:val="000A77B4"/>
    <w:rsid w:val="000B4021"/>
    <w:rsid w:val="000B78B6"/>
    <w:rsid w:val="000C1BF5"/>
    <w:rsid w:val="000C21DB"/>
    <w:rsid w:val="000C653A"/>
    <w:rsid w:val="000D1807"/>
    <w:rsid w:val="000D22E9"/>
    <w:rsid w:val="000D2C60"/>
    <w:rsid w:val="000D3EE4"/>
    <w:rsid w:val="000E01E0"/>
    <w:rsid w:val="000E1D2F"/>
    <w:rsid w:val="000E2E96"/>
    <w:rsid w:val="000E3528"/>
    <w:rsid w:val="000E41CE"/>
    <w:rsid w:val="000E7116"/>
    <w:rsid w:val="000F2CED"/>
    <w:rsid w:val="001066EB"/>
    <w:rsid w:val="00107369"/>
    <w:rsid w:val="00122A12"/>
    <w:rsid w:val="001303FC"/>
    <w:rsid w:val="00130FA5"/>
    <w:rsid w:val="0013106B"/>
    <w:rsid w:val="0013599E"/>
    <w:rsid w:val="00135F80"/>
    <w:rsid w:val="00136AF7"/>
    <w:rsid w:val="001413A3"/>
    <w:rsid w:val="00147601"/>
    <w:rsid w:val="00161D01"/>
    <w:rsid w:val="001667C2"/>
    <w:rsid w:val="0017663A"/>
    <w:rsid w:val="0018030F"/>
    <w:rsid w:val="0018590D"/>
    <w:rsid w:val="00185FBE"/>
    <w:rsid w:val="00190527"/>
    <w:rsid w:val="00190C26"/>
    <w:rsid w:val="001932E5"/>
    <w:rsid w:val="001968F4"/>
    <w:rsid w:val="001A1724"/>
    <w:rsid w:val="001A3C13"/>
    <w:rsid w:val="001A6F8D"/>
    <w:rsid w:val="001B01C8"/>
    <w:rsid w:val="001B5A4D"/>
    <w:rsid w:val="001B76E5"/>
    <w:rsid w:val="001C005B"/>
    <w:rsid w:val="001C34CB"/>
    <w:rsid w:val="001C4704"/>
    <w:rsid w:val="001C578F"/>
    <w:rsid w:val="001C61D5"/>
    <w:rsid w:val="001D02D8"/>
    <w:rsid w:val="001D0B39"/>
    <w:rsid w:val="001D0C18"/>
    <w:rsid w:val="001D1E3A"/>
    <w:rsid w:val="001D2AC0"/>
    <w:rsid w:val="001D7A12"/>
    <w:rsid w:val="001E1A26"/>
    <w:rsid w:val="001E224F"/>
    <w:rsid w:val="001E29EE"/>
    <w:rsid w:val="001E7EA4"/>
    <w:rsid w:val="001F042B"/>
    <w:rsid w:val="001F470A"/>
    <w:rsid w:val="00207E4E"/>
    <w:rsid w:val="00210B72"/>
    <w:rsid w:val="00212306"/>
    <w:rsid w:val="002130A7"/>
    <w:rsid w:val="00216B93"/>
    <w:rsid w:val="00222C70"/>
    <w:rsid w:val="0022415B"/>
    <w:rsid w:val="002267F5"/>
    <w:rsid w:val="0023263D"/>
    <w:rsid w:val="00237DCB"/>
    <w:rsid w:val="002431E0"/>
    <w:rsid w:val="0024359B"/>
    <w:rsid w:val="00247F5F"/>
    <w:rsid w:val="00250A0C"/>
    <w:rsid w:val="002532D8"/>
    <w:rsid w:val="00257871"/>
    <w:rsid w:val="00263F84"/>
    <w:rsid w:val="00267DD6"/>
    <w:rsid w:val="0027078C"/>
    <w:rsid w:val="00274C94"/>
    <w:rsid w:val="00274CE7"/>
    <w:rsid w:val="00275D98"/>
    <w:rsid w:val="002764E8"/>
    <w:rsid w:val="002809CC"/>
    <w:rsid w:val="00286EBB"/>
    <w:rsid w:val="00290475"/>
    <w:rsid w:val="002905AB"/>
    <w:rsid w:val="002946FB"/>
    <w:rsid w:val="00294903"/>
    <w:rsid w:val="002959DD"/>
    <w:rsid w:val="00295B5D"/>
    <w:rsid w:val="002A1059"/>
    <w:rsid w:val="002A42D7"/>
    <w:rsid w:val="002A758B"/>
    <w:rsid w:val="002B0304"/>
    <w:rsid w:val="002B0A13"/>
    <w:rsid w:val="002B186E"/>
    <w:rsid w:val="002B5C1F"/>
    <w:rsid w:val="002B68BD"/>
    <w:rsid w:val="002C2EDF"/>
    <w:rsid w:val="002D64F4"/>
    <w:rsid w:val="002D7F20"/>
    <w:rsid w:val="002E00BE"/>
    <w:rsid w:val="002E0AAB"/>
    <w:rsid w:val="002E318E"/>
    <w:rsid w:val="002E40C4"/>
    <w:rsid w:val="002E5B65"/>
    <w:rsid w:val="002E736F"/>
    <w:rsid w:val="002F0E05"/>
    <w:rsid w:val="002F288C"/>
    <w:rsid w:val="002F486E"/>
    <w:rsid w:val="002F4B2B"/>
    <w:rsid w:val="002F792B"/>
    <w:rsid w:val="00301121"/>
    <w:rsid w:val="0030533C"/>
    <w:rsid w:val="00311D59"/>
    <w:rsid w:val="003123EC"/>
    <w:rsid w:val="00316FB9"/>
    <w:rsid w:val="00320FEB"/>
    <w:rsid w:val="00322CF6"/>
    <w:rsid w:val="00333288"/>
    <w:rsid w:val="0033633C"/>
    <w:rsid w:val="0033680A"/>
    <w:rsid w:val="00336BC4"/>
    <w:rsid w:val="003370BA"/>
    <w:rsid w:val="00340173"/>
    <w:rsid w:val="00341F6A"/>
    <w:rsid w:val="0035524F"/>
    <w:rsid w:val="00361933"/>
    <w:rsid w:val="003633BB"/>
    <w:rsid w:val="00374B9D"/>
    <w:rsid w:val="00377FF4"/>
    <w:rsid w:val="00380F34"/>
    <w:rsid w:val="003814A6"/>
    <w:rsid w:val="00393211"/>
    <w:rsid w:val="00394F38"/>
    <w:rsid w:val="00396EAF"/>
    <w:rsid w:val="003B0431"/>
    <w:rsid w:val="003B0F23"/>
    <w:rsid w:val="003C1834"/>
    <w:rsid w:val="003C18CA"/>
    <w:rsid w:val="003C222D"/>
    <w:rsid w:val="003C5F8F"/>
    <w:rsid w:val="003C702E"/>
    <w:rsid w:val="003C72A6"/>
    <w:rsid w:val="003D6235"/>
    <w:rsid w:val="003D635E"/>
    <w:rsid w:val="003E0376"/>
    <w:rsid w:val="003E1642"/>
    <w:rsid w:val="003E226A"/>
    <w:rsid w:val="003E27CD"/>
    <w:rsid w:val="003E34C4"/>
    <w:rsid w:val="003E3E5B"/>
    <w:rsid w:val="003E42A9"/>
    <w:rsid w:val="003F3BC8"/>
    <w:rsid w:val="003F5BE3"/>
    <w:rsid w:val="00401334"/>
    <w:rsid w:val="00415CF5"/>
    <w:rsid w:val="00416279"/>
    <w:rsid w:val="00417422"/>
    <w:rsid w:val="00426D95"/>
    <w:rsid w:val="004375B1"/>
    <w:rsid w:val="00442943"/>
    <w:rsid w:val="00451CE6"/>
    <w:rsid w:val="0045502F"/>
    <w:rsid w:val="004569EA"/>
    <w:rsid w:val="0046226A"/>
    <w:rsid w:val="00471825"/>
    <w:rsid w:val="00471A92"/>
    <w:rsid w:val="00471CF2"/>
    <w:rsid w:val="00474FC4"/>
    <w:rsid w:val="00492B1F"/>
    <w:rsid w:val="00493DF0"/>
    <w:rsid w:val="00495E43"/>
    <w:rsid w:val="004963E4"/>
    <w:rsid w:val="00496F1A"/>
    <w:rsid w:val="004A1334"/>
    <w:rsid w:val="004A374F"/>
    <w:rsid w:val="004A50F1"/>
    <w:rsid w:val="004A6C62"/>
    <w:rsid w:val="004B161B"/>
    <w:rsid w:val="004B2D89"/>
    <w:rsid w:val="004B3C0B"/>
    <w:rsid w:val="004B5CFA"/>
    <w:rsid w:val="004B6F62"/>
    <w:rsid w:val="004C03EC"/>
    <w:rsid w:val="004C0855"/>
    <w:rsid w:val="004C250E"/>
    <w:rsid w:val="004C3F19"/>
    <w:rsid w:val="004C42C7"/>
    <w:rsid w:val="004D2B55"/>
    <w:rsid w:val="004D41BB"/>
    <w:rsid w:val="004D425B"/>
    <w:rsid w:val="004D5C4D"/>
    <w:rsid w:val="004D7633"/>
    <w:rsid w:val="004E1AF3"/>
    <w:rsid w:val="004E317B"/>
    <w:rsid w:val="004E3C51"/>
    <w:rsid w:val="004E42BD"/>
    <w:rsid w:val="004F0424"/>
    <w:rsid w:val="004F57A2"/>
    <w:rsid w:val="004F5D4C"/>
    <w:rsid w:val="004F5DCF"/>
    <w:rsid w:val="004F6156"/>
    <w:rsid w:val="00500C2F"/>
    <w:rsid w:val="005065A9"/>
    <w:rsid w:val="00507028"/>
    <w:rsid w:val="00521646"/>
    <w:rsid w:val="00521E4D"/>
    <w:rsid w:val="005236C5"/>
    <w:rsid w:val="00532CAF"/>
    <w:rsid w:val="005332E5"/>
    <w:rsid w:val="005336ED"/>
    <w:rsid w:val="005578B1"/>
    <w:rsid w:val="005630D8"/>
    <w:rsid w:val="005642D6"/>
    <w:rsid w:val="0056673D"/>
    <w:rsid w:val="00570C79"/>
    <w:rsid w:val="00582742"/>
    <w:rsid w:val="00582845"/>
    <w:rsid w:val="0058553B"/>
    <w:rsid w:val="00590978"/>
    <w:rsid w:val="00592F9C"/>
    <w:rsid w:val="005A154B"/>
    <w:rsid w:val="005A1F34"/>
    <w:rsid w:val="005A2AC2"/>
    <w:rsid w:val="005A2B62"/>
    <w:rsid w:val="005A37BC"/>
    <w:rsid w:val="005A56CA"/>
    <w:rsid w:val="005A608F"/>
    <w:rsid w:val="005B10AA"/>
    <w:rsid w:val="005B207C"/>
    <w:rsid w:val="005B5D7A"/>
    <w:rsid w:val="005C2084"/>
    <w:rsid w:val="005C28E6"/>
    <w:rsid w:val="005D253D"/>
    <w:rsid w:val="005D4BB9"/>
    <w:rsid w:val="005D7208"/>
    <w:rsid w:val="005D7455"/>
    <w:rsid w:val="005D7C62"/>
    <w:rsid w:val="005E2D5D"/>
    <w:rsid w:val="005E2EFB"/>
    <w:rsid w:val="005E30F7"/>
    <w:rsid w:val="005E4BD9"/>
    <w:rsid w:val="005E6C9D"/>
    <w:rsid w:val="005E7CA9"/>
    <w:rsid w:val="0060027A"/>
    <w:rsid w:val="00602EBF"/>
    <w:rsid w:val="0061461F"/>
    <w:rsid w:val="0062259C"/>
    <w:rsid w:val="0062391D"/>
    <w:rsid w:val="00625F04"/>
    <w:rsid w:val="00634001"/>
    <w:rsid w:val="00636D1F"/>
    <w:rsid w:val="006418A3"/>
    <w:rsid w:val="006443DF"/>
    <w:rsid w:val="00644A89"/>
    <w:rsid w:val="0064523D"/>
    <w:rsid w:val="006463BF"/>
    <w:rsid w:val="00653E70"/>
    <w:rsid w:val="00657C3C"/>
    <w:rsid w:val="00660D91"/>
    <w:rsid w:val="00661B90"/>
    <w:rsid w:val="00666846"/>
    <w:rsid w:val="00667D81"/>
    <w:rsid w:val="00671CE0"/>
    <w:rsid w:val="006767ED"/>
    <w:rsid w:val="0069125A"/>
    <w:rsid w:val="0069350F"/>
    <w:rsid w:val="006956BB"/>
    <w:rsid w:val="00695E6C"/>
    <w:rsid w:val="006961E7"/>
    <w:rsid w:val="00697201"/>
    <w:rsid w:val="006974ED"/>
    <w:rsid w:val="006A4691"/>
    <w:rsid w:val="006A5307"/>
    <w:rsid w:val="006A661A"/>
    <w:rsid w:val="006A663D"/>
    <w:rsid w:val="006A75AF"/>
    <w:rsid w:val="006B5141"/>
    <w:rsid w:val="006B7DFD"/>
    <w:rsid w:val="006C064D"/>
    <w:rsid w:val="006C0E03"/>
    <w:rsid w:val="006C48F0"/>
    <w:rsid w:val="006C6124"/>
    <w:rsid w:val="006C71CD"/>
    <w:rsid w:val="006D7072"/>
    <w:rsid w:val="006D7835"/>
    <w:rsid w:val="006E1E9F"/>
    <w:rsid w:val="006E29D9"/>
    <w:rsid w:val="006E33BA"/>
    <w:rsid w:val="006E4A01"/>
    <w:rsid w:val="006E7505"/>
    <w:rsid w:val="006F1F39"/>
    <w:rsid w:val="006F2AE2"/>
    <w:rsid w:val="00704413"/>
    <w:rsid w:val="007052DC"/>
    <w:rsid w:val="00705F32"/>
    <w:rsid w:val="0070729B"/>
    <w:rsid w:val="007120CA"/>
    <w:rsid w:val="007156B1"/>
    <w:rsid w:val="00717FC2"/>
    <w:rsid w:val="00721529"/>
    <w:rsid w:val="00721611"/>
    <w:rsid w:val="00725F27"/>
    <w:rsid w:val="00732D71"/>
    <w:rsid w:val="00736E24"/>
    <w:rsid w:val="00740ED6"/>
    <w:rsid w:val="0075002E"/>
    <w:rsid w:val="0075555A"/>
    <w:rsid w:val="007558D0"/>
    <w:rsid w:val="00757D5C"/>
    <w:rsid w:val="00764420"/>
    <w:rsid w:val="00764CD5"/>
    <w:rsid w:val="00765FAD"/>
    <w:rsid w:val="007701FD"/>
    <w:rsid w:val="0077090B"/>
    <w:rsid w:val="00770C46"/>
    <w:rsid w:val="0077744C"/>
    <w:rsid w:val="007825EA"/>
    <w:rsid w:val="00785CBF"/>
    <w:rsid w:val="00795C54"/>
    <w:rsid w:val="007A1480"/>
    <w:rsid w:val="007A3123"/>
    <w:rsid w:val="007A49B9"/>
    <w:rsid w:val="007A4B1E"/>
    <w:rsid w:val="007B0060"/>
    <w:rsid w:val="007B0FE2"/>
    <w:rsid w:val="007B1D79"/>
    <w:rsid w:val="007B2768"/>
    <w:rsid w:val="007B37AC"/>
    <w:rsid w:val="007C0388"/>
    <w:rsid w:val="007C091F"/>
    <w:rsid w:val="007C0C58"/>
    <w:rsid w:val="007C2BFB"/>
    <w:rsid w:val="007C554B"/>
    <w:rsid w:val="007C65D5"/>
    <w:rsid w:val="007D17FE"/>
    <w:rsid w:val="007D425B"/>
    <w:rsid w:val="007D4805"/>
    <w:rsid w:val="007D718D"/>
    <w:rsid w:val="007E1072"/>
    <w:rsid w:val="007E11B7"/>
    <w:rsid w:val="007E1B1F"/>
    <w:rsid w:val="007F6FE2"/>
    <w:rsid w:val="00802153"/>
    <w:rsid w:val="008039B8"/>
    <w:rsid w:val="00805901"/>
    <w:rsid w:val="00807B27"/>
    <w:rsid w:val="00812FF6"/>
    <w:rsid w:val="00823F60"/>
    <w:rsid w:val="00824146"/>
    <w:rsid w:val="0082598E"/>
    <w:rsid w:val="00825C98"/>
    <w:rsid w:val="0082609C"/>
    <w:rsid w:val="008322F5"/>
    <w:rsid w:val="00833A40"/>
    <w:rsid w:val="00833E9E"/>
    <w:rsid w:val="00834FC7"/>
    <w:rsid w:val="00847F81"/>
    <w:rsid w:val="008558FA"/>
    <w:rsid w:val="00855941"/>
    <w:rsid w:val="00855CEB"/>
    <w:rsid w:val="00855F54"/>
    <w:rsid w:val="008560D7"/>
    <w:rsid w:val="00860F65"/>
    <w:rsid w:val="00861C6B"/>
    <w:rsid w:val="00863C7A"/>
    <w:rsid w:val="008649DE"/>
    <w:rsid w:val="008666E5"/>
    <w:rsid w:val="00867044"/>
    <w:rsid w:val="00871A60"/>
    <w:rsid w:val="00875BE0"/>
    <w:rsid w:val="00880E90"/>
    <w:rsid w:val="0088560F"/>
    <w:rsid w:val="008B0360"/>
    <w:rsid w:val="008B23AC"/>
    <w:rsid w:val="008C7762"/>
    <w:rsid w:val="008D0308"/>
    <w:rsid w:val="008D3550"/>
    <w:rsid w:val="008D752C"/>
    <w:rsid w:val="008E22F2"/>
    <w:rsid w:val="008E37CE"/>
    <w:rsid w:val="008E6A24"/>
    <w:rsid w:val="008F263E"/>
    <w:rsid w:val="008F5587"/>
    <w:rsid w:val="00903212"/>
    <w:rsid w:val="00903653"/>
    <w:rsid w:val="00903C8E"/>
    <w:rsid w:val="00911F81"/>
    <w:rsid w:val="00913A2F"/>
    <w:rsid w:val="00914704"/>
    <w:rsid w:val="00925DDA"/>
    <w:rsid w:val="0092743B"/>
    <w:rsid w:val="009274B5"/>
    <w:rsid w:val="00935719"/>
    <w:rsid w:val="0094070D"/>
    <w:rsid w:val="009413BD"/>
    <w:rsid w:val="009418E1"/>
    <w:rsid w:val="00941F4A"/>
    <w:rsid w:val="009424B8"/>
    <w:rsid w:val="0094428E"/>
    <w:rsid w:val="0094590A"/>
    <w:rsid w:val="009469C3"/>
    <w:rsid w:val="00953E17"/>
    <w:rsid w:val="00955D5D"/>
    <w:rsid w:val="00957117"/>
    <w:rsid w:val="009643AC"/>
    <w:rsid w:val="00967C74"/>
    <w:rsid w:val="0097228B"/>
    <w:rsid w:val="009862A0"/>
    <w:rsid w:val="00991609"/>
    <w:rsid w:val="009974D9"/>
    <w:rsid w:val="009A14DC"/>
    <w:rsid w:val="009A4816"/>
    <w:rsid w:val="009B4586"/>
    <w:rsid w:val="009C1CBE"/>
    <w:rsid w:val="009C25D9"/>
    <w:rsid w:val="009C410D"/>
    <w:rsid w:val="009D7C7F"/>
    <w:rsid w:val="009E116A"/>
    <w:rsid w:val="009F0840"/>
    <w:rsid w:val="009F17D1"/>
    <w:rsid w:val="009F2830"/>
    <w:rsid w:val="009F5811"/>
    <w:rsid w:val="009F6C2C"/>
    <w:rsid w:val="009F7EA7"/>
    <w:rsid w:val="00A03C5A"/>
    <w:rsid w:val="00A041BA"/>
    <w:rsid w:val="00A05B68"/>
    <w:rsid w:val="00A15598"/>
    <w:rsid w:val="00A15F0F"/>
    <w:rsid w:val="00A22808"/>
    <w:rsid w:val="00A24A68"/>
    <w:rsid w:val="00A3058F"/>
    <w:rsid w:val="00A311D3"/>
    <w:rsid w:val="00A31693"/>
    <w:rsid w:val="00A320DE"/>
    <w:rsid w:val="00A41452"/>
    <w:rsid w:val="00A4163D"/>
    <w:rsid w:val="00A41C22"/>
    <w:rsid w:val="00A41DB3"/>
    <w:rsid w:val="00A55AFF"/>
    <w:rsid w:val="00A56A49"/>
    <w:rsid w:val="00A606E2"/>
    <w:rsid w:val="00A64001"/>
    <w:rsid w:val="00A65B21"/>
    <w:rsid w:val="00A67808"/>
    <w:rsid w:val="00A757F0"/>
    <w:rsid w:val="00A774A2"/>
    <w:rsid w:val="00A817C7"/>
    <w:rsid w:val="00A81815"/>
    <w:rsid w:val="00A841C3"/>
    <w:rsid w:val="00A856AE"/>
    <w:rsid w:val="00A90298"/>
    <w:rsid w:val="00A91E26"/>
    <w:rsid w:val="00A93510"/>
    <w:rsid w:val="00A95544"/>
    <w:rsid w:val="00A96C3A"/>
    <w:rsid w:val="00A974C7"/>
    <w:rsid w:val="00AA1593"/>
    <w:rsid w:val="00AA540C"/>
    <w:rsid w:val="00AA5C0C"/>
    <w:rsid w:val="00AB1E17"/>
    <w:rsid w:val="00AB4D50"/>
    <w:rsid w:val="00AB4DE0"/>
    <w:rsid w:val="00AB56D6"/>
    <w:rsid w:val="00AC6739"/>
    <w:rsid w:val="00AD4DF3"/>
    <w:rsid w:val="00AD69FF"/>
    <w:rsid w:val="00AD6E82"/>
    <w:rsid w:val="00AE43A4"/>
    <w:rsid w:val="00AE55B3"/>
    <w:rsid w:val="00AF3475"/>
    <w:rsid w:val="00AF34A3"/>
    <w:rsid w:val="00AF3954"/>
    <w:rsid w:val="00AF62D3"/>
    <w:rsid w:val="00B061E1"/>
    <w:rsid w:val="00B12004"/>
    <w:rsid w:val="00B13A14"/>
    <w:rsid w:val="00B1749A"/>
    <w:rsid w:val="00B20F5F"/>
    <w:rsid w:val="00B2284E"/>
    <w:rsid w:val="00B24AF9"/>
    <w:rsid w:val="00B25E11"/>
    <w:rsid w:val="00B316E3"/>
    <w:rsid w:val="00B31E78"/>
    <w:rsid w:val="00B32DF3"/>
    <w:rsid w:val="00B33164"/>
    <w:rsid w:val="00B33619"/>
    <w:rsid w:val="00B4617A"/>
    <w:rsid w:val="00B46F40"/>
    <w:rsid w:val="00B4722F"/>
    <w:rsid w:val="00B517F6"/>
    <w:rsid w:val="00B52176"/>
    <w:rsid w:val="00B5398E"/>
    <w:rsid w:val="00B55719"/>
    <w:rsid w:val="00B560D6"/>
    <w:rsid w:val="00B57F47"/>
    <w:rsid w:val="00B6050D"/>
    <w:rsid w:val="00B63CE7"/>
    <w:rsid w:val="00B63F29"/>
    <w:rsid w:val="00B661AE"/>
    <w:rsid w:val="00B664D3"/>
    <w:rsid w:val="00B709DD"/>
    <w:rsid w:val="00B8065E"/>
    <w:rsid w:val="00B86860"/>
    <w:rsid w:val="00B90AD0"/>
    <w:rsid w:val="00B90CB9"/>
    <w:rsid w:val="00B91845"/>
    <w:rsid w:val="00B944CC"/>
    <w:rsid w:val="00BA363D"/>
    <w:rsid w:val="00BB25BC"/>
    <w:rsid w:val="00BB300E"/>
    <w:rsid w:val="00BB4C82"/>
    <w:rsid w:val="00BC17A4"/>
    <w:rsid w:val="00BC20CB"/>
    <w:rsid w:val="00BC4A5F"/>
    <w:rsid w:val="00BC4B3E"/>
    <w:rsid w:val="00BC54C9"/>
    <w:rsid w:val="00BC5A2E"/>
    <w:rsid w:val="00BC7DFB"/>
    <w:rsid w:val="00BD161A"/>
    <w:rsid w:val="00BE18C5"/>
    <w:rsid w:val="00BE4C3B"/>
    <w:rsid w:val="00BE7D39"/>
    <w:rsid w:val="00BF7881"/>
    <w:rsid w:val="00C00357"/>
    <w:rsid w:val="00C030E6"/>
    <w:rsid w:val="00C0605F"/>
    <w:rsid w:val="00C12732"/>
    <w:rsid w:val="00C12D92"/>
    <w:rsid w:val="00C12FE7"/>
    <w:rsid w:val="00C1345F"/>
    <w:rsid w:val="00C1380E"/>
    <w:rsid w:val="00C16F84"/>
    <w:rsid w:val="00C17DFA"/>
    <w:rsid w:val="00C21D73"/>
    <w:rsid w:val="00C253D9"/>
    <w:rsid w:val="00C26469"/>
    <w:rsid w:val="00C26F24"/>
    <w:rsid w:val="00C304C2"/>
    <w:rsid w:val="00C30748"/>
    <w:rsid w:val="00C3486B"/>
    <w:rsid w:val="00C34B05"/>
    <w:rsid w:val="00C352E0"/>
    <w:rsid w:val="00C50A99"/>
    <w:rsid w:val="00C52338"/>
    <w:rsid w:val="00C530CF"/>
    <w:rsid w:val="00C5360E"/>
    <w:rsid w:val="00C550DC"/>
    <w:rsid w:val="00C67FF4"/>
    <w:rsid w:val="00C82DFD"/>
    <w:rsid w:val="00C831CC"/>
    <w:rsid w:val="00C8533F"/>
    <w:rsid w:val="00C87793"/>
    <w:rsid w:val="00C95BA3"/>
    <w:rsid w:val="00C96AB3"/>
    <w:rsid w:val="00C9744C"/>
    <w:rsid w:val="00C9767C"/>
    <w:rsid w:val="00CB02D2"/>
    <w:rsid w:val="00CB1D70"/>
    <w:rsid w:val="00CB3AE7"/>
    <w:rsid w:val="00CB7965"/>
    <w:rsid w:val="00CC032B"/>
    <w:rsid w:val="00CC15DB"/>
    <w:rsid w:val="00CC5973"/>
    <w:rsid w:val="00CC5AFF"/>
    <w:rsid w:val="00CC67BA"/>
    <w:rsid w:val="00CD2548"/>
    <w:rsid w:val="00CD3417"/>
    <w:rsid w:val="00CD6FA5"/>
    <w:rsid w:val="00CE7D37"/>
    <w:rsid w:val="00CF3116"/>
    <w:rsid w:val="00CF4D32"/>
    <w:rsid w:val="00CF58AD"/>
    <w:rsid w:val="00CF6038"/>
    <w:rsid w:val="00CF6099"/>
    <w:rsid w:val="00CF69AF"/>
    <w:rsid w:val="00CF7456"/>
    <w:rsid w:val="00CF784B"/>
    <w:rsid w:val="00D1007C"/>
    <w:rsid w:val="00D11A72"/>
    <w:rsid w:val="00D13CC6"/>
    <w:rsid w:val="00D16473"/>
    <w:rsid w:val="00D166CB"/>
    <w:rsid w:val="00D23B25"/>
    <w:rsid w:val="00D30650"/>
    <w:rsid w:val="00D31A13"/>
    <w:rsid w:val="00D31C80"/>
    <w:rsid w:val="00D3386B"/>
    <w:rsid w:val="00D37137"/>
    <w:rsid w:val="00D42AC8"/>
    <w:rsid w:val="00D434C8"/>
    <w:rsid w:val="00D505F9"/>
    <w:rsid w:val="00D51F91"/>
    <w:rsid w:val="00D52D0C"/>
    <w:rsid w:val="00D67D2B"/>
    <w:rsid w:val="00D7449F"/>
    <w:rsid w:val="00D75C78"/>
    <w:rsid w:val="00D80BD7"/>
    <w:rsid w:val="00D913B7"/>
    <w:rsid w:val="00D92D5F"/>
    <w:rsid w:val="00D94292"/>
    <w:rsid w:val="00D94E4A"/>
    <w:rsid w:val="00D95410"/>
    <w:rsid w:val="00D95D13"/>
    <w:rsid w:val="00D95F60"/>
    <w:rsid w:val="00DA0986"/>
    <w:rsid w:val="00DA3004"/>
    <w:rsid w:val="00DA5529"/>
    <w:rsid w:val="00DA5DBB"/>
    <w:rsid w:val="00DB2066"/>
    <w:rsid w:val="00DB32C2"/>
    <w:rsid w:val="00DB4A02"/>
    <w:rsid w:val="00DC1377"/>
    <w:rsid w:val="00DC1E81"/>
    <w:rsid w:val="00DC2871"/>
    <w:rsid w:val="00DC364F"/>
    <w:rsid w:val="00DC677B"/>
    <w:rsid w:val="00DC7180"/>
    <w:rsid w:val="00DC792B"/>
    <w:rsid w:val="00DD53AC"/>
    <w:rsid w:val="00DE0C5F"/>
    <w:rsid w:val="00DF1C64"/>
    <w:rsid w:val="00DF702F"/>
    <w:rsid w:val="00E02F78"/>
    <w:rsid w:val="00E03D02"/>
    <w:rsid w:val="00E045C5"/>
    <w:rsid w:val="00E054F4"/>
    <w:rsid w:val="00E064C0"/>
    <w:rsid w:val="00E07C3E"/>
    <w:rsid w:val="00E12B40"/>
    <w:rsid w:val="00E14B4F"/>
    <w:rsid w:val="00E16E30"/>
    <w:rsid w:val="00E1705A"/>
    <w:rsid w:val="00E17708"/>
    <w:rsid w:val="00E23BCD"/>
    <w:rsid w:val="00E25CBC"/>
    <w:rsid w:val="00E26954"/>
    <w:rsid w:val="00E2763F"/>
    <w:rsid w:val="00E31614"/>
    <w:rsid w:val="00E31C1F"/>
    <w:rsid w:val="00E32C49"/>
    <w:rsid w:val="00E353D1"/>
    <w:rsid w:val="00E36164"/>
    <w:rsid w:val="00E37E92"/>
    <w:rsid w:val="00E468F3"/>
    <w:rsid w:val="00E511AE"/>
    <w:rsid w:val="00E52504"/>
    <w:rsid w:val="00E60190"/>
    <w:rsid w:val="00E654F4"/>
    <w:rsid w:val="00E67A29"/>
    <w:rsid w:val="00E71B2D"/>
    <w:rsid w:val="00E72785"/>
    <w:rsid w:val="00E73E16"/>
    <w:rsid w:val="00E76029"/>
    <w:rsid w:val="00E77DD3"/>
    <w:rsid w:val="00E80AAA"/>
    <w:rsid w:val="00E83882"/>
    <w:rsid w:val="00E83DD6"/>
    <w:rsid w:val="00E94B86"/>
    <w:rsid w:val="00E9557D"/>
    <w:rsid w:val="00EA2776"/>
    <w:rsid w:val="00EA4438"/>
    <w:rsid w:val="00EB0EFF"/>
    <w:rsid w:val="00EB2091"/>
    <w:rsid w:val="00EC0766"/>
    <w:rsid w:val="00EC1CE7"/>
    <w:rsid w:val="00EC3957"/>
    <w:rsid w:val="00ED39BC"/>
    <w:rsid w:val="00ED5FBB"/>
    <w:rsid w:val="00ED6BA8"/>
    <w:rsid w:val="00EE04F1"/>
    <w:rsid w:val="00EE2DE8"/>
    <w:rsid w:val="00EE67A5"/>
    <w:rsid w:val="00EE6B89"/>
    <w:rsid w:val="00EF001D"/>
    <w:rsid w:val="00F03D4E"/>
    <w:rsid w:val="00F268BC"/>
    <w:rsid w:val="00F35721"/>
    <w:rsid w:val="00F374A2"/>
    <w:rsid w:val="00F40811"/>
    <w:rsid w:val="00F40E83"/>
    <w:rsid w:val="00F50601"/>
    <w:rsid w:val="00F53E50"/>
    <w:rsid w:val="00F563AA"/>
    <w:rsid w:val="00F57C24"/>
    <w:rsid w:val="00F63BE7"/>
    <w:rsid w:val="00F6729E"/>
    <w:rsid w:val="00F74668"/>
    <w:rsid w:val="00F76E6F"/>
    <w:rsid w:val="00F83612"/>
    <w:rsid w:val="00F84DDE"/>
    <w:rsid w:val="00F870DE"/>
    <w:rsid w:val="00F974C7"/>
    <w:rsid w:val="00FA0798"/>
    <w:rsid w:val="00FA3711"/>
    <w:rsid w:val="00FA739C"/>
    <w:rsid w:val="00FA73DF"/>
    <w:rsid w:val="00FB002C"/>
    <w:rsid w:val="00FB0F1E"/>
    <w:rsid w:val="00FB4E36"/>
    <w:rsid w:val="00FB70CB"/>
    <w:rsid w:val="00FB7E11"/>
    <w:rsid w:val="00FC0107"/>
    <w:rsid w:val="00FE09D3"/>
    <w:rsid w:val="00FE2AF7"/>
    <w:rsid w:val="00FE6CC0"/>
    <w:rsid w:val="00FF0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5AE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5"/>
        <w:szCs w:val="25"/>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A13"/>
  </w:style>
  <w:style w:type="paragraph" w:styleId="Heading1">
    <w:name w:val="heading 1"/>
    <w:basedOn w:val="Normal"/>
    <w:next w:val="Normal"/>
    <w:link w:val="Heading1Char"/>
    <w:qFormat/>
    <w:rsid w:val="00CC15DB"/>
    <w:pPr>
      <w:keepNext/>
      <w:spacing w:before="240" w:after="60"/>
      <w:jc w:val="center"/>
      <w:outlineLvl w:val="0"/>
    </w:pPr>
    <w:rPr>
      <w:rFonts w:cs="Arial"/>
      <w:b/>
      <w:bCs/>
      <w:kern w:val="32"/>
      <w:szCs w:val="32"/>
      <w:u w:val="single"/>
    </w:rPr>
  </w:style>
  <w:style w:type="paragraph" w:styleId="Heading2">
    <w:name w:val="heading 2"/>
    <w:basedOn w:val="Normal"/>
    <w:next w:val="Normal"/>
    <w:link w:val="Heading2Char"/>
    <w:qFormat/>
    <w:rsid w:val="00CC15DB"/>
    <w:pPr>
      <w:keepNext/>
      <w:numPr>
        <w:numId w:val="31"/>
      </w:numPr>
      <w:outlineLvl w:val="1"/>
    </w:pPr>
    <w:rPr>
      <w:b/>
    </w:rPr>
  </w:style>
  <w:style w:type="paragraph" w:styleId="Heading3">
    <w:name w:val="heading 3"/>
    <w:basedOn w:val="Normal"/>
    <w:next w:val="Normal"/>
    <w:link w:val="Heading3Char"/>
    <w:qFormat/>
    <w:rsid w:val="00CC15DB"/>
    <w:pPr>
      <w:keepNext/>
      <w:numPr>
        <w:numId w:val="33"/>
      </w:numPr>
      <w:outlineLvl w:val="2"/>
    </w:pPr>
    <w:rPr>
      <w:rFonts w:asciiTheme="minorHAnsi" w:hAnsiTheme="minorHAnsi"/>
      <w:b/>
      <w:bCs/>
    </w:rPr>
  </w:style>
  <w:style w:type="paragraph" w:styleId="Heading4">
    <w:name w:val="heading 4"/>
    <w:basedOn w:val="Normal"/>
    <w:next w:val="Normal"/>
    <w:link w:val="Heading4Char"/>
    <w:qFormat/>
    <w:rsid w:val="000444DD"/>
    <w:pPr>
      <w:keepNext/>
      <w:numPr>
        <w:numId w:val="37"/>
      </w:numPr>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jc w:val="center"/>
    </w:pPr>
  </w:style>
  <w:style w:type="paragraph" w:customStyle="1" w:styleId="plain">
    <w:name w:val="plain"/>
    <w:basedOn w:val="Normal"/>
    <w:pPr>
      <w:spacing w:line="240" w:lineRule="atLeast"/>
    </w:pPr>
    <w:rPr>
      <w:sz w:val="26"/>
      <w:szCs w:val="20"/>
    </w:rPr>
  </w:style>
  <w:style w:type="paragraph" w:customStyle="1" w:styleId="FindingsConclusions">
    <w:name w:val="Findings &amp; Conclusions"/>
    <w:basedOn w:val="Normal"/>
    <w:pPr>
      <w:numPr>
        <w:numId w:val="10"/>
      </w:numPr>
    </w:pPr>
  </w:style>
  <w:style w:type="paragraph" w:styleId="BodyText3">
    <w:name w:val="Body Text 3"/>
    <w:basedOn w:val="Normal"/>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paragraph" w:styleId="BalloonText">
    <w:name w:val="Balloon Text"/>
    <w:basedOn w:val="Normal"/>
    <w:semiHidden/>
    <w:rsid w:val="00190527"/>
    <w:rPr>
      <w:rFonts w:ascii="Tahoma" w:hAnsi="Tahoma" w:cs="Tahoma"/>
      <w:sz w:val="16"/>
      <w:szCs w:val="16"/>
    </w:rPr>
  </w:style>
  <w:style w:type="table" w:styleId="TableGrid">
    <w:name w:val="Table Grid"/>
    <w:basedOn w:val="TableNormal"/>
    <w:uiPriority w:val="39"/>
    <w:rsid w:val="00471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link w:val="FootnoteTextChar1"/>
    <w:semiHidden/>
    <w:rsid w:val="00C67FF4"/>
    <w:rPr>
      <w:rFonts w:ascii="Palatino Linotype" w:hAnsi="Palatino Linotype"/>
      <w:sz w:val="20"/>
      <w:szCs w:val="20"/>
    </w:rPr>
  </w:style>
  <w:style w:type="character" w:styleId="FootnoteReference">
    <w:name w:val="footnote reference"/>
    <w:uiPriority w:val="99"/>
    <w:qFormat/>
    <w:rsid w:val="002B0A13"/>
    <w:rPr>
      <w:rFonts w:ascii="Times New Roman" w:hAnsi="Times New Roman"/>
      <w:sz w:val="22"/>
      <w:szCs w:val="22"/>
      <w:vertAlign w:val="superscript"/>
    </w:rPr>
  </w:style>
  <w:style w:type="character" w:customStyle="1" w:styleId="RCWSLText">
    <w:name w:val="RCWSLText"/>
    <w:rsid w:val="00C67FF4"/>
    <w:rPr>
      <w:rFonts w:ascii="Courier New" w:hAnsi="Courier New" w:cs="Courier New"/>
      <w:sz w:val="24"/>
      <w:szCs w:val="24"/>
      <w:lang w:val="en-US"/>
    </w:rPr>
  </w:style>
  <w:style w:type="character" w:styleId="Hyperlink">
    <w:name w:val="Hyperlink"/>
    <w:uiPriority w:val="99"/>
    <w:rsid w:val="00161D01"/>
    <w:rPr>
      <w:color w:val="0000FF"/>
      <w:u w:val="single"/>
    </w:rPr>
  </w:style>
  <w:style w:type="character" w:customStyle="1" w:styleId="Hypertext">
    <w:name w:val="Hypertext"/>
    <w:rsid w:val="00D52D0C"/>
    <w:rPr>
      <w:color w:val="0000FF"/>
      <w:u w:val="single"/>
    </w:rPr>
  </w:style>
  <w:style w:type="paragraph" w:customStyle="1" w:styleId="Level1">
    <w:name w:val="Level 1"/>
    <w:basedOn w:val="Normal"/>
    <w:rsid w:val="00F40811"/>
    <w:pPr>
      <w:widowControl w:val="0"/>
      <w:autoSpaceDE w:val="0"/>
      <w:autoSpaceDN w:val="0"/>
      <w:adjustRightInd w:val="0"/>
      <w:ind w:left="720" w:hanging="720"/>
    </w:pPr>
    <w:rPr>
      <w:rFonts w:ascii="Arial" w:hAnsi="Arial"/>
      <w:sz w:val="20"/>
    </w:rPr>
  </w:style>
  <w:style w:type="paragraph" w:customStyle="1" w:styleId="DWTNorm">
    <w:name w:val="DWTNorm"/>
    <w:basedOn w:val="BodyTextIndent"/>
    <w:autoRedefine/>
    <w:rsid w:val="00AF3475"/>
    <w:pPr>
      <w:spacing w:after="240" w:line="480" w:lineRule="exact"/>
      <w:ind w:left="0" w:firstLine="720"/>
      <w:jc w:val="both"/>
    </w:pPr>
    <w:rPr>
      <w:szCs w:val="20"/>
    </w:rPr>
  </w:style>
  <w:style w:type="paragraph" w:styleId="BodyTextIndent">
    <w:name w:val="Body Text Indent"/>
    <w:basedOn w:val="Normal"/>
    <w:link w:val="BodyTextIndentChar"/>
    <w:rsid w:val="00AF3475"/>
    <w:pPr>
      <w:spacing w:after="120"/>
      <w:ind w:left="360"/>
    </w:pPr>
  </w:style>
  <w:style w:type="character" w:customStyle="1" w:styleId="BodyTextIndentChar">
    <w:name w:val="Body Text Indent Char"/>
    <w:link w:val="BodyTextIndent"/>
    <w:rsid w:val="00AF3475"/>
    <w:rPr>
      <w:sz w:val="24"/>
      <w:szCs w:val="24"/>
    </w:rPr>
  </w:style>
  <w:style w:type="character" w:customStyle="1" w:styleId="Heading3Char">
    <w:name w:val="Heading 3 Char"/>
    <w:link w:val="Heading3"/>
    <w:rsid w:val="00CC15DB"/>
    <w:rPr>
      <w:rFonts w:asciiTheme="minorHAnsi" w:hAnsiTheme="minorHAnsi"/>
      <w:b/>
      <w:bCs/>
    </w:rPr>
  </w:style>
  <w:style w:type="character" w:customStyle="1" w:styleId="Heading2Char">
    <w:name w:val="Heading 2 Char"/>
    <w:link w:val="Heading2"/>
    <w:rsid w:val="00CC15DB"/>
    <w:rPr>
      <w:b/>
    </w:rPr>
  </w:style>
  <w:style w:type="character" w:customStyle="1" w:styleId="HeaderChar">
    <w:name w:val="Header Char"/>
    <w:link w:val="Header"/>
    <w:uiPriority w:val="99"/>
    <w:rsid w:val="00F63BE7"/>
    <w:rPr>
      <w:sz w:val="24"/>
      <w:szCs w:val="24"/>
    </w:rPr>
  </w:style>
  <w:style w:type="paragraph" w:styleId="ListParagraph">
    <w:name w:val="List Paragraph"/>
    <w:basedOn w:val="Normal"/>
    <w:uiPriority w:val="34"/>
    <w:qFormat/>
    <w:rsid w:val="002B0A13"/>
    <w:pPr>
      <w:ind w:left="720"/>
    </w:pPr>
  </w:style>
  <w:style w:type="paragraph" w:styleId="BodyText2">
    <w:name w:val="Body Text 2"/>
    <w:basedOn w:val="Normal"/>
    <w:link w:val="BodyText2Char"/>
    <w:rsid w:val="00E76029"/>
    <w:pPr>
      <w:spacing w:after="120" w:line="480" w:lineRule="auto"/>
    </w:pPr>
  </w:style>
  <w:style w:type="character" w:customStyle="1" w:styleId="BodyText2Char">
    <w:name w:val="Body Text 2 Char"/>
    <w:link w:val="BodyText2"/>
    <w:rsid w:val="00E76029"/>
    <w:rPr>
      <w:sz w:val="24"/>
      <w:szCs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semiHidden/>
    <w:rsid w:val="00C831CC"/>
    <w:rPr>
      <w:rFonts w:ascii="Palatino Linotype" w:hAnsi="Palatino Linotype"/>
    </w:rPr>
  </w:style>
  <w:style w:type="character" w:customStyle="1" w:styleId="Heading1Char">
    <w:name w:val="Heading 1 Char"/>
    <w:link w:val="Heading1"/>
    <w:rsid w:val="00CC15DB"/>
    <w:rPr>
      <w:rFonts w:cs="Arial"/>
      <w:b/>
      <w:bCs/>
      <w:kern w:val="32"/>
      <w:szCs w:val="32"/>
      <w:u w:val="single"/>
    </w:rPr>
  </w:style>
  <w:style w:type="character" w:customStyle="1" w:styleId="Heading4Char">
    <w:name w:val="Heading 4 Char"/>
    <w:link w:val="Heading4"/>
    <w:rsid w:val="00CC15DB"/>
    <w:rPr>
      <w:b/>
      <w:bCs/>
      <w:szCs w:val="28"/>
    </w:rPr>
  </w:style>
  <w:style w:type="paragraph" w:styleId="BodyTextIndent2">
    <w:name w:val="Body Text Indent 2"/>
    <w:basedOn w:val="Normal"/>
    <w:link w:val="BodyTextIndent2Char"/>
    <w:rsid w:val="00D31C80"/>
    <w:pPr>
      <w:spacing w:after="120" w:line="480" w:lineRule="auto"/>
      <w:ind w:left="360"/>
    </w:pPr>
  </w:style>
  <w:style w:type="character" w:customStyle="1" w:styleId="BodyTextIndent2Char">
    <w:name w:val="Body Text Indent 2 Char"/>
    <w:basedOn w:val="DefaultParagraphFont"/>
    <w:link w:val="BodyTextIndent2"/>
    <w:rsid w:val="00D31C80"/>
  </w:style>
  <w:style w:type="character" w:styleId="CommentReference">
    <w:name w:val="annotation reference"/>
    <w:basedOn w:val="DefaultParagraphFont"/>
    <w:uiPriority w:val="99"/>
    <w:unhideWhenUsed/>
    <w:rsid w:val="00C3486B"/>
    <w:rPr>
      <w:sz w:val="16"/>
      <w:szCs w:val="16"/>
    </w:rPr>
  </w:style>
  <w:style w:type="paragraph" w:styleId="CommentText">
    <w:name w:val="annotation text"/>
    <w:basedOn w:val="Normal"/>
    <w:link w:val="CommentTextChar"/>
    <w:uiPriority w:val="99"/>
    <w:unhideWhenUsed/>
    <w:rsid w:val="00C3486B"/>
    <w:rPr>
      <w:rFonts w:eastAsia="Calibri"/>
      <w:sz w:val="20"/>
      <w:szCs w:val="20"/>
    </w:rPr>
  </w:style>
  <w:style w:type="character" w:customStyle="1" w:styleId="CommentTextChar">
    <w:name w:val="Comment Text Char"/>
    <w:basedOn w:val="DefaultParagraphFont"/>
    <w:link w:val="CommentText"/>
    <w:uiPriority w:val="99"/>
    <w:rsid w:val="00C3486B"/>
    <w:rPr>
      <w:rFonts w:eastAsia="Calibri"/>
      <w:sz w:val="20"/>
      <w:szCs w:val="20"/>
    </w:rPr>
  </w:style>
  <w:style w:type="paragraph" w:styleId="CommentSubject">
    <w:name w:val="annotation subject"/>
    <w:basedOn w:val="CommentText"/>
    <w:next w:val="CommentText"/>
    <w:link w:val="CommentSubjectChar"/>
    <w:semiHidden/>
    <w:unhideWhenUsed/>
    <w:rsid w:val="00B91845"/>
    <w:rPr>
      <w:rFonts w:eastAsia="Times New Roman"/>
      <w:b/>
      <w:bCs/>
    </w:rPr>
  </w:style>
  <w:style w:type="character" w:customStyle="1" w:styleId="CommentSubjectChar">
    <w:name w:val="Comment Subject Char"/>
    <w:basedOn w:val="CommentTextChar"/>
    <w:link w:val="CommentSubject"/>
    <w:semiHidden/>
    <w:rsid w:val="00B91845"/>
    <w:rPr>
      <w:rFonts w:eastAsia="Calibri"/>
      <w:b/>
      <w:bCs/>
      <w:sz w:val="20"/>
      <w:szCs w:val="20"/>
    </w:rPr>
  </w:style>
  <w:style w:type="paragraph" w:styleId="NormalIndent">
    <w:name w:val="Normal Indent"/>
    <w:basedOn w:val="Normal"/>
    <w:semiHidden/>
    <w:unhideWhenUsed/>
    <w:rsid w:val="00212306"/>
    <w:pPr>
      <w:ind w:left="720"/>
    </w:pPr>
  </w:style>
  <w:style w:type="paragraph" w:styleId="TOCHeading">
    <w:name w:val="TOC Heading"/>
    <w:basedOn w:val="Heading1"/>
    <w:next w:val="Normal"/>
    <w:uiPriority w:val="39"/>
    <w:unhideWhenUsed/>
    <w:qFormat/>
    <w:rsid w:val="000444DD"/>
    <w:pPr>
      <w:keepLines/>
      <w:spacing w:after="0" w:line="259" w:lineRule="auto"/>
      <w:jc w:val="left"/>
      <w:outlineLvl w:val="9"/>
    </w:pPr>
    <w:rPr>
      <w:rFonts w:asciiTheme="majorHAnsi" w:eastAsiaTheme="majorEastAsia" w:hAnsiTheme="majorHAnsi" w:cstheme="majorBidi"/>
      <w:b w:val="0"/>
      <w:bCs w:val="0"/>
      <w:color w:val="365F91" w:themeColor="accent1" w:themeShade="BF"/>
      <w:kern w:val="0"/>
      <w:sz w:val="32"/>
      <w:u w:val="none"/>
    </w:rPr>
  </w:style>
  <w:style w:type="paragraph" w:styleId="TOC1">
    <w:name w:val="toc 1"/>
    <w:basedOn w:val="Normal"/>
    <w:next w:val="Normal"/>
    <w:autoRedefine/>
    <w:uiPriority w:val="39"/>
    <w:unhideWhenUsed/>
    <w:rsid w:val="000444DD"/>
    <w:pPr>
      <w:spacing w:after="100"/>
    </w:pPr>
  </w:style>
  <w:style w:type="paragraph" w:styleId="TOC2">
    <w:name w:val="toc 2"/>
    <w:basedOn w:val="Normal"/>
    <w:next w:val="Normal"/>
    <w:autoRedefine/>
    <w:uiPriority w:val="39"/>
    <w:unhideWhenUsed/>
    <w:rsid w:val="00DB4A02"/>
    <w:pPr>
      <w:tabs>
        <w:tab w:val="left" w:pos="660"/>
        <w:tab w:val="right" w:leader="dot" w:pos="8630"/>
      </w:tabs>
      <w:spacing w:after="100"/>
      <w:ind w:left="245"/>
    </w:pPr>
  </w:style>
  <w:style w:type="paragraph" w:styleId="TOC3">
    <w:name w:val="toc 3"/>
    <w:basedOn w:val="Normal"/>
    <w:next w:val="Normal"/>
    <w:autoRedefine/>
    <w:uiPriority w:val="39"/>
    <w:unhideWhenUsed/>
    <w:rsid w:val="000444DD"/>
    <w:pPr>
      <w:spacing w:after="100"/>
      <w:ind w:left="500"/>
    </w:pPr>
  </w:style>
  <w:style w:type="character" w:customStyle="1" w:styleId="BodyTextChar">
    <w:name w:val="Body Text Char"/>
    <w:basedOn w:val="DefaultParagraphFont"/>
    <w:link w:val="BodyText"/>
    <w:rsid w:val="000444DD"/>
  </w:style>
  <w:style w:type="character" w:styleId="EndnoteReference">
    <w:name w:val="endnote reference"/>
    <w:basedOn w:val="DefaultParagraphFont"/>
    <w:uiPriority w:val="99"/>
    <w:semiHidden/>
    <w:unhideWhenUsed/>
    <w:rsid w:val="00052045"/>
    <w:rPr>
      <w:vertAlign w:val="superscript"/>
    </w:rPr>
  </w:style>
  <w:style w:type="paragraph" w:styleId="PlainText">
    <w:name w:val="Plain Text"/>
    <w:basedOn w:val="Normal"/>
    <w:link w:val="PlainTextChar"/>
    <w:semiHidden/>
    <w:unhideWhenUsed/>
    <w:rsid w:val="00A91E26"/>
    <w:rPr>
      <w:rFonts w:ascii="Consolas" w:hAnsi="Consolas" w:cs="Consolas"/>
      <w:sz w:val="21"/>
      <w:szCs w:val="21"/>
    </w:rPr>
  </w:style>
  <w:style w:type="character" w:customStyle="1" w:styleId="PlainTextChar">
    <w:name w:val="Plain Text Char"/>
    <w:basedOn w:val="DefaultParagraphFont"/>
    <w:link w:val="PlainText"/>
    <w:semiHidden/>
    <w:rsid w:val="00A91E26"/>
    <w:rPr>
      <w:rFonts w:ascii="Consolas" w:hAnsi="Consolas" w:cs="Consolas"/>
      <w:sz w:val="21"/>
      <w:szCs w:val="21"/>
    </w:rPr>
  </w:style>
  <w:style w:type="paragraph" w:customStyle="1" w:styleId="notestyleDM">
    <w:name w:val="note style DM"/>
    <w:basedOn w:val="Normal"/>
    <w:link w:val="notestyleDMChar"/>
    <w:autoRedefine/>
    <w:qFormat/>
    <w:rsid w:val="00EB0EFF"/>
    <w:pPr>
      <w:numPr>
        <w:numId w:val="24"/>
      </w:numPr>
      <w:spacing w:after="120" w:line="288" w:lineRule="auto"/>
      <w:ind w:right="720"/>
    </w:pPr>
    <w:rPr>
      <w:rFonts w:asciiTheme="minorHAnsi" w:hAnsiTheme="minorHAnsi" w:cstheme="minorHAnsi"/>
      <w:color w:val="000000"/>
      <w:position w:val="6"/>
      <w:sz w:val="16"/>
      <w:vertAlign w:val="superscript"/>
    </w:rPr>
  </w:style>
  <w:style w:type="character" w:customStyle="1" w:styleId="notestyleDMChar">
    <w:name w:val="note style DM Char"/>
    <w:basedOn w:val="DefaultParagraphFont"/>
    <w:link w:val="notestyleDM"/>
    <w:rsid w:val="00EB0EFF"/>
    <w:rPr>
      <w:rFonts w:asciiTheme="minorHAnsi" w:hAnsiTheme="minorHAnsi" w:cstheme="minorHAnsi"/>
      <w:color w:val="000000"/>
      <w:position w:val="6"/>
      <w:sz w:val="16"/>
      <w:vertAlign w:val="superscript"/>
    </w:rPr>
  </w:style>
  <w:style w:type="paragraph" w:styleId="NoSpacing">
    <w:name w:val="No Spacing"/>
    <w:uiPriority w:val="1"/>
    <w:qFormat/>
    <w:rsid w:val="005E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977263">
      <w:bodyDiv w:val="1"/>
      <w:marLeft w:val="0"/>
      <w:marRight w:val="0"/>
      <w:marTop w:val="0"/>
      <w:marBottom w:val="0"/>
      <w:divBdr>
        <w:top w:val="none" w:sz="0" w:space="0" w:color="auto"/>
        <w:left w:val="none" w:sz="0" w:space="0" w:color="auto"/>
        <w:bottom w:val="none" w:sz="0" w:space="0" w:color="auto"/>
        <w:right w:val="none" w:sz="0" w:space="0" w:color="auto"/>
      </w:divBdr>
    </w:div>
    <w:div w:id="916329798">
      <w:bodyDiv w:val="1"/>
      <w:marLeft w:val="0"/>
      <w:marRight w:val="0"/>
      <w:marTop w:val="0"/>
      <w:marBottom w:val="0"/>
      <w:divBdr>
        <w:top w:val="none" w:sz="0" w:space="0" w:color="auto"/>
        <w:left w:val="none" w:sz="0" w:space="0" w:color="auto"/>
        <w:bottom w:val="none" w:sz="0" w:space="0" w:color="auto"/>
        <w:right w:val="none" w:sz="0" w:space="0" w:color="auto"/>
      </w:divBdr>
    </w:div>
    <w:div w:id="1472600178">
      <w:bodyDiv w:val="1"/>
      <w:marLeft w:val="0"/>
      <w:marRight w:val="0"/>
      <w:marTop w:val="0"/>
      <w:marBottom w:val="0"/>
      <w:divBdr>
        <w:top w:val="none" w:sz="0" w:space="0" w:color="auto"/>
        <w:left w:val="none" w:sz="0" w:space="0" w:color="auto"/>
        <w:bottom w:val="none" w:sz="0" w:space="0" w:color="auto"/>
        <w:right w:val="none" w:sz="0" w:space="0" w:color="auto"/>
      </w:divBdr>
    </w:div>
    <w:div w:id="180927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rders">
      <a:majorFont>
        <a:latin typeface="Times New Roman"/>
        <a:ea typeface=""/>
        <a:cs typeface=""/>
      </a:majorFont>
      <a:minorFont>
        <a:latin typeface="Times New Roman"/>
        <a:ea typeface=""/>
        <a:cs typeface=""/>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2013-10-31T07:00:00+00:00</OpenedDate>
    <Date1 xmlns="dc463f71-b30c-4ab2-9473-d307f9d35888">2014-10-01T07:00:00+00:00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132027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7A0A5D7D9C4E4DAB7922844D35C890" ma:contentTypeVersion="135" ma:contentTypeDescription="" ma:contentTypeScope="" ma:versionID="70a3fd3cd15240eeeb6ebd65f477f9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D49E11-9D19-4D92-86AB-E0285AAAAB9E}"/>
</file>

<file path=customXml/itemProps2.xml><?xml version="1.0" encoding="utf-8"?>
<ds:datastoreItem xmlns:ds="http://schemas.openxmlformats.org/officeDocument/2006/customXml" ds:itemID="{330821DE-721C-42C1-BECB-1BEA7F3FFD13}"/>
</file>

<file path=customXml/itemProps3.xml><?xml version="1.0" encoding="utf-8"?>
<ds:datastoreItem xmlns:ds="http://schemas.openxmlformats.org/officeDocument/2006/customXml" ds:itemID="{D3BBFB72-C8E1-4518-8B9B-F16061208C65}"/>
</file>

<file path=customXml/itemProps4.xml><?xml version="1.0" encoding="utf-8"?>
<ds:datastoreItem xmlns:ds="http://schemas.openxmlformats.org/officeDocument/2006/customXml" ds:itemID="{F788883A-625A-4BB5-B686-14DB5639FB84}"/>
</file>

<file path=customXml/itemProps5.xml><?xml version="1.0" encoding="utf-8"?>
<ds:datastoreItem xmlns:ds="http://schemas.openxmlformats.org/officeDocument/2006/customXml" ds:itemID="{96ECEF42-530E-4964-9176-C4F121D667D6}"/>
</file>

<file path=docProps/app.xml><?xml version="1.0" encoding="utf-8"?>
<Properties xmlns="http://schemas.openxmlformats.org/officeDocument/2006/extended-properties" xmlns:vt="http://schemas.openxmlformats.org/officeDocument/2006/docPropsVTypes">
  <Template>Normal</Template>
  <TotalTime>0</TotalTime>
  <Pages>5</Pages>
  <Words>1491</Words>
  <Characters>7663</Characters>
  <Application>Microsoft Office Word</Application>
  <DocSecurity>0</DocSecurity>
  <Lines>63</Lines>
  <Paragraphs>18</Paragraphs>
  <ScaleCrop>false</ScaleCrop>
  <Company/>
  <LinksUpToDate>false</LinksUpToDate>
  <CharactersWithSpaces>9136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2014-10-01T21:51:00Z</dcterms:created>
  <dcterms:modified xsi:type="dcterms:W3CDTF">2014-10-01T21:51:00Z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0x0101006E56B4D1795A2E4DB2F0B01679ED314A00C87A0A5D7D9C4E4DAB7922844D35C890</vt:lpwstr>
  </property>
  <property fmtid="{D5CDD505-2E9C-101B-9397-08002B2CF9AE}" pid="3" name="_docset_NoMedatataSyncRequired">
    <vt:lpwstr>False</vt:lpwstr>
  </property>
</Properties>
</file>