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1C507" w14:textId="77777777" w:rsidR="0048039D" w:rsidRPr="00383668" w:rsidRDefault="0048039D" w:rsidP="0048039D">
      <w:pPr>
        <w:ind w:left="-180" w:right="-162"/>
        <w:jc w:val="center"/>
        <w:rPr>
          <w:rFonts w:cs="Times New Roman"/>
        </w:rPr>
      </w:pPr>
      <w:r w:rsidRPr="00383668">
        <w:rPr>
          <w:rFonts w:cs="Times New Roman"/>
        </w:rPr>
        <w:t>BEFORE THE WASHINGTON UTILITIES AND TRANSPORTATION COMMISSION</w:t>
      </w:r>
    </w:p>
    <w:p w14:paraId="41208A44" w14:textId="77777777" w:rsidR="0048039D" w:rsidRPr="00383668" w:rsidRDefault="0048039D" w:rsidP="0048039D">
      <w:pPr>
        <w:ind w:right="18"/>
        <w:jc w:val="both"/>
        <w:rPr>
          <w:rFonts w:cs="Times New Roman"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8039D" w:rsidRPr="00383668" w14:paraId="0C6695DE" w14:textId="77777777" w:rsidTr="00FB3937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18651BB0" w14:textId="77777777" w:rsidR="0048039D" w:rsidRPr="00383668" w:rsidRDefault="0048039D" w:rsidP="00FB3937">
            <w:pPr>
              <w:ind w:right="18"/>
              <w:rPr>
                <w:rFonts w:cs="Times New Roman"/>
              </w:rPr>
            </w:pPr>
            <w:r w:rsidRPr="00383668">
              <w:rPr>
                <w:rFonts w:cs="Times New Roman"/>
              </w:rPr>
              <w:t xml:space="preserve">WASHINGTON UTILITIES AND TRANSPORTATION COMMISSION, </w:t>
            </w:r>
          </w:p>
          <w:p w14:paraId="79E3DF43" w14:textId="77777777" w:rsidR="0048039D" w:rsidRPr="00383668" w:rsidRDefault="0048039D" w:rsidP="00FB3937">
            <w:pPr>
              <w:ind w:right="18"/>
              <w:rPr>
                <w:rFonts w:cs="Times New Roman"/>
              </w:rPr>
            </w:pPr>
          </w:p>
          <w:p w14:paraId="35F9139D" w14:textId="77777777" w:rsidR="0048039D" w:rsidRPr="00383668" w:rsidRDefault="0048039D" w:rsidP="00FB3937">
            <w:pPr>
              <w:ind w:right="18"/>
              <w:rPr>
                <w:rFonts w:cs="Times New Roman"/>
              </w:rPr>
            </w:pPr>
            <w:r w:rsidRPr="00383668">
              <w:rPr>
                <w:rFonts w:cs="Times New Roman"/>
              </w:rPr>
              <w:tab/>
            </w:r>
            <w:r w:rsidRPr="00383668">
              <w:rPr>
                <w:rFonts w:cs="Times New Roman"/>
              </w:rPr>
              <w:tab/>
              <w:t>Complainant,</w:t>
            </w:r>
          </w:p>
          <w:p w14:paraId="2F7234B2" w14:textId="77777777" w:rsidR="0048039D" w:rsidRPr="00383668" w:rsidRDefault="0048039D" w:rsidP="00FB3937">
            <w:pPr>
              <w:ind w:right="18"/>
              <w:rPr>
                <w:rFonts w:cs="Times New Roman"/>
              </w:rPr>
            </w:pPr>
          </w:p>
          <w:p w14:paraId="4B5C4F27" w14:textId="2568CC40" w:rsidR="0048039D" w:rsidRPr="00383668" w:rsidRDefault="0048039D" w:rsidP="00FB3937">
            <w:pPr>
              <w:ind w:right="18"/>
              <w:rPr>
                <w:rFonts w:cs="Times New Roman"/>
              </w:rPr>
            </w:pPr>
            <w:r w:rsidRPr="00383668">
              <w:rPr>
                <w:rFonts w:cs="Times New Roman"/>
              </w:rPr>
              <w:t>v.</w:t>
            </w:r>
          </w:p>
          <w:p w14:paraId="2F5577BE" w14:textId="77777777" w:rsidR="0048039D" w:rsidRPr="00383668" w:rsidRDefault="0048039D" w:rsidP="00FB3937">
            <w:pPr>
              <w:ind w:right="18"/>
              <w:rPr>
                <w:rFonts w:cs="Times New Roman"/>
              </w:rPr>
            </w:pPr>
          </w:p>
          <w:p w14:paraId="7CDF6F10" w14:textId="19858F3C" w:rsidR="0048039D" w:rsidRPr="00383668" w:rsidRDefault="00F940EF" w:rsidP="00FB3937">
            <w:pPr>
              <w:ind w:right="18"/>
              <w:rPr>
                <w:rFonts w:cs="Times New Roman"/>
              </w:rPr>
            </w:pPr>
            <w:r>
              <w:rPr>
                <w:rFonts w:cs="Times New Roman"/>
              </w:rPr>
              <w:t>PUGET SOUND ENERGY, INC.</w:t>
            </w:r>
            <w:r w:rsidRPr="00383668">
              <w:rPr>
                <w:rFonts w:cs="Times New Roman"/>
              </w:rPr>
              <w:t xml:space="preserve">, </w:t>
            </w:r>
          </w:p>
          <w:p w14:paraId="22B4BE1D" w14:textId="77777777" w:rsidR="0048039D" w:rsidRPr="00383668" w:rsidRDefault="0048039D" w:rsidP="00FB3937">
            <w:pPr>
              <w:ind w:right="18"/>
              <w:rPr>
                <w:rFonts w:cs="Times New Roman"/>
              </w:rPr>
            </w:pPr>
          </w:p>
          <w:p w14:paraId="0AEE1769" w14:textId="77777777" w:rsidR="0048039D" w:rsidRPr="00383668" w:rsidRDefault="0048039D" w:rsidP="00FB3937">
            <w:pPr>
              <w:ind w:right="18"/>
              <w:rPr>
                <w:rFonts w:cs="Times New Roman"/>
              </w:rPr>
            </w:pPr>
            <w:r w:rsidRPr="00383668">
              <w:rPr>
                <w:rFonts w:cs="Times New Roman"/>
              </w:rPr>
              <w:tab/>
            </w:r>
            <w:r w:rsidRPr="00383668">
              <w:rPr>
                <w:rFonts w:cs="Times New Roman"/>
              </w:rPr>
              <w:tab/>
              <w:t>Respondent.</w:t>
            </w:r>
          </w:p>
          <w:p w14:paraId="6B04C573" w14:textId="77777777" w:rsidR="0048039D" w:rsidRPr="00383668" w:rsidRDefault="0048039D" w:rsidP="00FB3937">
            <w:pPr>
              <w:ind w:right="18"/>
              <w:rPr>
                <w:rFonts w:cs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117B05C" w14:textId="197B223C" w:rsidR="0048039D" w:rsidRDefault="0048039D" w:rsidP="00FB3937">
            <w:pPr>
              <w:ind w:right="18" w:firstLine="416"/>
              <w:rPr>
                <w:rFonts w:cs="Times New Roman"/>
              </w:rPr>
            </w:pPr>
            <w:r w:rsidRPr="00383668">
              <w:rPr>
                <w:rFonts w:cs="Times New Roman"/>
              </w:rPr>
              <w:t>DOCKET</w:t>
            </w:r>
            <w:r w:rsidR="006A13A1">
              <w:rPr>
                <w:rFonts w:cs="Times New Roman"/>
              </w:rPr>
              <w:t>S</w:t>
            </w:r>
            <w:r w:rsidRPr="00383668">
              <w:rPr>
                <w:rFonts w:cs="Times New Roman"/>
              </w:rPr>
              <w:t xml:space="preserve"> UE-1</w:t>
            </w:r>
            <w:r w:rsidR="006A13A1">
              <w:rPr>
                <w:rFonts w:cs="Times New Roman"/>
              </w:rPr>
              <w:t>11048 and</w:t>
            </w:r>
          </w:p>
          <w:p w14:paraId="23DD1624" w14:textId="3433692B" w:rsidR="006A13A1" w:rsidRPr="006A13A1" w:rsidRDefault="006A13A1" w:rsidP="00FB3937">
            <w:pPr>
              <w:ind w:right="18" w:firstLine="416"/>
              <w:rPr>
                <w:rFonts w:cs="Times New Roman"/>
              </w:rPr>
            </w:pPr>
            <w:r>
              <w:rPr>
                <w:rFonts w:cs="Times New Roman"/>
              </w:rPr>
              <w:t>UG-111049 (</w:t>
            </w:r>
            <w:r>
              <w:rPr>
                <w:rFonts w:cs="Times New Roman"/>
                <w:i/>
              </w:rPr>
              <w:t>Consolidated</w:t>
            </w:r>
            <w:r>
              <w:rPr>
                <w:rFonts w:cs="Times New Roman"/>
              </w:rPr>
              <w:t>)</w:t>
            </w:r>
          </w:p>
          <w:p w14:paraId="74D57C54" w14:textId="77777777" w:rsidR="0048039D" w:rsidRPr="00383668" w:rsidRDefault="0048039D" w:rsidP="00FB3937">
            <w:pPr>
              <w:ind w:right="18" w:firstLine="416"/>
              <w:rPr>
                <w:rFonts w:cs="Times New Roman"/>
              </w:rPr>
            </w:pPr>
          </w:p>
          <w:p w14:paraId="3D0FAA96" w14:textId="7405DD1B" w:rsidR="0048039D" w:rsidRPr="00383668" w:rsidRDefault="006A13A1" w:rsidP="00FB3937">
            <w:pPr>
              <w:ind w:left="416"/>
              <w:rPr>
                <w:rFonts w:cs="Times New Roman"/>
              </w:rPr>
            </w:pPr>
            <w:r w:rsidRPr="00383668">
              <w:rPr>
                <w:rFonts w:cs="Times New Roman"/>
              </w:rPr>
              <w:t>COMMISSION STAFF</w:t>
            </w:r>
            <w:r>
              <w:rPr>
                <w:rFonts w:cs="Times New Roman"/>
              </w:rPr>
              <w:t>’S</w:t>
            </w:r>
            <w:r w:rsidRPr="0038366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REPLY TO PUGET SOUND ENERGY’S MOTION TO AMEND ORDER 08</w:t>
            </w:r>
          </w:p>
          <w:p w14:paraId="1D1010F0" w14:textId="77777777" w:rsidR="0048039D" w:rsidRPr="00383668" w:rsidRDefault="0048039D" w:rsidP="00FB3937">
            <w:pPr>
              <w:ind w:right="18"/>
              <w:rPr>
                <w:rFonts w:cs="Times New Roman"/>
              </w:rPr>
            </w:pPr>
          </w:p>
        </w:tc>
      </w:tr>
    </w:tbl>
    <w:p w14:paraId="56900E7C" w14:textId="73A71B59" w:rsidR="0048039D" w:rsidRPr="009D608C" w:rsidRDefault="0048039D" w:rsidP="0048039D">
      <w:pPr>
        <w:ind w:right="18"/>
        <w:jc w:val="both"/>
        <w:rPr>
          <w:rFonts w:cs="Times New Roman"/>
          <w:szCs w:val="24"/>
        </w:rPr>
      </w:pPr>
    </w:p>
    <w:p w14:paraId="63562A86" w14:textId="0646009C" w:rsidR="0048039D" w:rsidRPr="000C4AEE" w:rsidRDefault="0048039D" w:rsidP="0048039D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r w:rsidRPr="00D317D1">
        <w:rPr>
          <w:szCs w:val="24"/>
        </w:rPr>
        <w:tab/>
        <w:t xml:space="preserve">Commission Staff submits these comments in </w:t>
      </w:r>
      <w:r w:rsidR="00D20153">
        <w:rPr>
          <w:szCs w:val="24"/>
        </w:rPr>
        <w:t>response</w:t>
      </w:r>
      <w:r w:rsidR="00365D5C">
        <w:rPr>
          <w:szCs w:val="24"/>
        </w:rPr>
        <w:t xml:space="preserve"> </w:t>
      </w:r>
      <w:r w:rsidR="00D20153">
        <w:rPr>
          <w:szCs w:val="24"/>
        </w:rPr>
        <w:t>to</w:t>
      </w:r>
      <w:r w:rsidR="00365D5C">
        <w:rPr>
          <w:szCs w:val="24"/>
        </w:rPr>
        <w:t xml:space="preserve"> the Motion to Amend Order 08</w:t>
      </w:r>
      <w:r w:rsidR="003160CA">
        <w:rPr>
          <w:szCs w:val="24"/>
        </w:rPr>
        <w:t xml:space="preserve"> </w:t>
      </w:r>
      <w:r w:rsidR="00365D5C">
        <w:rPr>
          <w:szCs w:val="24"/>
        </w:rPr>
        <w:t>of</w:t>
      </w:r>
      <w:r w:rsidR="00365D5C" w:rsidRPr="00D317D1">
        <w:rPr>
          <w:szCs w:val="24"/>
        </w:rPr>
        <w:t xml:space="preserve"> </w:t>
      </w:r>
      <w:r w:rsidR="00365D5C">
        <w:rPr>
          <w:szCs w:val="24"/>
        </w:rPr>
        <w:t>Puget Sound Energy, Inc. (“PSE”) filed October 29, 2014.</w:t>
      </w:r>
      <w:r w:rsidR="00D20153">
        <w:rPr>
          <w:szCs w:val="24"/>
        </w:rPr>
        <w:t xml:space="preserve">  </w:t>
      </w:r>
      <w:r w:rsidR="003160CA">
        <w:rPr>
          <w:szCs w:val="24"/>
        </w:rPr>
        <w:t>PSE moves</w:t>
      </w:r>
      <w:r w:rsidR="0057641E">
        <w:rPr>
          <w:szCs w:val="24"/>
        </w:rPr>
        <w:t xml:space="preserve"> for an order to amend Order 08 in Dockets UE-111048 and UG-111049 (consolidated), entered May 7, 2012,</w:t>
      </w:r>
      <w:r w:rsidR="0057641E" w:rsidRPr="0057641E">
        <w:rPr>
          <w:szCs w:val="24"/>
        </w:rPr>
        <w:t xml:space="preserve"> </w:t>
      </w:r>
      <w:r w:rsidR="0057641E">
        <w:rPr>
          <w:szCs w:val="24"/>
        </w:rPr>
        <w:t xml:space="preserve">(“Order 08”) to allow </w:t>
      </w:r>
      <w:r w:rsidR="008B42D7">
        <w:rPr>
          <w:szCs w:val="24"/>
        </w:rPr>
        <w:t>it</w:t>
      </w:r>
      <w:r w:rsidR="0057641E">
        <w:rPr>
          <w:szCs w:val="24"/>
        </w:rPr>
        <w:t xml:space="preserve"> to credit customers the actual net proceeds from the sale of renewable energy credits (“REC”), amo</w:t>
      </w:r>
      <w:r w:rsidR="0084643C">
        <w:rPr>
          <w:szCs w:val="24"/>
        </w:rPr>
        <w:t xml:space="preserve">rtized over a one-year period.  </w:t>
      </w:r>
      <w:r w:rsidR="003C538D">
        <w:rPr>
          <w:szCs w:val="24"/>
        </w:rPr>
        <w:t>Staff submits these comments</w:t>
      </w:r>
      <w:r w:rsidR="0013015B">
        <w:rPr>
          <w:szCs w:val="24"/>
        </w:rPr>
        <w:t xml:space="preserve"> in support of PSE’s motion, as well as to clarify its understanding</w:t>
      </w:r>
      <w:r w:rsidR="00CD3285">
        <w:rPr>
          <w:szCs w:val="24"/>
        </w:rPr>
        <w:t xml:space="preserve"> of</w:t>
      </w:r>
      <w:r w:rsidR="0013015B">
        <w:rPr>
          <w:szCs w:val="24"/>
        </w:rPr>
        <w:t xml:space="preserve"> PSE’s proposal.   </w:t>
      </w:r>
    </w:p>
    <w:p w14:paraId="01CAA71D" w14:textId="403E6AC9" w:rsidR="006A13A1" w:rsidRPr="00651320" w:rsidRDefault="0048039D" w:rsidP="006A13A1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>
        <w:rPr>
          <w:b/>
          <w:szCs w:val="24"/>
        </w:rPr>
        <w:lastRenderedPageBreak/>
        <w:tab/>
      </w:r>
      <w:r w:rsidR="0013015B">
        <w:rPr>
          <w:szCs w:val="24"/>
        </w:rPr>
        <w:t xml:space="preserve">In Order 08, the Commission </w:t>
      </w:r>
      <w:r w:rsidR="00190755">
        <w:rPr>
          <w:szCs w:val="24"/>
        </w:rPr>
        <w:t>established</w:t>
      </w:r>
      <w:r w:rsidR="006F5935">
        <w:rPr>
          <w:szCs w:val="24"/>
        </w:rPr>
        <w:t xml:space="preserve"> a</w:t>
      </w:r>
      <w:r w:rsidR="008B42D7">
        <w:rPr>
          <w:szCs w:val="24"/>
        </w:rPr>
        <w:t xml:space="preserve"> new</w:t>
      </w:r>
      <w:r w:rsidR="006F5935">
        <w:rPr>
          <w:szCs w:val="24"/>
        </w:rPr>
        <w:t xml:space="preserve"> REC </w:t>
      </w:r>
      <w:r w:rsidR="00190755">
        <w:rPr>
          <w:szCs w:val="24"/>
        </w:rPr>
        <w:t xml:space="preserve">Revenue </w:t>
      </w:r>
      <w:r w:rsidR="006F5935">
        <w:rPr>
          <w:szCs w:val="24"/>
        </w:rPr>
        <w:t>Tracker</w:t>
      </w:r>
      <w:r w:rsidR="00190755">
        <w:rPr>
          <w:szCs w:val="24"/>
        </w:rPr>
        <w:t xml:space="preserve"> to flow the benefits of REC proceeds to customers</w:t>
      </w:r>
      <w:r w:rsidR="008B42D7">
        <w:rPr>
          <w:szCs w:val="24"/>
        </w:rPr>
        <w:t>.</w:t>
      </w:r>
      <w:r w:rsidR="008B42D7">
        <w:rPr>
          <w:rStyle w:val="FootnoteReference"/>
          <w:szCs w:val="24"/>
        </w:rPr>
        <w:footnoteReference w:id="1"/>
      </w:r>
      <w:r w:rsidR="008B42D7">
        <w:rPr>
          <w:szCs w:val="24"/>
        </w:rPr>
        <w:t xml:space="preserve">  The REC Revenue Tracker adopted </w:t>
      </w:r>
      <w:r w:rsidR="00C17468">
        <w:rPr>
          <w:szCs w:val="24"/>
        </w:rPr>
        <w:t>in Order 08</w:t>
      </w:r>
      <w:r w:rsidR="006F5935">
        <w:rPr>
          <w:szCs w:val="24"/>
        </w:rPr>
        <w:t xml:space="preserve"> was developed and proposed by Staff, Public Counsel, Industrial Customers of Northwest Utilities, and the Kroger Co. as part of a Multiparty Settlement Agreement.</w:t>
      </w:r>
      <w:r w:rsidR="008B42D7">
        <w:rPr>
          <w:rStyle w:val="FootnoteReference"/>
          <w:szCs w:val="24"/>
        </w:rPr>
        <w:footnoteReference w:id="2"/>
      </w:r>
      <w:r w:rsidR="00190755">
        <w:rPr>
          <w:szCs w:val="24"/>
        </w:rPr>
        <w:t xml:space="preserve">  </w:t>
      </w:r>
      <w:r w:rsidR="00177AB9">
        <w:rPr>
          <w:szCs w:val="24"/>
        </w:rPr>
        <w:t>The REC Revenue Tracker credited to customers</w:t>
      </w:r>
      <w:r w:rsidR="00177AB9" w:rsidRPr="00177AB9">
        <w:rPr>
          <w:szCs w:val="24"/>
        </w:rPr>
        <w:t xml:space="preserve"> </w:t>
      </w:r>
      <w:r w:rsidR="00177AB9">
        <w:rPr>
          <w:szCs w:val="24"/>
        </w:rPr>
        <w:t>REC proceeds over a three-year amortization period via bill credits, with deferred balances accruing interest at PSE’s authorized rate of return.</w:t>
      </w:r>
      <w:r w:rsidR="00177AB9">
        <w:rPr>
          <w:rStyle w:val="FootnoteReference"/>
          <w:szCs w:val="24"/>
        </w:rPr>
        <w:footnoteReference w:id="3"/>
      </w:r>
      <w:r w:rsidR="00E12233">
        <w:rPr>
          <w:szCs w:val="24"/>
        </w:rPr>
        <w:t xml:space="preserve">  </w:t>
      </w:r>
      <w:r w:rsidR="0097770F">
        <w:rPr>
          <w:szCs w:val="24"/>
        </w:rPr>
        <w:t>In its decision, t</w:t>
      </w:r>
      <w:r w:rsidR="00703567">
        <w:rPr>
          <w:szCs w:val="24"/>
        </w:rPr>
        <w:t>he</w:t>
      </w:r>
      <w:r w:rsidR="00651320">
        <w:rPr>
          <w:szCs w:val="24"/>
        </w:rPr>
        <w:t xml:space="preserve"> Commission noted testimony</w:t>
      </w:r>
      <w:r w:rsidR="00703567">
        <w:rPr>
          <w:szCs w:val="24"/>
        </w:rPr>
        <w:t xml:space="preserve"> by various parties</w:t>
      </w:r>
      <w:r w:rsidR="00651320">
        <w:rPr>
          <w:szCs w:val="24"/>
        </w:rPr>
        <w:t xml:space="preserve"> that the REC Revenue Tracker ap</w:t>
      </w:r>
      <w:r w:rsidR="00651320">
        <w:rPr>
          <w:szCs w:val="24"/>
        </w:rPr>
        <w:lastRenderedPageBreak/>
        <w:t xml:space="preserve">propriately balanced customers’ interest in timely rate relief with the desirability of rate stability and </w:t>
      </w:r>
      <w:r w:rsidR="00CA6FA1">
        <w:rPr>
          <w:szCs w:val="24"/>
        </w:rPr>
        <w:t>PSE’s</w:t>
      </w:r>
      <w:r w:rsidR="00651320">
        <w:rPr>
          <w:szCs w:val="24"/>
        </w:rPr>
        <w:t xml:space="preserve"> interest in predictable cost recovery.</w:t>
      </w:r>
      <w:r w:rsidR="00651320">
        <w:rPr>
          <w:rStyle w:val="FootnoteReference"/>
          <w:szCs w:val="24"/>
        </w:rPr>
        <w:footnoteReference w:id="4"/>
      </w:r>
    </w:p>
    <w:p w14:paraId="3B38E7CA" w14:textId="22B9BC3E" w:rsidR="00DA5B2C" w:rsidRDefault="00651320" w:rsidP="00DA5B2C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FC4B99">
        <w:rPr>
          <w:szCs w:val="24"/>
        </w:rPr>
        <w:t xml:space="preserve"> </w:t>
      </w:r>
      <w:r w:rsidRPr="00FC4B99">
        <w:rPr>
          <w:szCs w:val="24"/>
        </w:rPr>
        <w:tab/>
      </w:r>
      <w:r w:rsidR="00B162AB" w:rsidRPr="00FC4B99">
        <w:rPr>
          <w:szCs w:val="24"/>
        </w:rPr>
        <w:t xml:space="preserve">PSE </w:t>
      </w:r>
      <w:r w:rsidR="00703567">
        <w:rPr>
          <w:szCs w:val="24"/>
        </w:rPr>
        <w:t xml:space="preserve">now </w:t>
      </w:r>
      <w:r w:rsidR="00B162AB" w:rsidRPr="00FC4B99">
        <w:rPr>
          <w:szCs w:val="24"/>
        </w:rPr>
        <w:t xml:space="preserve">moves for </w:t>
      </w:r>
      <w:r w:rsidR="00703567">
        <w:rPr>
          <w:szCs w:val="24"/>
        </w:rPr>
        <w:t>the Commission</w:t>
      </w:r>
      <w:r w:rsidR="00B162AB" w:rsidRPr="00FC4B99">
        <w:rPr>
          <w:szCs w:val="24"/>
        </w:rPr>
        <w:t xml:space="preserve"> to amend Order 08 to allow it, beginning January 1, 2015, and each calendar year thereafter, </w:t>
      </w:r>
      <w:r w:rsidR="00FC4B99" w:rsidRPr="00FC4B99">
        <w:rPr>
          <w:szCs w:val="24"/>
        </w:rPr>
        <w:t xml:space="preserve">to credit customers the </w:t>
      </w:r>
      <w:r w:rsidR="00FC4B99" w:rsidRPr="00FC4B99">
        <w:rPr>
          <w:i/>
          <w:szCs w:val="24"/>
        </w:rPr>
        <w:t>actual</w:t>
      </w:r>
      <w:r w:rsidR="00FC4B99" w:rsidRPr="00FC4B99">
        <w:rPr>
          <w:szCs w:val="24"/>
        </w:rPr>
        <w:t xml:space="preserve"> REC proceeds collected through the most recently closed accounting period</w:t>
      </w:r>
      <w:r w:rsidR="00703567">
        <w:rPr>
          <w:szCs w:val="24"/>
        </w:rPr>
        <w:t xml:space="preserve"> </w:t>
      </w:r>
      <w:r w:rsidR="00703567" w:rsidRPr="00B64847">
        <w:rPr>
          <w:szCs w:val="24"/>
        </w:rPr>
        <w:t>(generally October of each year)</w:t>
      </w:r>
      <w:r w:rsidR="00DA5B2C">
        <w:rPr>
          <w:szCs w:val="24"/>
        </w:rPr>
        <w:t>.</w:t>
      </w:r>
      <w:r w:rsidR="00DA5B2C">
        <w:rPr>
          <w:rStyle w:val="FootnoteReference"/>
          <w:szCs w:val="24"/>
        </w:rPr>
        <w:footnoteReference w:id="5"/>
      </w:r>
      <w:r w:rsidR="00DA5B2C">
        <w:rPr>
          <w:szCs w:val="24"/>
        </w:rPr>
        <w:t xml:space="preserve">  PSE would provide credits to customers</w:t>
      </w:r>
      <w:r w:rsidR="00FC4B99" w:rsidRPr="00FC4B99">
        <w:rPr>
          <w:szCs w:val="24"/>
        </w:rPr>
        <w:t xml:space="preserve"> amortized over a one-year period, rather than providing </w:t>
      </w:r>
      <w:r w:rsidR="00DA5B2C">
        <w:rPr>
          <w:szCs w:val="24"/>
        </w:rPr>
        <w:t>forecasted credits over a three-</w:t>
      </w:r>
      <w:r w:rsidR="00FC4B99" w:rsidRPr="00FC4B99">
        <w:rPr>
          <w:szCs w:val="24"/>
        </w:rPr>
        <w:t>year period.</w:t>
      </w:r>
      <w:r w:rsidR="00153FBC">
        <w:rPr>
          <w:rStyle w:val="FootnoteReference"/>
          <w:szCs w:val="24"/>
        </w:rPr>
        <w:footnoteReference w:id="6"/>
      </w:r>
      <w:r w:rsidR="00FC4B99">
        <w:rPr>
          <w:szCs w:val="24"/>
        </w:rPr>
        <w:t xml:space="preserve">  The REC proceeds would continue to </w:t>
      </w:r>
      <w:r w:rsidR="00FC4B99">
        <w:rPr>
          <w:szCs w:val="24"/>
        </w:rPr>
        <w:lastRenderedPageBreak/>
        <w:t xml:space="preserve">earn interest at PSE’s </w:t>
      </w:r>
      <w:r w:rsidR="00FC4B99" w:rsidRPr="008637C4">
        <w:rPr>
          <w:szCs w:val="24"/>
        </w:rPr>
        <w:t xml:space="preserve">net of tax rate of return </w:t>
      </w:r>
      <w:r w:rsidR="008637C4">
        <w:rPr>
          <w:szCs w:val="24"/>
        </w:rPr>
        <w:t>in accordance with Order 08</w:t>
      </w:r>
      <w:r w:rsidR="00FC4B99">
        <w:rPr>
          <w:szCs w:val="24"/>
        </w:rPr>
        <w:t>, until the proceeds are fully credited to customers.</w:t>
      </w:r>
      <w:r w:rsidR="00FC4B99">
        <w:rPr>
          <w:rStyle w:val="FootnoteReference"/>
          <w:szCs w:val="24"/>
        </w:rPr>
        <w:footnoteReference w:id="7"/>
      </w:r>
    </w:p>
    <w:p w14:paraId="57A64055" w14:textId="770A24F9" w:rsidR="00DA5B2C" w:rsidRPr="00B64847" w:rsidRDefault="00DA5B2C" w:rsidP="00371700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color w:val="000000"/>
          <w:szCs w:val="24"/>
        </w:rPr>
      </w:pPr>
      <w:r w:rsidRPr="00B64847">
        <w:rPr>
          <w:rFonts w:cs="Times New Roman"/>
          <w:szCs w:val="24"/>
        </w:rPr>
        <w:t xml:space="preserve"> </w:t>
      </w:r>
      <w:r w:rsidRPr="00B64847">
        <w:rPr>
          <w:rFonts w:cs="Times New Roman"/>
          <w:szCs w:val="24"/>
        </w:rPr>
        <w:tab/>
      </w:r>
      <w:r w:rsidR="008B69AB" w:rsidRPr="00B64847">
        <w:rPr>
          <w:rFonts w:cs="Times New Roman"/>
          <w:szCs w:val="24"/>
        </w:rPr>
        <w:t>A</w:t>
      </w:r>
      <w:r w:rsidR="002A7D49" w:rsidRPr="00B64847">
        <w:rPr>
          <w:rFonts w:cs="Times New Roman"/>
          <w:szCs w:val="24"/>
        </w:rPr>
        <w:t xml:space="preserve">fter </w:t>
      </w:r>
      <w:r w:rsidR="008B69AB" w:rsidRPr="00B64847">
        <w:rPr>
          <w:rFonts w:cs="Times New Roman"/>
          <w:szCs w:val="24"/>
        </w:rPr>
        <w:t>clarifying</w:t>
      </w:r>
      <w:r w:rsidR="002A7D49" w:rsidRPr="00B64847">
        <w:rPr>
          <w:rFonts w:cs="Times New Roman"/>
          <w:szCs w:val="24"/>
        </w:rPr>
        <w:t xml:space="preserve"> with </w:t>
      </w:r>
      <w:r w:rsidR="00CA6FA1">
        <w:rPr>
          <w:rFonts w:cs="Times New Roman"/>
          <w:szCs w:val="24"/>
        </w:rPr>
        <w:t>PSE</w:t>
      </w:r>
      <w:r w:rsidR="002A7D49" w:rsidRPr="00B64847">
        <w:rPr>
          <w:rFonts w:cs="Times New Roman"/>
          <w:szCs w:val="24"/>
        </w:rPr>
        <w:t xml:space="preserve">, </w:t>
      </w:r>
      <w:r w:rsidR="008B69AB" w:rsidRPr="00B64847">
        <w:rPr>
          <w:rFonts w:cs="Times New Roman"/>
          <w:szCs w:val="24"/>
        </w:rPr>
        <w:t xml:space="preserve">Staff understands </w:t>
      </w:r>
      <w:r w:rsidR="002A7D49" w:rsidRPr="00B64847">
        <w:rPr>
          <w:rFonts w:cs="Times New Roman"/>
          <w:szCs w:val="24"/>
        </w:rPr>
        <w:t xml:space="preserve">that </w:t>
      </w:r>
      <w:r w:rsidR="00CA6FA1">
        <w:rPr>
          <w:rFonts w:cs="Times New Roman"/>
          <w:szCs w:val="24"/>
        </w:rPr>
        <w:t>PSE intends</w:t>
      </w:r>
      <w:r w:rsidR="002A7D49" w:rsidRPr="00B64847">
        <w:rPr>
          <w:rFonts w:cs="Times New Roman"/>
          <w:szCs w:val="24"/>
        </w:rPr>
        <w:t xml:space="preserve"> to credit to customers </w:t>
      </w:r>
      <w:r w:rsidR="00B70245" w:rsidRPr="00B64847">
        <w:rPr>
          <w:rFonts w:cs="Times New Roman"/>
          <w:szCs w:val="24"/>
        </w:rPr>
        <w:t xml:space="preserve">over a one-year period </w:t>
      </w:r>
      <w:r w:rsidR="002A7D49" w:rsidRPr="00B64847">
        <w:rPr>
          <w:rFonts w:cs="Times New Roman"/>
          <w:szCs w:val="24"/>
        </w:rPr>
        <w:t xml:space="preserve">the entire balance </w:t>
      </w:r>
      <w:r w:rsidR="00B70245" w:rsidRPr="00B64847">
        <w:rPr>
          <w:rFonts w:cs="Times New Roman"/>
          <w:szCs w:val="24"/>
        </w:rPr>
        <w:t>of actual REC proceeds</w:t>
      </w:r>
      <w:r w:rsidR="002A7D49" w:rsidRPr="00B64847">
        <w:rPr>
          <w:rFonts w:cs="Times New Roman"/>
          <w:szCs w:val="24"/>
        </w:rPr>
        <w:t xml:space="preserve"> </w:t>
      </w:r>
      <w:r w:rsidR="00B70245" w:rsidRPr="00B64847">
        <w:rPr>
          <w:rFonts w:cs="Times New Roman"/>
          <w:szCs w:val="24"/>
        </w:rPr>
        <w:t xml:space="preserve">collected through the most recently </w:t>
      </w:r>
      <w:r w:rsidR="00B70245" w:rsidRPr="00B64847">
        <w:rPr>
          <w:szCs w:val="24"/>
        </w:rPr>
        <w:t>closed accounting period</w:t>
      </w:r>
      <w:r w:rsidR="00B64847" w:rsidRPr="00B64847">
        <w:rPr>
          <w:szCs w:val="24"/>
        </w:rPr>
        <w:t>.  Staff further understand</w:t>
      </w:r>
      <w:r w:rsidR="00703567">
        <w:rPr>
          <w:szCs w:val="24"/>
        </w:rPr>
        <w:t>s</w:t>
      </w:r>
      <w:r w:rsidR="00B64847" w:rsidRPr="00B64847">
        <w:rPr>
          <w:szCs w:val="24"/>
        </w:rPr>
        <w:t xml:space="preserve"> that the </w:t>
      </w:r>
      <w:r w:rsidR="008B69AB" w:rsidRPr="00B64847">
        <w:rPr>
          <w:szCs w:val="24"/>
        </w:rPr>
        <w:t xml:space="preserve">first </w:t>
      </w:r>
      <w:r w:rsidR="00B64847">
        <w:rPr>
          <w:szCs w:val="24"/>
        </w:rPr>
        <w:t xml:space="preserve">such </w:t>
      </w:r>
      <w:r w:rsidR="008B69AB" w:rsidRPr="00B64847">
        <w:rPr>
          <w:szCs w:val="24"/>
        </w:rPr>
        <w:t>one-year period of credits</w:t>
      </w:r>
      <w:r w:rsidR="00B64847">
        <w:rPr>
          <w:szCs w:val="24"/>
        </w:rPr>
        <w:t>,</w:t>
      </w:r>
      <w:r w:rsidR="008B69AB" w:rsidRPr="00B64847">
        <w:rPr>
          <w:szCs w:val="24"/>
        </w:rPr>
        <w:t xml:space="preserve"> beginning January 1, 2015, would </w:t>
      </w:r>
      <w:r w:rsidR="00B64847" w:rsidRPr="00B64847">
        <w:rPr>
          <w:szCs w:val="24"/>
        </w:rPr>
        <w:t xml:space="preserve">include several years of </w:t>
      </w:r>
      <w:r w:rsidR="008B69AB" w:rsidRPr="00B64847">
        <w:rPr>
          <w:szCs w:val="24"/>
        </w:rPr>
        <w:t xml:space="preserve">REC proceeds </w:t>
      </w:r>
      <w:r w:rsidR="00B64847" w:rsidRPr="00B64847">
        <w:rPr>
          <w:szCs w:val="24"/>
        </w:rPr>
        <w:t>that have yet to be fully</w:t>
      </w:r>
      <w:r w:rsidR="008B69AB" w:rsidRPr="00B64847">
        <w:rPr>
          <w:szCs w:val="24"/>
        </w:rPr>
        <w:t xml:space="preserve"> </w:t>
      </w:r>
      <w:r w:rsidR="00420349">
        <w:rPr>
          <w:szCs w:val="24"/>
        </w:rPr>
        <w:t>credited back to customers</w:t>
      </w:r>
      <w:bookmarkStart w:id="0" w:name="_GoBack"/>
      <w:bookmarkEnd w:id="0"/>
      <w:r w:rsidR="008B69AB" w:rsidRPr="00B64847">
        <w:rPr>
          <w:szCs w:val="24"/>
        </w:rPr>
        <w:t xml:space="preserve"> </w:t>
      </w:r>
      <w:r w:rsidR="00B64847" w:rsidRPr="00B64847">
        <w:rPr>
          <w:szCs w:val="24"/>
        </w:rPr>
        <w:t xml:space="preserve">under the </w:t>
      </w:r>
      <w:r w:rsidR="00420349">
        <w:rPr>
          <w:szCs w:val="24"/>
        </w:rPr>
        <w:t>current</w:t>
      </w:r>
      <w:r w:rsidR="00420349" w:rsidRPr="00B64847">
        <w:rPr>
          <w:szCs w:val="24"/>
        </w:rPr>
        <w:t xml:space="preserve"> mechanism</w:t>
      </w:r>
      <w:r w:rsidR="00420349">
        <w:rPr>
          <w:szCs w:val="24"/>
        </w:rPr>
        <w:t>’s</w:t>
      </w:r>
      <w:r w:rsidR="00420349" w:rsidRPr="00B64847">
        <w:rPr>
          <w:szCs w:val="24"/>
        </w:rPr>
        <w:t xml:space="preserve"> </w:t>
      </w:r>
      <w:r w:rsidR="00B64847" w:rsidRPr="00B64847">
        <w:rPr>
          <w:szCs w:val="24"/>
        </w:rPr>
        <w:t>three-year</w:t>
      </w:r>
      <w:r w:rsidR="00420349">
        <w:rPr>
          <w:szCs w:val="24"/>
        </w:rPr>
        <w:t xml:space="preserve"> amortization</w:t>
      </w:r>
      <w:r w:rsidR="00B64847" w:rsidRPr="00B64847">
        <w:rPr>
          <w:szCs w:val="24"/>
        </w:rPr>
        <w:t xml:space="preserve"> period.  </w:t>
      </w:r>
    </w:p>
    <w:p w14:paraId="2987D10E" w14:textId="24AFA478" w:rsidR="00651320" w:rsidRPr="007B13C1" w:rsidRDefault="00FC4B99" w:rsidP="00B72427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="000D4FF5" w:rsidRPr="00FC4B99">
        <w:rPr>
          <w:szCs w:val="24"/>
        </w:rPr>
        <w:t>As a basis for</w:t>
      </w:r>
      <w:r w:rsidR="00651320" w:rsidRPr="00FC4B99">
        <w:rPr>
          <w:szCs w:val="24"/>
        </w:rPr>
        <w:t xml:space="preserve"> its </w:t>
      </w:r>
      <w:r w:rsidR="00B64847">
        <w:rPr>
          <w:szCs w:val="24"/>
        </w:rPr>
        <w:t>motion</w:t>
      </w:r>
      <w:r w:rsidR="00651320" w:rsidRPr="00FC4B99">
        <w:rPr>
          <w:szCs w:val="24"/>
        </w:rPr>
        <w:t xml:space="preserve">, PSE </w:t>
      </w:r>
      <w:r w:rsidR="00B162AB" w:rsidRPr="00FC4B99">
        <w:rPr>
          <w:szCs w:val="24"/>
        </w:rPr>
        <w:t>emphasizes</w:t>
      </w:r>
      <w:r w:rsidR="000D4FF5" w:rsidRPr="00FC4B99">
        <w:rPr>
          <w:szCs w:val="24"/>
        </w:rPr>
        <w:t xml:space="preserve"> that the REC market was much more robust when the REC Revenue Tracker was established</w:t>
      </w:r>
      <w:r w:rsidR="00B64847">
        <w:rPr>
          <w:szCs w:val="24"/>
        </w:rPr>
        <w:t xml:space="preserve"> in Order 08</w:t>
      </w:r>
      <w:r w:rsidR="000D4FF5" w:rsidRPr="00FC4B99">
        <w:rPr>
          <w:szCs w:val="24"/>
        </w:rPr>
        <w:t xml:space="preserve"> than it is today; initial REC proceeds were nearly $17 million, but since </w:t>
      </w:r>
      <w:r w:rsidR="000D4FF5" w:rsidRPr="00FC4B99">
        <w:rPr>
          <w:szCs w:val="24"/>
        </w:rPr>
        <w:lastRenderedPageBreak/>
        <w:t>2013, have declined to well below $1 million annually.</w:t>
      </w:r>
      <w:r w:rsidR="000D4FF5">
        <w:rPr>
          <w:rStyle w:val="FootnoteReference"/>
          <w:szCs w:val="24"/>
        </w:rPr>
        <w:footnoteReference w:id="8"/>
      </w:r>
      <w:r w:rsidR="00B162AB" w:rsidRPr="00FC4B99">
        <w:rPr>
          <w:szCs w:val="24"/>
        </w:rPr>
        <w:t xml:space="preserve">  PSE </w:t>
      </w:r>
      <w:r w:rsidR="00B64847">
        <w:rPr>
          <w:szCs w:val="24"/>
        </w:rPr>
        <w:t>reasons</w:t>
      </w:r>
      <w:r>
        <w:rPr>
          <w:szCs w:val="24"/>
        </w:rPr>
        <w:t xml:space="preserve"> </w:t>
      </w:r>
      <w:r w:rsidR="00B64847">
        <w:rPr>
          <w:szCs w:val="24"/>
        </w:rPr>
        <w:t xml:space="preserve">that by basing credits on actual </w:t>
      </w:r>
      <w:r w:rsidR="00C67E2E">
        <w:rPr>
          <w:szCs w:val="24"/>
        </w:rPr>
        <w:t>REC proceeds</w:t>
      </w:r>
      <w:r w:rsidR="00B64847">
        <w:rPr>
          <w:szCs w:val="24"/>
        </w:rPr>
        <w:t xml:space="preserve">, </w:t>
      </w:r>
      <w:r>
        <w:rPr>
          <w:szCs w:val="24"/>
        </w:rPr>
        <w:t>its proposal will eliminate undue complexity and the opportunity for disputes over the accuracy of its forecasts.</w:t>
      </w:r>
      <w:r>
        <w:rPr>
          <w:rStyle w:val="FootnoteReference"/>
          <w:szCs w:val="24"/>
        </w:rPr>
        <w:footnoteReference w:id="9"/>
      </w:r>
      <w:r>
        <w:rPr>
          <w:szCs w:val="24"/>
        </w:rPr>
        <w:t xml:space="preserve">  Mo</w:t>
      </w:r>
      <w:r w:rsidR="007B13C1">
        <w:rPr>
          <w:szCs w:val="24"/>
        </w:rPr>
        <w:t xml:space="preserve">reover, </w:t>
      </w:r>
      <w:r w:rsidR="00B64847">
        <w:rPr>
          <w:szCs w:val="24"/>
        </w:rPr>
        <w:t xml:space="preserve">by providing the credits over a one-year period instead of a three-year period, the proposal will enable </w:t>
      </w:r>
      <w:r w:rsidR="007B13C1">
        <w:rPr>
          <w:szCs w:val="24"/>
        </w:rPr>
        <w:t xml:space="preserve">customers </w:t>
      </w:r>
      <w:r w:rsidR="00B64847">
        <w:rPr>
          <w:szCs w:val="24"/>
        </w:rPr>
        <w:t>to</w:t>
      </w:r>
      <w:r w:rsidR="007B13C1">
        <w:rPr>
          <w:szCs w:val="24"/>
        </w:rPr>
        <w:t xml:space="preserve"> receive the benefit of REC proceeds sooner.  </w:t>
      </w:r>
    </w:p>
    <w:p w14:paraId="23B1C02C" w14:textId="371A8748" w:rsidR="007B13C1" w:rsidRPr="009D65A5" w:rsidRDefault="007B13C1" w:rsidP="00B72427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Staff agrees that the REC market has changed significantly, and that REC proceeds have diminished to an extent that no longer justifies extending credits to customers over a three-year period.  </w:t>
      </w:r>
      <w:r w:rsidR="009D65A5">
        <w:rPr>
          <w:szCs w:val="24"/>
        </w:rPr>
        <w:t xml:space="preserve">Staff </w:t>
      </w:r>
      <w:r w:rsidR="00E61121">
        <w:rPr>
          <w:szCs w:val="24"/>
        </w:rPr>
        <w:t xml:space="preserve">also agrees that PSE’s proposal is </w:t>
      </w:r>
      <w:r w:rsidR="009D65A5">
        <w:rPr>
          <w:szCs w:val="24"/>
        </w:rPr>
        <w:t>easier to administer, reduces opportunities for dispute, and brings benefits to ratepayers sooner.  For these reasons, Staff supports PSE’s Motion to Amend Order 08.</w:t>
      </w:r>
    </w:p>
    <w:p w14:paraId="19F34A6C" w14:textId="163DE1F7" w:rsidR="0048039D" w:rsidRPr="009D608C" w:rsidRDefault="006A13A1" w:rsidP="006A13A1">
      <w:pPr>
        <w:pStyle w:val="ListParagraph"/>
        <w:spacing w:line="480" w:lineRule="auto"/>
        <w:ind w:left="0"/>
        <w:rPr>
          <w:rFonts w:cs="Times New Roman"/>
          <w:szCs w:val="24"/>
        </w:rPr>
      </w:pPr>
      <w:r>
        <w:rPr>
          <w:szCs w:val="24"/>
        </w:rPr>
        <w:lastRenderedPageBreak/>
        <w:t xml:space="preserve"> </w:t>
      </w:r>
      <w:r>
        <w:rPr>
          <w:szCs w:val="24"/>
        </w:rPr>
        <w:tab/>
      </w:r>
      <w:r w:rsidR="0048039D" w:rsidRPr="009D608C">
        <w:rPr>
          <w:rFonts w:cs="Times New Roman"/>
          <w:szCs w:val="24"/>
        </w:rPr>
        <w:t xml:space="preserve">DATED this </w:t>
      </w:r>
      <w:r>
        <w:rPr>
          <w:rFonts w:cs="Times New Roman"/>
          <w:szCs w:val="24"/>
        </w:rPr>
        <w:t>5</w:t>
      </w:r>
      <w:r w:rsidR="0048039D" w:rsidRPr="009D608C">
        <w:rPr>
          <w:rFonts w:cs="Times New Roman"/>
          <w:szCs w:val="24"/>
          <w:vertAlign w:val="superscript"/>
        </w:rPr>
        <w:t>th</w:t>
      </w:r>
      <w:r w:rsidR="0048039D" w:rsidRPr="009D608C">
        <w:rPr>
          <w:rFonts w:cs="Times New Roman"/>
          <w:szCs w:val="24"/>
        </w:rPr>
        <w:t xml:space="preserve"> day of </w:t>
      </w:r>
      <w:r>
        <w:rPr>
          <w:rFonts w:cs="Times New Roman"/>
          <w:szCs w:val="24"/>
        </w:rPr>
        <w:t>November</w:t>
      </w:r>
      <w:r w:rsidR="0048039D" w:rsidRPr="009D608C">
        <w:rPr>
          <w:rFonts w:cs="Times New Roman"/>
          <w:szCs w:val="24"/>
        </w:rPr>
        <w:t xml:space="preserve"> 2014.</w:t>
      </w:r>
    </w:p>
    <w:p w14:paraId="257AD7BE" w14:textId="77777777" w:rsidR="0048039D" w:rsidRPr="009D608C" w:rsidRDefault="0048039D" w:rsidP="0048039D">
      <w:pPr>
        <w:ind w:left="720"/>
        <w:rPr>
          <w:rFonts w:cs="Times New Roman"/>
          <w:szCs w:val="24"/>
        </w:rPr>
      </w:pPr>
      <w:r w:rsidRPr="009D608C">
        <w:rPr>
          <w:rFonts w:cs="Times New Roman"/>
          <w:szCs w:val="24"/>
        </w:rPr>
        <w:tab/>
      </w:r>
      <w:r w:rsidRPr="009D608C">
        <w:rPr>
          <w:rFonts w:cs="Times New Roman"/>
          <w:szCs w:val="24"/>
        </w:rPr>
        <w:tab/>
      </w:r>
      <w:r w:rsidRPr="009D608C">
        <w:rPr>
          <w:rFonts w:cs="Times New Roman"/>
          <w:szCs w:val="24"/>
        </w:rPr>
        <w:tab/>
      </w:r>
      <w:r w:rsidRPr="009D608C">
        <w:rPr>
          <w:rFonts w:cs="Times New Roman"/>
          <w:szCs w:val="24"/>
        </w:rPr>
        <w:tab/>
      </w:r>
      <w:r w:rsidRPr="009D608C">
        <w:rPr>
          <w:rFonts w:cs="Times New Roman"/>
          <w:szCs w:val="24"/>
        </w:rPr>
        <w:tab/>
      </w:r>
      <w:r w:rsidRPr="009D608C">
        <w:rPr>
          <w:rFonts w:cs="Times New Roman"/>
          <w:szCs w:val="24"/>
        </w:rPr>
        <w:tab/>
        <w:t xml:space="preserve">Respectfully submitted, </w:t>
      </w:r>
    </w:p>
    <w:p w14:paraId="74B36AF0" w14:textId="77777777" w:rsidR="0048039D" w:rsidRPr="009D608C" w:rsidRDefault="0048039D" w:rsidP="0048039D">
      <w:pPr>
        <w:pStyle w:val="BodyTextIndent2"/>
        <w:rPr>
          <w:rFonts w:ascii="Times New Roman" w:hAnsi="Times New Roman"/>
        </w:rPr>
      </w:pPr>
    </w:p>
    <w:p w14:paraId="221A6E01" w14:textId="77777777" w:rsidR="0048039D" w:rsidRPr="009D608C" w:rsidRDefault="0048039D" w:rsidP="0048039D">
      <w:pPr>
        <w:ind w:left="5040"/>
        <w:jc w:val="both"/>
        <w:rPr>
          <w:rFonts w:cs="Times New Roman"/>
          <w:szCs w:val="24"/>
        </w:rPr>
      </w:pPr>
      <w:r w:rsidRPr="009D608C">
        <w:rPr>
          <w:rFonts w:cs="Times New Roman"/>
          <w:szCs w:val="24"/>
        </w:rPr>
        <w:t xml:space="preserve">ROBERT W. FERGUSON </w:t>
      </w:r>
    </w:p>
    <w:p w14:paraId="6AFAD6BB" w14:textId="77777777" w:rsidR="0048039D" w:rsidRPr="009D608C" w:rsidRDefault="0048039D" w:rsidP="0048039D">
      <w:pPr>
        <w:ind w:firstLine="5040"/>
        <w:jc w:val="both"/>
        <w:rPr>
          <w:rFonts w:cs="Times New Roman"/>
          <w:szCs w:val="24"/>
        </w:rPr>
      </w:pPr>
      <w:r w:rsidRPr="009D608C">
        <w:rPr>
          <w:rFonts w:cs="Times New Roman"/>
          <w:szCs w:val="24"/>
        </w:rPr>
        <w:t>Attorney General</w:t>
      </w:r>
    </w:p>
    <w:p w14:paraId="340CB0E1" w14:textId="77777777" w:rsidR="0048039D" w:rsidRPr="009D608C" w:rsidRDefault="0048039D" w:rsidP="0048039D">
      <w:pPr>
        <w:jc w:val="both"/>
        <w:rPr>
          <w:rFonts w:cs="Times New Roman"/>
          <w:szCs w:val="24"/>
        </w:rPr>
      </w:pPr>
    </w:p>
    <w:p w14:paraId="65EA85C5" w14:textId="77777777" w:rsidR="0048039D" w:rsidRPr="009D608C" w:rsidRDefault="0048039D" w:rsidP="0048039D">
      <w:pPr>
        <w:jc w:val="both"/>
        <w:rPr>
          <w:rFonts w:cs="Times New Roman"/>
          <w:szCs w:val="24"/>
        </w:rPr>
      </w:pPr>
    </w:p>
    <w:p w14:paraId="711AD531" w14:textId="77777777" w:rsidR="0048039D" w:rsidRPr="009D608C" w:rsidRDefault="0048039D" w:rsidP="0048039D">
      <w:pPr>
        <w:ind w:left="1440" w:firstLine="3600"/>
        <w:jc w:val="both"/>
        <w:rPr>
          <w:rFonts w:cs="Times New Roman"/>
          <w:szCs w:val="24"/>
        </w:rPr>
      </w:pPr>
      <w:r w:rsidRPr="009D608C">
        <w:rPr>
          <w:rFonts w:cs="Times New Roman"/>
          <w:szCs w:val="24"/>
        </w:rPr>
        <w:t>______________________________</w:t>
      </w:r>
    </w:p>
    <w:p w14:paraId="2D71B7F5" w14:textId="77777777" w:rsidR="0048039D" w:rsidRPr="009D608C" w:rsidRDefault="0048039D" w:rsidP="0048039D">
      <w:pPr>
        <w:ind w:firstLine="5040"/>
        <w:jc w:val="both"/>
        <w:rPr>
          <w:rFonts w:cs="Times New Roman"/>
          <w:szCs w:val="24"/>
        </w:rPr>
      </w:pPr>
      <w:r w:rsidRPr="009D608C">
        <w:rPr>
          <w:rFonts w:cs="Times New Roman"/>
          <w:szCs w:val="24"/>
        </w:rPr>
        <w:t>CHRISTOPHER M. CASEY</w:t>
      </w:r>
    </w:p>
    <w:p w14:paraId="7EAAEEEB" w14:textId="77777777" w:rsidR="0048039D" w:rsidRPr="009D608C" w:rsidRDefault="0048039D" w:rsidP="0048039D">
      <w:pPr>
        <w:ind w:left="1440" w:firstLine="3600"/>
        <w:jc w:val="both"/>
        <w:rPr>
          <w:rFonts w:cs="Times New Roman"/>
          <w:szCs w:val="24"/>
        </w:rPr>
      </w:pPr>
      <w:r w:rsidRPr="009D608C">
        <w:rPr>
          <w:rFonts w:cs="Times New Roman"/>
          <w:szCs w:val="24"/>
        </w:rPr>
        <w:t>Assistant Attorney General</w:t>
      </w:r>
    </w:p>
    <w:p w14:paraId="7E9CA10F" w14:textId="77777777" w:rsidR="0048039D" w:rsidRPr="009D608C" w:rsidRDefault="0048039D" w:rsidP="0048039D">
      <w:pPr>
        <w:ind w:left="2160" w:firstLine="2880"/>
        <w:jc w:val="both"/>
        <w:rPr>
          <w:rFonts w:cs="Times New Roman"/>
          <w:szCs w:val="24"/>
        </w:rPr>
      </w:pPr>
      <w:r w:rsidRPr="009D608C">
        <w:rPr>
          <w:rFonts w:cs="Times New Roman"/>
          <w:szCs w:val="24"/>
        </w:rPr>
        <w:t>Counsel for Washington Utilities and</w:t>
      </w:r>
    </w:p>
    <w:p w14:paraId="59DBA7AC" w14:textId="77777777" w:rsidR="0048039D" w:rsidRPr="009D608C" w:rsidRDefault="0048039D" w:rsidP="0048039D">
      <w:pPr>
        <w:ind w:left="2880" w:firstLine="2160"/>
        <w:jc w:val="both"/>
        <w:rPr>
          <w:szCs w:val="24"/>
        </w:rPr>
      </w:pPr>
      <w:r w:rsidRPr="009D608C">
        <w:rPr>
          <w:rFonts w:cs="Times New Roman"/>
          <w:szCs w:val="24"/>
        </w:rPr>
        <w:t>Transportation Commission Staff</w:t>
      </w:r>
    </w:p>
    <w:p w14:paraId="170A86FE" w14:textId="6E485500" w:rsidR="00100F18" w:rsidRPr="0048039D" w:rsidRDefault="00100F18" w:rsidP="0048039D"/>
    <w:sectPr w:rsidR="00100F18" w:rsidRPr="0048039D" w:rsidSect="009E7D38">
      <w:footerReference w:type="default" r:id="rId11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A8701" w14:textId="77777777" w:rsidR="00A42DB9" w:rsidRDefault="00A42DB9" w:rsidP="009749FA">
      <w:r>
        <w:separator/>
      </w:r>
    </w:p>
  </w:endnote>
  <w:endnote w:type="continuationSeparator" w:id="0">
    <w:p w14:paraId="170A8702" w14:textId="77777777" w:rsidR="00A42DB9" w:rsidRDefault="00A42DB9" w:rsidP="0097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A8703" w14:textId="77777777" w:rsidR="001F1935" w:rsidRPr="001F1935" w:rsidRDefault="00420349">
    <w:pPr>
      <w:pStyle w:val="Footer"/>
      <w:rPr>
        <w:sz w:val="20"/>
        <w:szCs w:val="20"/>
      </w:rPr>
    </w:pPr>
  </w:p>
  <w:p w14:paraId="19292F67" w14:textId="77777777" w:rsidR="006A13A1" w:rsidRDefault="006A13A1">
    <w:pPr>
      <w:pStyle w:val="Footer"/>
      <w:rPr>
        <w:sz w:val="20"/>
        <w:szCs w:val="20"/>
      </w:rPr>
    </w:pPr>
    <w:r w:rsidRPr="006A13A1">
      <w:rPr>
        <w:sz w:val="20"/>
        <w:szCs w:val="20"/>
      </w:rPr>
      <w:t xml:space="preserve">COMMISSION STAFF’S REPLY TO PUGET </w:t>
    </w:r>
  </w:p>
  <w:p w14:paraId="170A8705" w14:textId="5C345B96" w:rsidR="001F1935" w:rsidRPr="001F1935" w:rsidRDefault="006A13A1">
    <w:pPr>
      <w:pStyle w:val="Footer"/>
      <w:rPr>
        <w:sz w:val="20"/>
        <w:szCs w:val="20"/>
      </w:rPr>
    </w:pPr>
    <w:r w:rsidRPr="006A13A1">
      <w:rPr>
        <w:sz w:val="20"/>
        <w:szCs w:val="20"/>
      </w:rPr>
      <w:t>SOUND ENERGY’S MOTION TO AMEND ORDER 08</w:t>
    </w:r>
    <w:r>
      <w:rPr>
        <w:sz w:val="20"/>
        <w:szCs w:val="20"/>
      </w:rPr>
      <w:t xml:space="preserve"> </w:t>
    </w:r>
    <w:r w:rsidR="00A42DB9" w:rsidRPr="009332F6">
      <w:rPr>
        <w:sz w:val="20"/>
        <w:szCs w:val="20"/>
      </w:rPr>
      <w:t xml:space="preserve">- </w:t>
    </w:r>
    <w:r w:rsidR="00A42DB9" w:rsidRPr="009332F6">
      <w:rPr>
        <w:sz w:val="20"/>
        <w:szCs w:val="20"/>
      </w:rPr>
      <w:fldChar w:fldCharType="begin"/>
    </w:r>
    <w:r w:rsidR="00A42DB9" w:rsidRPr="009332F6">
      <w:rPr>
        <w:sz w:val="20"/>
        <w:szCs w:val="20"/>
      </w:rPr>
      <w:instrText xml:space="preserve"> PAGE   \* MERGEFORMAT </w:instrText>
    </w:r>
    <w:r w:rsidR="00A42DB9" w:rsidRPr="009332F6">
      <w:rPr>
        <w:sz w:val="20"/>
        <w:szCs w:val="20"/>
      </w:rPr>
      <w:fldChar w:fldCharType="separate"/>
    </w:r>
    <w:r w:rsidR="00420349">
      <w:rPr>
        <w:noProof/>
        <w:sz w:val="20"/>
        <w:szCs w:val="20"/>
      </w:rPr>
      <w:t>3</w:t>
    </w:r>
    <w:r w:rsidR="00A42DB9" w:rsidRPr="009332F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A86FF" w14:textId="77777777" w:rsidR="00A42DB9" w:rsidRDefault="00A42DB9" w:rsidP="009749FA">
      <w:r>
        <w:separator/>
      </w:r>
    </w:p>
  </w:footnote>
  <w:footnote w:type="continuationSeparator" w:id="0">
    <w:p w14:paraId="170A8700" w14:textId="77777777" w:rsidR="00A42DB9" w:rsidRDefault="00A42DB9" w:rsidP="009749FA">
      <w:r>
        <w:continuationSeparator/>
      </w:r>
    </w:p>
  </w:footnote>
  <w:footnote w:id="1">
    <w:p w14:paraId="564005E7" w14:textId="2EF33470" w:rsidR="008B42D7" w:rsidRPr="006F5935" w:rsidRDefault="008B42D7" w:rsidP="008B42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A6FA1">
        <w:rPr>
          <w:i/>
        </w:rPr>
        <w:t>Washington</w:t>
      </w:r>
      <w:r>
        <w:rPr>
          <w:i/>
        </w:rPr>
        <w:t xml:space="preserve"> Utilities and Transportation Commission v. Puget Sound Energy, Inc.</w:t>
      </w:r>
      <w:r>
        <w:t>, Dockets UE-111048 and UG-111049 (</w:t>
      </w:r>
      <w:r w:rsidRPr="00CA6FA1">
        <w:t>consolidated</w:t>
      </w:r>
      <w:r>
        <w:t xml:space="preserve">), Order 08 </w:t>
      </w:r>
      <w:r w:rsidRPr="006F5935">
        <w:t>Rejecting Tariff Sheets; Authorizing and Requiring Compliance Filing</w:t>
      </w:r>
      <w:r>
        <w:t xml:space="preserve"> (May 7, 2012). </w:t>
      </w:r>
    </w:p>
  </w:footnote>
  <w:footnote w:id="2">
    <w:p w14:paraId="16123968" w14:textId="39E593B3" w:rsidR="008B42D7" w:rsidRPr="008B42D7" w:rsidRDefault="008B42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Id</w:t>
      </w:r>
      <w:r>
        <w:t xml:space="preserve">. at </w:t>
      </w:r>
      <w:r>
        <w:rPr>
          <w:rFonts w:cs="Times New Roman"/>
        </w:rPr>
        <w:t>¶ 332.</w:t>
      </w:r>
    </w:p>
  </w:footnote>
  <w:footnote w:id="3">
    <w:p w14:paraId="24A8A78B" w14:textId="4DA3ED2D" w:rsidR="00177AB9" w:rsidRPr="00177AB9" w:rsidRDefault="00177AB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Id</w:t>
      </w:r>
      <w:r>
        <w:t xml:space="preserve">. at </w:t>
      </w:r>
      <w:r>
        <w:rPr>
          <w:rFonts w:cs="Times New Roman"/>
        </w:rPr>
        <w:t>¶ 342.</w:t>
      </w:r>
    </w:p>
  </w:footnote>
  <w:footnote w:id="4">
    <w:p w14:paraId="4E9BA721" w14:textId="1E893101" w:rsidR="00651320" w:rsidRPr="00651320" w:rsidRDefault="006513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Id</w:t>
      </w:r>
      <w:r>
        <w:t xml:space="preserve">. at </w:t>
      </w:r>
      <w:r>
        <w:rPr>
          <w:rFonts w:cs="Times New Roman"/>
        </w:rPr>
        <w:t>¶ 344.</w:t>
      </w:r>
    </w:p>
  </w:footnote>
  <w:footnote w:id="5">
    <w:p w14:paraId="66727B45" w14:textId="77777777" w:rsidR="00DA5B2C" w:rsidRDefault="00DA5B2C" w:rsidP="00DA5B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WUTC v PSE</w:t>
      </w:r>
      <w:r>
        <w:t>, Dockets UE-111048 and UG-111049 (</w:t>
      </w:r>
      <w:r w:rsidRPr="00CA6FA1">
        <w:t>consolidated</w:t>
      </w:r>
      <w:r>
        <w:t xml:space="preserve">), Motion to Amend Order 08, at </w:t>
      </w:r>
      <w:r>
        <w:rPr>
          <w:rFonts w:cs="Times New Roman"/>
        </w:rPr>
        <w:t>¶ 1 (Oct. 29, 2014).</w:t>
      </w:r>
    </w:p>
  </w:footnote>
  <w:footnote w:id="6">
    <w:p w14:paraId="4963732D" w14:textId="748A5BA1" w:rsidR="00153FBC" w:rsidRPr="00153FBC" w:rsidRDefault="00153F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Id</w:t>
      </w:r>
      <w:r>
        <w:t>.</w:t>
      </w:r>
    </w:p>
  </w:footnote>
  <w:footnote w:id="7">
    <w:p w14:paraId="3A1B51F4" w14:textId="38392BD3" w:rsidR="00FC4B99" w:rsidRPr="00FC4B99" w:rsidRDefault="00FC4B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Id</w:t>
      </w:r>
      <w:r>
        <w:t>.</w:t>
      </w:r>
    </w:p>
  </w:footnote>
  <w:footnote w:id="8">
    <w:p w14:paraId="03D2DC32" w14:textId="24417FED" w:rsidR="000D4FF5" w:rsidRPr="00FC4B99" w:rsidRDefault="000D4F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C4B99">
        <w:rPr>
          <w:i/>
        </w:rPr>
        <w:t>Id</w:t>
      </w:r>
      <w:r w:rsidR="00FC4B99">
        <w:t xml:space="preserve">. at </w:t>
      </w:r>
      <w:r w:rsidR="00FC4B99">
        <w:rPr>
          <w:rFonts w:cs="Times New Roman"/>
        </w:rPr>
        <w:t>¶ 4.</w:t>
      </w:r>
    </w:p>
  </w:footnote>
  <w:footnote w:id="9">
    <w:p w14:paraId="4691C363" w14:textId="25F5DDC6" w:rsidR="00FC4B99" w:rsidRPr="00FC4B99" w:rsidRDefault="00FC4B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Id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12944"/>
    <w:multiLevelType w:val="hybridMultilevel"/>
    <w:tmpl w:val="742677AA"/>
    <w:lvl w:ilvl="0" w:tplc="6ADE5250">
      <w:start w:val="1"/>
      <w:numFmt w:val="decimal"/>
      <w:lvlText w:val="%1"/>
      <w:lvlJc w:val="left"/>
      <w:pPr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140042"/>
    <w:multiLevelType w:val="hybridMultilevel"/>
    <w:tmpl w:val="B68C9E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A54ABB"/>
    <w:multiLevelType w:val="hybridMultilevel"/>
    <w:tmpl w:val="5D2A664C"/>
    <w:lvl w:ilvl="0" w:tplc="0254CEC2">
      <w:start w:val="1"/>
      <w:numFmt w:val="upperRoman"/>
      <w:lvlText w:val="%1."/>
      <w:lvlJc w:val="left"/>
      <w:pPr>
        <w:ind w:left="3780" w:hanging="72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E308F"/>
    <w:multiLevelType w:val="hybridMultilevel"/>
    <w:tmpl w:val="E33AA6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66514"/>
    <w:multiLevelType w:val="hybridMultilevel"/>
    <w:tmpl w:val="20BE7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27D24"/>
    <w:multiLevelType w:val="hybridMultilevel"/>
    <w:tmpl w:val="9E489712"/>
    <w:lvl w:ilvl="0" w:tplc="52C4A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FA"/>
    <w:rsid w:val="000546CA"/>
    <w:rsid w:val="00082E61"/>
    <w:rsid w:val="00085FF0"/>
    <w:rsid w:val="00092D88"/>
    <w:rsid w:val="000964C0"/>
    <w:rsid w:val="000A2B22"/>
    <w:rsid w:val="000B1B76"/>
    <w:rsid w:val="000B7146"/>
    <w:rsid w:val="000C4AEE"/>
    <w:rsid w:val="000D41D8"/>
    <w:rsid w:val="000D4FF5"/>
    <w:rsid w:val="00100F18"/>
    <w:rsid w:val="001041D5"/>
    <w:rsid w:val="0013015B"/>
    <w:rsid w:val="0014218B"/>
    <w:rsid w:val="00145EBD"/>
    <w:rsid w:val="00153FBC"/>
    <w:rsid w:val="00161699"/>
    <w:rsid w:val="0016538E"/>
    <w:rsid w:val="00177AB9"/>
    <w:rsid w:val="00190755"/>
    <w:rsid w:val="001A1F7A"/>
    <w:rsid w:val="001A5BAB"/>
    <w:rsid w:val="001B1452"/>
    <w:rsid w:val="001E1381"/>
    <w:rsid w:val="00202D2D"/>
    <w:rsid w:val="002149CD"/>
    <w:rsid w:val="00225BF6"/>
    <w:rsid w:val="00262003"/>
    <w:rsid w:val="0028718A"/>
    <w:rsid w:val="00290B4B"/>
    <w:rsid w:val="00296215"/>
    <w:rsid w:val="002A7D49"/>
    <w:rsid w:val="002B02DF"/>
    <w:rsid w:val="002D11BC"/>
    <w:rsid w:val="002F1CA8"/>
    <w:rsid w:val="002F39FB"/>
    <w:rsid w:val="00311EED"/>
    <w:rsid w:val="003160CA"/>
    <w:rsid w:val="00321072"/>
    <w:rsid w:val="00365D5C"/>
    <w:rsid w:val="00371766"/>
    <w:rsid w:val="00383668"/>
    <w:rsid w:val="003B4E27"/>
    <w:rsid w:val="003B60D0"/>
    <w:rsid w:val="003C538D"/>
    <w:rsid w:val="003D3F88"/>
    <w:rsid w:val="003E74E9"/>
    <w:rsid w:val="003F0105"/>
    <w:rsid w:val="00406473"/>
    <w:rsid w:val="00417006"/>
    <w:rsid w:val="00420349"/>
    <w:rsid w:val="00423883"/>
    <w:rsid w:val="00435D01"/>
    <w:rsid w:val="0045401A"/>
    <w:rsid w:val="0046121C"/>
    <w:rsid w:val="00475FA9"/>
    <w:rsid w:val="0048039D"/>
    <w:rsid w:val="00481B25"/>
    <w:rsid w:val="004A3B57"/>
    <w:rsid w:val="004A5658"/>
    <w:rsid w:val="004A56B2"/>
    <w:rsid w:val="00506A06"/>
    <w:rsid w:val="005763A6"/>
    <w:rsid w:val="0057641E"/>
    <w:rsid w:val="0058098C"/>
    <w:rsid w:val="0058552C"/>
    <w:rsid w:val="005863DD"/>
    <w:rsid w:val="00592010"/>
    <w:rsid w:val="00593466"/>
    <w:rsid w:val="00595E16"/>
    <w:rsid w:val="0059617C"/>
    <w:rsid w:val="005C135E"/>
    <w:rsid w:val="00605BEE"/>
    <w:rsid w:val="00634540"/>
    <w:rsid w:val="0063566F"/>
    <w:rsid w:val="00640003"/>
    <w:rsid w:val="0064433E"/>
    <w:rsid w:val="00651320"/>
    <w:rsid w:val="0066210A"/>
    <w:rsid w:val="006674AD"/>
    <w:rsid w:val="006720FF"/>
    <w:rsid w:val="006817C4"/>
    <w:rsid w:val="006833B8"/>
    <w:rsid w:val="00691145"/>
    <w:rsid w:val="006955A2"/>
    <w:rsid w:val="006A13A1"/>
    <w:rsid w:val="006B5536"/>
    <w:rsid w:val="006C772A"/>
    <w:rsid w:val="006E2486"/>
    <w:rsid w:val="006F5935"/>
    <w:rsid w:val="00703567"/>
    <w:rsid w:val="007045B5"/>
    <w:rsid w:val="00705BC8"/>
    <w:rsid w:val="00716ED0"/>
    <w:rsid w:val="00757A63"/>
    <w:rsid w:val="00772988"/>
    <w:rsid w:val="00773EEB"/>
    <w:rsid w:val="00774663"/>
    <w:rsid w:val="00774EDA"/>
    <w:rsid w:val="007A08BA"/>
    <w:rsid w:val="007A7D04"/>
    <w:rsid w:val="007B0004"/>
    <w:rsid w:val="007B13C1"/>
    <w:rsid w:val="007B2524"/>
    <w:rsid w:val="007B25FB"/>
    <w:rsid w:val="007D261C"/>
    <w:rsid w:val="007D276B"/>
    <w:rsid w:val="0081673C"/>
    <w:rsid w:val="00836606"/>
    <w:rsid w:val="0084643C"/>
    <w:rsid w:val="008637C4"/>
    <w:rsid w:val="00891002"/>
    <w:rsid w:val="008B1317"/>
    <w:rsid w:val="008B42D7"/>
    <w:rsid w:val="008B4F6A"/>
    <w:rsid w:val="008B69AB"/>
    <w:rsid w:val="008C0A48"/>
    <w:rsid w:val="008E7C0C"/>
    <w:rsid w:val="00913EE2"/>
    <w:rsid w:val="00914A79"/>
    <w:rsid w:val="009272E0"/>
    <w:rsid w:val="009332F6"/>
    <w:rsid w:val="00940844"/>
    <w:rsid w:val="00940DE2"/>
    <w:rsid w:val="0094589B"/>
    <w:rsid w:val="00954634"/>
    <w:rsid w:val="00962CDB"/>
    <w:rsid w:val="009749FA"/>
    <w:rsid w:val="0097770F"/>
    <w:rsid w:val="00993D48"/>
    <w:rsid w:val="009A6DB7"/>
    <w:rsid w:val="009C3647"/>
    <w:rsid w:val="009D608C"/>
    <w:rsid w:val="009D65A5"/>
    <w:rsid w:val="00A3297A"/>
    <w:rsid w:val="00A32D5A"/>
    <w:rsid w:val="00A33B20"/>
    <w:rsid w:val="00A42DB9"/>
    <w:rsid w:val="00A62EBE"/>
    <w:rsid w:val="00A6454F"/>
    <w:rsid w:val="00A834FC"/>
    <w:rsid w:val="00A92FC3"/>
    <w:rsid w:val="00A95105"/>
    <w:rsid w:val="00AD08F6"/>
    <w:rsid w:val="00B14D0A"/>
    <w:rsid w:val="00B162AB"/>
    <w:rsid w:val="00B34DBB"/>
    <w:rsid w:val="00B42C7C"/>
    <w:rsid w:val="00B54E6B"/>
    <w:rsid w:val="00B607ED"/>
    <w:rsid w:val="00B61CC9"/>
    <w:rsid w:val="00B64847"/>
    <w:rsid w:val="00B70245"/>
    <w:rsid w:val="00B766AA"/>
    <w:rsid w:val="00B848C9"/>
    <w:rsid w:val="00BB5E69"/>
    <w:rsid w:val="00BE403F"/>
    <w:rsid w:val="00C02CC2"/>
    <w:rsid w:val="00C1703A"/>
    <w:rsid w:val="00C17468"/>
    <w:rsid w:val="00C17D13"/>
    <w:rsid w:val="00C25948"/>
    <w:rsid w:val="00C35996"/>
    <w:rsid w:val="00C51BDA"/>
    <w:rsid w:val="00C54E3A"/>
    <w:rsid w:val="00C664EA"/>
    <w:rsid w:val="00C67E2E"/>
    <w:rsid w:val="00C75498"/>
    <w:rsid w:val="00C8308D"/>
    <w:rsid w:val="00CA2F09"/>
    <w:rsid w:val="00CA3E35"/>
    <w:rsid w:val="00CA459D"/>
    <w:rsid w:val="00CA6FA1"/>
    <w:rsid w:val="00CD3285"/>
    <w:rsid w:val="00D010E9"/>
    <w:rsid w:val="00D20153"/>
    <w:rsid w:val="00D317D1"/>
    <w:rsid w:val="00D414DF"/>
    <w:rsid w:val="00D64552"/>
    <w:rsid w:val="00D66F53"/>
    <w:rsid w:val="00D73A80"/>
    <w:rsid w:val="00D93E1F"/>
    <w:rsid w:val="00D94B5F"/>
    <w:rsid w:val="00DA5B2C"/>
    <w:rsid w:val="00DC0EA5"/>
    <w:rsid w:val="00DC3132"/>
    <w:rsid w:val="00DE0DF0"/>
    <w:rsid w:val="00DE3D1D"/>
    <w:rsid w:val="00E12233"/>
    <w:rsid w:val="00E12E54"/>
    <w:rsid w:val="00E14684"/>
    <w:rsid w:val="00E21A1F"/>
    <w:rsid w:val="00E24A70"/>
    <w:rsid w:val="00E37E43"/>
    <w:rsid w:val="00E41215"/>
    <w:rsid w:val="00E43BAF"/>
    <w:rsid w:val="00E507CD"/>
    <w:rsid w:val="00E61121"/>
    <w:rsid w:val="00E71AD3"/>
    <w:rsid w:val="00E83AD5"/>
    <w:rsid w:val="00E910DE"/>
    <w:rsid w:val="00EC3CF1"/>
    <w:rsid w:val="00F234DA"/>
    <w:rsid w:val="00F35CEB"/>
    <w:rsid w:val="00F454C3"/>
    <w:rsid w:val="00F4723B"/>
    <w:rsid w:val="00F611DD"/>
    <w:rsid w:val="00F940EF"/>
    <w:rsid w:val="00FC4B99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70A86D8"/>
  <w15:docId w15:val="{0B1C8B5B-2581-42CA-AF4A-8AEAD107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9F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9F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749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9FA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9749FA"/>
    <w:pPr>
      <w:ind w:left="686"/>
    </w:pPr>
    <w:rPr>
      <w:rFonts w:ascii="Palatino Linotype" w:eastAsia="Times New Roman" w:hAnsi="Palatino Linotype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749FA"/>
    <w:rPr>
      <w:rFonts w:ascii="Palatino Linotype" w:eastAsia="Times New Roman" w:hAnsi="Palatino Linotype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49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9FA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A1F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1F7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A1F7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7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76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9621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13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2014-11-05T23:52:06+00:00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8C093BE-ED48-4553-9523-0361475A9C93}"/>
</file>

<file path=customXml/itemProps2.xml><?xml version="1.0" encoding="utf-8"?>
<ds:datastoreItem xmlns:ds="http://schemas.openxmlformats.org/officeDocument/2006/customXml" ds:itemID="{3A858F5E-105C-4DB5-95B0-D5C110F726E6}"/>
</file>

<file path=customXml/itemProps3.xml><?xml version="1.0" encoding="utf-8"?>
<ds:datastoreItem xmlns:ds="http://schemas.openxmlformats.org/officeDocument/2006/customXml" ds:itemID="{84B03350-68F6-495A-9264-50EDE35BA723}"/>
</file>

<file path=customXml/itemProps4.xml><?xml version="1.0" encoding="utf-8"?>
<ds:datastoreItem xmlns:ds="http://schemas.openxmlformats.org/officeDocument/2006/customXml" ds:itemID="{5E34041C-D721-4012-9756-D43E3E753237}"/>
</file>

<file path=customXml/itemProps5.xml><?xml version="1.0" encoding="utf-8"?>
<ds:datastoreItem xmlns:ds="http://schemas.openxmlformats.org/officeDocument/2006/customXml" ds:itemID="{C9FF2145-307F-4F4F-99DC-10824BBB53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Casey, Chris (UTC)</dc:creator>
  <cp:lastModifiedBy>Casey, Chris (UTC)</cp:lastModifiedBy>
  <cp:revision>5</cp:revision>
  <cp:lastPrinted>2014-11-05T22:17:00Z</cp:lastPrinted>
  <dcterms:created xsi:type="dcterms:W3CDTF">2014-11-05T21:25:00Z</dcterms:created>
  <dcterms:modified xsi:type="dcterms:W3CDTF">2014-11-05T22:35:00Z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0x0101006E56B4D1795A2E4DB2F0B01679ED314A00C4EC8B21DBB10C40AB4409B4BAF96A70</vt:lpwstr>
  </property>
  <property fmtid="{D5CDD505-2E9C-101B-9397-08002B2CF9AE}" pid="3" name="_docset_NoMedatataSyncRequired">
    <vt:lpwstr>False</vt:lpwstr>
  </property>
</Properties>
</file>