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32" w:rsidRPr="00D5789B" w:rsidRDefault="00F27132" w:rsidP="00AA3AE3">
      <w:pPr>
        <w:pStyle w:val="Title"/>
        <w:spacing w:line="276" w:lineRule="auto"/>
        <w:rPr>
          <w:rFonts w:ascii="Times New Roman" w:hAnsi="Times New Roman"/>
        </w:rPr>
      </w:pPr>
      <w:r w:rsidRPr="00D5789B">
        <w:rPr>
          <w:rFonts w:ascii="Times New Roman" w:hAnsi="Times New Roman"/>
        </w:rPr>
        <w:t>BEFORE THE WASHINGTON</w:t>
      </w:r>
    </w:p>
    <w:p w:rsidR="00F27132" w:rsidRPr="00D5789B" w:rsidRDefault="00F27132" w:rsidP="00AA3AE3">
      <w:pPr>
        <w:spacing w:line="276" w:lineRule="auto"/>
        <w:jc w:val="center"/>
        <w:rPr>
          <w:b/>
        </w:rPr>
      </w:pPr>
      <w:r w:rsidRPr="00D5789B">
        <w:rPr>
          <w:b/>
        </w:rPr>
        <w:t>UTILITIES AND TRANSPORTATION COMMISSION</w:t>
      </w:r>
    </w:p>
    <w:p w:rsidR="00F27132" w:rsidRPr="00D5789B" w:rsidRDefault="00F27132" w:rsidP="00AA3AE3">
      <w:pPr>
        <w:spacing w:line="276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4"/>
        <w:gridCol w:w="853"/>
        <w:gridCol w:w="4069"/>
      </w:tblGrid>
      <w:tr w:rsidR="00F27132" w:rsidRPr="00D5789B" w:rsidTr="00644A96">
        <w:tc>
          <w:tcPr>
            <w:tcW w:w="3934" w:type="dxa"/>
          </w:tcPr>
          <w:p w:rsidR="00F27132" w:rsidRPr="00D5789B" w:rsidRDefault="00F27132" w:rsidP="00AA3AE3">
            <w:pPr>
              <w:spacing w:line="276" w:lineRule="auto"/>
            </w:pPr>
            <w:r w:rsidRPr="00D5789B">
              <w:t>WASHINGTON UTILITIES AND TRANSPORTATION COMMISSION,</w:t>
            </w:r>
          </w:p>
          <w:p w:rsidR="00F27132" w:rsidRPr="00D5789B" w:rsidRDefault="00F27132" w:rsidP="00AA3AE3">
            <w:pPr>
              <w:spacing w:line="276" w:lineRule="auto"/>
            </w:pPr>
          </w:p>
          <w:p w:rsidR="00F27132" w:rsidRPr="007C623B" w:rsidRDefault="00F27132" w:rsidP="00AA3AE3">
            <w:pPr>
              <w:spacing w:line="276" w:lineRule="auto"/>
              <w:jc w:val="center"/>
            </w:pPr>
            <w:r w:rsidRPr="007C623B">
              <w:t>Complainant,</w:t>
            </w:r>
          </w:p>
          <w:p w:rsidR="00F27132" w:rsidRPr="007C623B" w:rsidRDefault="00F27132" w:rsidP="00AA3AE3">
            <w:pPr>
              <w:spacing w:line="276" w:lineRule="auto"/>
            </w:pPr>
          </w:p>
          <w:p w:rsidR="00F27132" w:rsidRPr="007C623B" w:rsidRDefault="00F27132" w:rsidP="00AA3AE3">
            <w:pPr>
              <w:spacing w:line="276" w:lineRule="auto"/>
              <w:jc w:val="center"/>
            </w:pPr>
            <w:r w:rsidRPr="007C623B">
              <w:t>v.</w:t>
            </w:r>
          </w:p>
          <w:p w:rsidR="00F27132" w:rsidRPr="007C623B" w:rsidRDefault="00F27132" w:rsidP="00AA3AE3">
            <w:pPr>
              <w:spacing w:line="276" w:lineRule="auto"/>
              <w:jc w:val="center"/>
            </w:pPr>
          </w:p>
          <w:p w:rsidR="009900C2" w:rsidRPr="007C623B" w:rsidRDefault="00441FD9" w:rsidP="00AA3AE3">
            <w:pPr>
              <w:spacing w:line="276" w:lineRule="auto"/>
            </w:pPr>
            <w:r w:rsidRPr="00441FD9">
              <w:t>PUGET SOUND ENERGY</w:t>
            </w:r>
            <w:r w:rsidR="00C665A5" w:rsidRPr="007C623B">
              <w:fldChar w:fldCharType="begin"/>
            </w:r>
            <w:r w:rsidR="00C665A5" w:rsidRPr="007C623B">
              <w:instrText xml:space="preserve"> ASK company1_name "Enter Full Company 1 Name</w:instrText>
            </w:r>
            <w:r w:rsidR="00C665A5" w:rsidRPr="007C623B">
              <w:fldChar w:fldCharType="separate"/>
            </w:r>
            <w:bookmarkStart w:id="0" w:name="company1_name"/>
            <w:r w:rsidR="000A6393" w:rsidRPr="007C623B">
              <w:t>Puget Sound Energy</w:t>
            </w:r>
            <w:bookmarkEnd w:id="0"/>
            <w:r w:rsidR="00C665A5" w:rsidRPr="007C623B">
              <w:fldChar w:fldCharType="end"/>
            </w:r>
            <w:r w:rsidR="00F27132" w:rsidRPr="007C623B">
              <w:t>,</w:t>
            </w:r>
          </w:p>
          <w:p w:rsidR="00FC14B5" w:rsidRPr="007C623B" w:rsidRDefault="00C665A5" w:rsidP="00AA3AE3">
            <w:pPr>
              <w:spacing w:line="276" w:lineRule="auto"/>
              <w:jc w:val="center"/>
            </w:pPr>
            <w:r w:rsidRPr="007C623B">
              <w:fldChar w:fldCharType="begin"/>
            </w:r>
            <w:r w:rsidRPr="007C623B">
              <w:instrText xml:space="preserve"> ASK acronym1 "Enter company 1's Short Name" \* MERGEFORMAT </w:instrText>
            </w:r>
            <w:r w:rsidRPr="007C623B">
              <w:fldChar w:fldCharType="separate"/>
            </w:r>
            <w:bookmarkStart w:id="1" w:name="acronym1"/>
            <w:r w:rsidR="000A6393" w:rsidRPr="007C623B">
              <w:t>PSE</w:t>
            </w:r>
            <w:bookmarkEnd w:id="1"/>
            <w:r w:rsidRPr="007C623B">
              <w:fldChar w:fldCharType="end"/>
            </w:r>
          </w:p>
          <w:p w:rsidR="00F27132" w:rsidRPr="00D5789B" w:rsidRDefault="00F27132" w:rsidP="00AA3AE3">
            <w:pPr>
              <w:spacing w:line="276" w:lineRule="auto"/>
              <w:jc w:val="center"/>
            </w:pPr>
            <w:r w:rsidRPr="007C623B">
              <w:t>Respondent.</w:t>
            </w:r>
          </w:p>
          <w:p w:rsidR="00F27132" w:rsidRPr="00D5789B" w:rsidRDefault="00F27132" w:rsidP="00AA3AE3">
            <w:pPr>
              <w:spacing w:line="276" w:lineRule="auto"/>
            </w:pPr>
            <w:r w:rsidRPr="00D5789B">
              <w:t>. . . . . . . . . . . . . . .</w:t>
            </w:r>
            <w:r w:rsidR="00720FCD" w:rsidRPr="00D5789B">
              <w:t xml:space="preserve"> . . . . . . . . . . . . . . . </w:t>
            </w:r>
            <w:r w:rsidRPr="00D5789B">
              <w:t xml:space="preserve"> </w:t>
            </w:r>
          </w:p>
        </w:tc>
        <w:tc>
          <w:tcPr>
            <w:tcW w:w="853" w:type="dxa"/>
          </w:tcPr>
          <w:p w:rsidR="00F27132" w:rsidRPr="00D5789B" w:rsidRDefault="00F27132" w:rsidP="00AA3AE3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</w:p>
          <w:p w:rsidR="00F27132" w:rsidRPr="00D5789B" w:rsidRDefault="00F27132" w:rsidP="00AA3AE3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</w:p>
        </w:tc>
        <w:tc>
          <w:tcPr>
            <w:tcW w:w="4069" w:type="dxa"/>
          </w:tcPr>
          <w:p w:rsidR="00F27132" w:rsidRPr="00D5789B" w:rsidRDefault="003F2878" w:rsidP="00AA3AE3">
            <w:pPr>
              <w:spacing w:line="276" w:lineRule="auto"/>
              <w:rPr>
                <w:b/>
              </w:rPr>
            </w:pPr>
            <w:r w:rsidRPr="00D5789B">
              <w:t>DOCKE</w:t>
            </w:r>
            <w:r w:rsidR="00D5789B" w:rsidRPr="00D5789B">
              <w:t>TS UE-151871</w:t>
            </w:r>
            <w:r w:rsidR="00D5789B" w:rsidRPr="00D5789B">
              <w:br/>
              <w:t>and UG-15</w:t>
            </w:r>
            <w:r w:rsidR="00544FC2">
              <w:t>1872</w:t>
            </w:r>
          </w:p>
          <w:p w:rsidR="00F27132" w:rsidRPr="00D5789B" w:rsidRDefault="00F27132" w:rsidP="00AA3AE3">
            <w:pPr>
              <w:spacing w:line="276" w:lineRule="auto"/>
              <w:rPr>
                <w:b/>
              </w:rPr>
            </w:pPr>
          </w:p>
          <w:p w:rsidR="00AB39FF" w:rsidRPr="00AB39FF" w:rsidRDefault="009A666D" w:rsidP="00544FC2">
            <w:r>
              <w:t xml:space="preserve">REPLY OF </w:t>
            </w:r>
            <w:r w:rsidR="00AB39FF" w:rsidRPr="00AB39FF">
              <w:t>SMACNA</w:t>
            </w:r>
            <w:r w:rsidR="00306592">
              <w:t>-WW</w:t>
            </w:r>
            <w:r w:rsidR="000920B6">
              <w:t xml:space="preserve"> TO PSE MOTION OBJECTING TO EXPERT DESIGNATIONS</w:t>
            </w:r>
          </w:p>
          <w:p w:rsidR="00F27132" w:rsidRPr="00D5789B" w:rsidRDefault="00F27132" w:rsidP="00AA3AE3">
            <w:pPr>
              <w:spacing w:line="276" w:lineRule="auto"/>
            </w:pPr>
          </w:p>
        </w:tc>
      </w:tr>
    </w:tbl>
    <w:p w:rsidR="00F27132" w:rsidRPr="00D5789B" w:rsidRDefault="00F27132" w:rsidP="00AA3AE3">
      <w:pPr>
        <w:spacing w:line="276" w:lineRule="auto"/>
        <w:jc w:val="center"/>
        <w:rPr>
          <w:b/>
        </w:rPr>
      </w:pPr>
    </w:p>
    <w:p w:rsidR="00F5678A" w:rsidRPr="00D5789B" w:rsidRDefault="00F5678A" w:rsidP="00AA3AE3">
      <w:pPr>
        <w:spacing w:line="276" w:lineRule="auto"/>
      </w:pPr>
      <w:r w:rsidRPr="00D5789B">
        <w:fldChar w:fldCharType="begin"/>
      </w:r>
      <w:r w:rsidRPr="00D5789B">
        <w:instrText xml:space="preserve"> ASK company_type "Enter company type. (e.g., Electric, Gas, Water)" </w:instrText>
      </w:r>
      <w:r w:rsidRPr="00D5789B">
        <w:fldChar w:fldCharType="separate"/>
      </w:r>
      <w:bookmarkStart w:id="2" w:name="company_type"/>
      <w:r w:rsidR="000A6393">
        <w:t>Electric and Natural Gas</w:t>
      </w:r>
      <w:bookmarkEnd w:id="2"/>
      <w:r w:rsidRPr="00D5789B">
        <w:fldChar w:fldCharType="end"/>
      </w:r>
    </w:p>
    <w:p w:rsidR="00AB39FF" w:rsidRDefault="000920B6" w:rsidP="00C3507C">
      <w:pPr>
        <w:pStyle w:val="ListParagraph"/>
        <w:numPr>
          <w:ilvl w:val="0"/>
          <w:numId w:val="1"/>
        </w:numPr>
        <w:spacing w:line="480" w:lineRule="auto"/>
      </w:pPr>
      <w:r>
        <w:t xml:space="preserve">The </w:t>
      </w:r>
      <w:r w:rsidR="00E965C8">
        <w:t xml:space="preserve">Western Washington Chapter of the </w:t>
      </w:r>
      <w:r w:rsidR="00AB39FF">
        <w:t>Sheet Metal and Air Conditioning Contractors National Association (SMACNA</w:t>
      </w:r>
      <w:r w:rsidR="00306592">
        <w:t>-WW</w:t>
      </w:r>
      <w:r w:rsidR="00AB39FF">
        <w:t xml:space="preserve">) </w:t>
      </w:r>
      <w:r>
        <w:t xml:space="preserve">filed Agreements Concerning Confidential Information for Julie Muller-Neff and Brian Fluetsch so that they could review any information designated as confidential by Puget Sound Energy (PSE) and assist SMACNA-WW in this proceeding.  PSE declined to waive any objection to their participation, filed an objection, and </w:t>
      </w:r>
      <w:r w:rsidR="00DF6F0E">
        <w:t xml:space="preserve">filed </w:t>
      </w:r>
      <w:r>
        <w:t>a motion asking the Commi</w:t>
      </w:r>
      <w:r w:rsidR="00DF6F0E">
        <w:t>ssion to reject the designation</w:t>
      </w:r>
      <w:r>
        <w:t xml:space="preserve">s.  The basis for PSE’s objection is that Ms. Muller-Neff and Mr. Fluetsch are officers or directors of a party. </w:t>
      </w:r>
    </w:p>
    <w:p w:rsidR="000920B6" w:rsidRDefault="000920B6" w:rsidP="00C3507C">
      <w:pPr>
        <w:pStyle w:val="ListParagraph"/>
        <w:numPr>
          <w:ilvl w:val="0"/>
          <w:numId w:val="1"/>
        </w:numPr>
        <w:spacing w:line="480" w:lineRule="auto"/>
      </w:pPr>
      <w:r>
        <w:t xml:space="preserve">Though Ms. Muller-Neff and Mr. Fluetsch agreed to be bound by the terms of the protective order so that any confidential information would be protected, PSE is correct that Ms. Muller-Neff and Mr. Fluetsch are either officers or direcors of SMACNA-WW.  Accordingly, </w:t>
      </w:r>
      <w:r w:rsidR="00145484">
        <w:t xml:space="preserve">at least for the time being, </w:t>
      </w:r>
      <w:r>
        <w:t xml:space="preserve">SMACNA-WW wishes to withdraw the filed agreements.  </w:t>
      </w:r>
    </w:p>
    <w:p w:rsidR="00BC5E98" w:rsidRDefault="000920B6" w:rsidP="00DF6F0E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We as</w:t>
      </w:r>
      <w:r w:rsidR="00DF6F0E">
        <w:t xml:space="preserve">k the Commission to </w:t>
      </w:r>
      <w:r w:rsidR="003751F7">
        <w:t xml:space="preserve">permit </w:t>
      </w:r>
      <w:r>
        <w:t xml:space="preserve">withdrawal </w:t>
      </w:r>
      <w:r w:rsidR="00DF6F0E">
        <w:t xml:space="preserve">of those agreements </w:t>
      </w:r>
      <w:r>
        <w:t xml:space="preserve">without prejudice to SMACNA-WW </w:t>
      </w:r>
      <w:r w:rsidR="005F5D90">
        <w:t>refi</w:t>
      </w:r>
      <w:r>
        <w:t>ling them in the future</w:t>
      </w:r>
      <w:r w:rsidR="00145484">
        <w:t xml:space="preserve">.  It may be that, depending on how this case develops, PSE may </w:t>
      </w:r>
      <w:r w:rsidR="00DF6F0E">
        <w:t xml:space="preserve">waive any </w:t>
      </w:r>
      <w:r>
        <w:t>objection</w:t>
      </w:r>
      <w:r w:rsidR="00145484">
        <w:t xml:space="preserve">.  At the present time, it is difficult </w:t>
      </w:r>
      <w:r w:rsidR="00AE468A">
        <w:t xml:space="preserve">to </w:t>
      </w:r>
      <w:r w:rsidR="00145484">
        <w:t>assess how significant access to confidential information may be because PSE will not file its testimony a</w:t>
      </w:r>
      <w:r w:rsidR="005F5D90">
        <w:t>nd exhibits until February 25.  After PSE files its case</w:t>
      </w:r>
      <w:r w:rsidR="00AB703D">
        <w:t xml:space="preserve">, SMACNA-WW will </w:t>
      </w:r>
      <w:r w:rsidR="00AE468A">
        <w:t>re</w:t>
      </w:r>
      <w:r w:rsidR="00AB703D">
        <w:t>assess to what extent it will need Ms. Muller-Neff and Mr. Fluetsch</w:t>
      </w:r>
      <w:r w:rsidR="005F5D90">
        <w:t>, or others,</w:t>
      </w:r>
      <w:r w:rsidR="00AB703D">
        <w:t xml:space="preserve"> to evaluate any confidential </w:t>
      </w:r>
      <w:r w:rsidR="005F5D90">
        <w:t xml:space="preserve">information filed by PSE and whether it may be necessary for SMACNA-WW, in its responsive case, to file some confidential information.  Accordingly, if necessary, </w:t>
      </w:r>
      <w:r>
        <w:t>SMACNA-WW</w:t>
      </w:r>
      <w:r w:rsidR="005F5D90">
        <w:t xml:space="preserve"> may</w:t>
      </w:r>
      <w:r>
        <w:t xml:space="preserve"> seek a modification or exception to the Protective Order pursuant to paragraph 35 of Order 03 or pursuant to WAC 480-07-100(1)</w:t>
      </w:r>
      <w:r w:rsidR="00145484">
        <w:t xml:space="preserve">. </w:t>
      </w:r>
    </w:p>
    <w:p w:rsidR="001274B5" w:rsidRDefault="001274B5" w:rsidP="00544FC2">
      <w:pPr>
        <w:spacing w:line="480" w:lineRule="auto"/>
      </w:pPr>
    </w:p>
    <w:p w:rsidR="00544FC2" w:rsidRDefault="00DF6F0E" w:rsidP="00544FC2">
      <w:pPr>
        <w:spacing w:line="480" w:lineRule="auto"/>
      </w:pPr>
      <w:r>
        <w:t>Dated February 19</w:t>
      </w:r>
      <w:r w:rsidR="00C66BC3">
        <w:t>, 2016</w:t>
      </w:r>
      <w:r w:rsidR="00544FC2">
        <w:t>.</w:t>
      </w:r>
    </w:p>
    <w:p w:rsidR="00297395" w:rsidRDefault="00AB39FF" w:rsidP="00506393">
      <w:pPr>
        <w:spacing w:line="480" w:lineRule="auto"/>
        <w:ind w:left="3600"/>
      </w:pPr>
      <w:r>
        <w:t>Respectfully submitted,</w:t>
      </w:r>
    </w:p>
    <w:p w:rsidR="00AB39FF" w:rsidRPr="00851880" w:rsidRDefault="00AE468A" w:rsidP="00506393">
      <w:pPr>
        <w:tabs>
          <w:tab w:val="left" w:pos="8460"/>
        </w:tabs>
        <w:ind w:left="3600"/>
        <w:rPr>
          <w:i/>
          <w:u w:val="single"/>
        </w:rPr>
      </w:pPr>
      <w:r>
        <w:rPr>
          <w:i/>
          <w:u w:val="single"/>
        </w:rPr>
        <w:t>s/ Jeffrey D. Goltz</w:t>
      </w:r>
      <w:bookmarkStart w:id="3" w:name="_GoBack"/>
      <w:bookmarkEnd w:id="3"/>
      <w:r w:rsidR="00297395" w:rsidRPr="00851880">
        <w:rPr>
          <w:i/>
          <w:u w:val="single"/>
        </w:rPr>
        <w:tab/>
      </w:r>
    </w:p>
    <w:p w:rsidR="00AB39FF" w:rsidRDefault="00AB39FF" w:rsidP="00297395">
      <w:pPr>
        <w:tabs>
          <w:tab w:val="left" w:pos="8280"/>
        </w:tabs>
        <w:ind w:left="3600"/>
      </w:pPr>
      <w:r>
        <w:t>Jeffrey D. Goltz</w:t>
      </w:r>
    </w:p>
    <w:p w:rsidR="00AB39FF" w:rsidRDefault="00AB39FF" w:rsidP="00AB39FF">
      <w:pPr>
        <w:ind w:left="3600"/>
      </w:pPr>
      <w:r>
        <w:t>Valerie K. Rickman</w:t>
      </w:r>
    </w:p>
    <w:p w:rsidR="00AE468A" w:rsidRDefault="00AE468A" w:rsidP="00AB39FF">
      <w:pPr>
        <w:ind w:left="3600"/>
      </w:pPr>
      <w:r>
        <w:t>Joseph A. Rehberger</w:t>
      </w:r>
    </w:p>
    <w:p w:rsidR="00AB39FF" w:rsidRDefault="00AB39FF" w:rsidP="00AB39FF">
      <w:pPr>
        <w:ind w:left="3600"/>
      </w:pPr>
      <w:r>
        <w:t>Cascadia Law Group</w:t>
      </w:r>
    </w:p>
    <w:p w:rsidR="00AB39FF" w:rsidRDefault="00AB39FF" w:rsidP="00AB39FF">
      <w:pPr>
        <w:ind w:left="3600"/>
      </w:pPr>
      <w:r>
        <w:t>606 Columbia Street, N.W., Suite 212</w:t>
      </w:r>
    </w:p>
    <w:p w:rsidR="00AB39FF" w:rsidRDefault="00AB39FF" w:rsidP="00AB39FF">
      <w:pPr>
        <w:ind w:left="3600"/>
      </w:pPr>
      <w:r>
        <w:t>Olympia, WA  98501</w:t>
      </w:r>
    </w:p>
    <w:p w:rsidR="00AB39FF" w:rsidRDefault="00AB39FF" w:rsidP="00AB39FF">
      <w:pPr>
        <w:ind w:left="3600"/>
      </w:pPr>
      <w:r>
        <w:t>(360) 528-3026</w:t>
      </w:r>
    </w:p>
    <w:p w:rsidR="00AB39FF" w:rsidRDefault="00AE468A" w:rsidP="00AB39FF">
      <w:pPr>
        <w:ind w:left="3600"/>
      </w:pPr>
      <w:hyperlink r:id="rId13" w:history="1">
        <w:r w:rsidR="00AB39FF" w:rsidRPr="00003D47">
          <w:rPr>
            <w:rStyle w:val="Hyperlink"/>
          </w:rPr>
          <w:t>jgoltz@cascadialaw.com</w:t>
        </w:r>
      </w:hyperlink>
    </w:p>
    <w:p w:rsidR="00AB39FF" w:rsidRDefault="00AB39FF" w:rsidP="00AB39FF">
      <w:pPr>
        <w:ind w:left="3600"/>
      </w:pPr>
    </w:p>
    <w:p w:rsidR="00F27132" w:rsidRPr="00C66BC3" w:rsidRDefault="00AB39FF" w:rsidP="00C66BC3">
      <w:pPr>
        <w:ind w:left="3600"/>
      </w:pPr>
      <w:r>
        <w:t>Attorneys for Sheet Metal and Air Conditioning Contractors National Association, Western Washington Chapter (SMACNA</w:t>
      </w:r>
      <w:r w:rsidR="00D4644F">
        <w:t>-WW</w:t>
      </w:r>
      <w:r>
        <w:t>)</w:t>
      </w:r>
    </w:p>
    <w:p w:rsidR="00F27132" w:rsidRPr="00D5789B" w:rsidRDefault="00F27132" w:rsidP="00AA3AE3">
      <w:pPr>
        <w:spacing w:line="276" w:lineRule="auto"/>
        <w:rPr>
          <w:b/>
        </w:rPr>
      </w:pPr>
    </w:p>
    <w:sectPr w:rsidR="00F27132" w:rsidRPr="00D5789B" w:rsidSect="005063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40" w:rsidRDefault="00A01E40">
      <w:r>
        <w:separator/>
      </w:r>
    </w:p>
  </w:endnote>
  <w:endnote w:type="continuationSeparator" w:id="0">
    <w:p w:rsidR="00A01E40" w:rsidRDefault="00A0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B5" w:rsidRDefault="001274B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0" w:rsidRPr="00C3507C" w:rsidRDefault="005F5D90">
    <w:pPr>
      <w:pStyle w:val="Footer"/>
      <w:rPr>
        <w:sz w:val="20"/>
        <w:szCs w:val="20"/>
      </w:rPr>
    </w:pPr>
  </w:p>
  <w:p w:rsidR="005F5D90" w:rsidRDefault="005F5D90" w:rsidP="00C3507C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sz w:val="20"/>
      </w:rPr>
      <w:t xml:space="preserve">REPLY OF SMACNA-WW TO </w:t>
    </w:r>
  </w:p>
  <w:p w:rsidR="005F5D90" w:rsidRPr="00C3507C" w:rsidRDefault="005F5D90" w:rsidP="00C3507C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sz w:val="20"/>
      </w:rPr>
      <w:t>PSE’S OBJECTION TO EXPERT DESIGNATIONS</w:t>
    </w:r>
  </w:p>
  <w:p w:rsidR="005F5D90" w:rsidRPr="00C3507C" w:rsidRDefault="005F5D90">
    <w:pPr>
      <w:pStyle w:val="Footer"/>
    </w:pPr>
    <w:r w:rsidRPr="00C3507C">
      <w:rPr>
        <w:sz w:val="20"/>
      </w:rPr>
      <w:t xml:space="preserve">PAGE </w:t>
    </w:r>
    <w:r w:rsidRPr="00C3507C">
      <w:rPr>
        <w:rStyle w:val="PageNumber"/>
        <w:sz w:val="20"/>
      </w:rPr>
      <w:fldChar w:fldCharType="begin"/>
    </w:r>
    <w:r w:rsidRPr="00C3507C">
      <w:rPr>
        <w:rStyle w:val="PageNumber"/>
        <w:sz w:val="20"/>
      </w:rPr>
      <w:instrText xml:space="preserve"> PAGE </w:instrText>
    </w:r>
    <w:r w:rsidRPr="00C3507C">
      <w:rPr>
        <w:rStyle w:val="PageNumber"/>
        <w:sz w:val="20"/>
      </w:rPr>
      <w:fldChar w:fldCharType="separate"/>
    </w:r>
    <w:r w:rsidR="00AE468A">
      <w:rPr>
        <w:rStyle w:val="PageNumber"/>
        <w:noProof/>
        <w:sz w:val="20"/>
      </w:rPr>
      <w:t>1</w:t>
    </w:r>
    <w:r w:rsidRPr="00C3507C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B5" w:rsidRDefault="001274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40" w:rsidRDefault="00A01E40">
      <w:r>
        <w:separator/>
      </w:r>
    </w:p>
  </w:footnote>
  <w:footnote w:type="continuationSeparator" w:id="0">
    <w:p w:rsidR="00A01E40" w:rsidRDefault="00A01E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B5" w:rsidRDefault="001274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B5" w:rsidRDefault="001274B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B5" w:rsidRDefault="001274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C24A8"/>
    <w:multiLevelType w:val="hybridMultilevel"/>
    <w:tmpl w:val="E14E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878EF"/>
    <w:multiLevelType w:val="hybridMultilevel"/>
    <w:tmpl w:val="51B03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357C7"/>
    <w:multiLevelType w:val="hybridMultilevel"/>
    <w:tmpl w:val="476EBC40"/>
    <w:lvl w:ilvl="0" w:tplc="719269E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DA551D0"/>
    <w:multiLevelType w:val="hybridMultilevel"/>
    <w:tmpl w:val="58922EE2"/>
    <w:lvl w:ilvl="0" w:tplc="6C4AE8B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85629"/>
    <w:multiLevelType w:val="hybridMultilevel"/>
    <w:tmpl w:val="3F40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14AE5"/>
    <w:multiLevelType w:val="hybridMultilevel"/>
    <w:tmpl w:val="D3E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BB049B"/>
    <w:multiLevelType w:val="hybridMultilevel"/>
    <w:tmpl w:val="9DF8ADC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C0"/>
    <w:rsid w:val="000035AE"/>
    <w:rsid w:val="000062A5"/>
    <w:rsid w:val="00007CF2"/>
    <w:rsid w:val="00011425"/>
    <w:rsid w:val="00013171"/>
    <w:rsid w:val="0002361C"/>
    <w:rsid w:val="00036131"/>
    <w:rsid w:val="000418D6"/>
    <w:rsid w:val="000627E4"/>
    <w:rsid w:val="00067C02"/>
    <w:rsid w:val="000755D2"/>
    <w:rsid w:val="00081520"/>
    <w:rsid w:val="00090B12"/>
    <w:rsid w:val="000920B6"/>
    <w:rsid w:val="00094208"/>
    <w:rsid w:val="000A3F51"/>
    <w:rsid w:val="000A6393"/>
    <w:rsid w:val="000B4A18"/>
    <w:rsid w:val="000D2057"/>
    <w:rsid w:val="000E0917"/>
    <w:rsid w:val="000F537E"/>
    <w:rsid w:val="000F711B"/>
    <w:rsid w:val="001019AF"/>
    <w:rsid w:val="001274B5"/>
    <w:rsid w:val="00145484"/>
    <w:rsid w:val="00146297"/>
    <w:rsid w:val="00152BD3"/>
    <w:rsid w:val="0016048A"/>
    <w:rsid w:val="0016621C"/>
    <w:rsid w:val="001A0A3A"/>
    <w:rsid w:val="001A1AF8"/>
    <w:rsid w:val="001B037C"/>
    <w:rsid w:val="001B191A"/>
    <w:rsid w:val="001B59B3"/>
    <w:rsid w:val="001F79BC"/>
    <w:rsid w:val="00212F97"/>
    <w:rsid w:val="00230223"/>
    <w:rsid w:val="00237C88"/>
    <w:rsid w:val="00246773"/>
    <w:rsid w:val="0026782D"/>
    <w:rsid w:val="002678EC"/>
    <w:rsid w:val="00287633"/>
    <w:rsid w:val="00297395"/>
    <w:rsid w:val="002A069B"/>
    <w:rsid w:val="002A35D9"/>
    <w:rsid w:val="002A6B3C"/>
    <w:rsid w:val="002B56E1"/>
    <w:rsid w:val="002C432A"/>
    <w:rsid w:val="002C5393"/>
    <w:rsid w:val="002D0AC3"/>
    <w:rsid w:val="002D40D4"/>
    <w:rsid w:val="002E6A28"/>
    <w:rsid w:val="00303389"/>
    <w:rsid w:val="00306592"/>
    <w:rsid w:val="0030677E"/>
    <w:rsid w:val="00307395"/>
    <w:rsid w:val="00334AD1"/>
    <w:rsid w:val="00337633"/>
    <w:rsid w:val="00355C22"/>
    <w:rsid w:val="00374793"/>
    <w:rsid w:val="003751F7"/>
    <w:rsid w:val="003778B5"/>
    <w:rsid w:val="003812A2"/>
    <w:rsid w:val="00391F3D"/>
    <w:rsid w:val="003952FA"/>
    <w:rsid w:val="003C6F79"/>
    <w:rsid w:val="003E4C8A"/>
    <w:rsid w:val="003F0448"/>
    <w:rsid w:val="003F2878"/>
    <w:rsid w:val="003F609B"/>
    <w:rsid w:val="00406D96"/>
    <w:rsid w:val="00421994"/>
    <w:rsid w:val="00426DA6"/>
    <w:rsid w:val="004300C0"/>
    <w:rsid w:val="00437CF2"/>
    <w:rsid w:val="004414A1"/>
    <w:rsid w:val="00441FD9"/>
    <w:rsid w:val="00461EF3"/>
    <w:rsid w:val="00481094"/>
    <w:rsid w:val="004813B4"/>
    <w:rsid w:val="00494F38"/>
    <w:rsid w:val="00495D6D"/>
    <w:rsid w:val="004B04CC"/>
    <w:rsid w:val="004C0D94"/>
    <w:rsid w:val="004C25FB"/>
    <w:rsid w:val="004C2604"/>
    <w:rsid w:val="004C3145"/>
    <w:rsid w:val="004C4001"/>
    <w:rsid w:val="004C4AFB"/>
    <w:rsid w:val="004C703B"/>
    <w:rsid w:val="004D0C22"/>
    <w:rsid w:val="004E624C"/>
    <w:rsid w:val="004F0EBB"/>
    <w:rsid w:val="004F6366"/>
    <w:rsid w:val="00501969"/>
    <w:rsid w:val="00506393"/>
    <w:rsid w:val="0051569D"/>
    <w:rsid w:val="00516B2E"/>
    <w:rsid w:val="00521F67"/>
    <w:rsid w:val="0053279B"/>
    <w:rsid w:val="00544FC2"/>
    <w:rsid w:val="00552131"/>
    <w:rsid w:val="00557DC0"/>
    <w:rsid w:val="005A6E93"/>
    <w:rsid w:val="005B3CD5"/>
    <w:rsid w:val="005B7D2B"/>
    <w:rsid w:val="005D2509"/>
    <w:rsid w:val="005F0FD7"/>
    <w:rsid w:val="005F1E85"/>
    <w:rsid w:val="005F221D"/>
    <w:rsid w:val="005F5D90"/>
    <w:rsid w:val="00600838"/>
    <w:rsid w:val="00603343"/>
    <w:rsid w:val="006051D7"/>
    <w:rsid w:val="0061259A"/>
    <w:rsid w:val="006217D2"/>
    <w:rsid w:val="00623BB2"/>
    <w:rsid w:val="00625ADE"/>
    <w:rsid w:val="006358AD"/>
    <w:rsid w:val="00635BBB"/>
    <w:rsid w:val="0063718F"/>
    <w:rsid w:val="00642A62"/>
    <w:rsid w:val="00644A96"/>
    <w:rsid w:val="00657F8F"/>
    <w:rsid w:val="00664A5C"/>
    <w:rsid w:val="00664F3D"/>
    <w:rsid w:val="00675E6E"/>
    <w:rsid w:val="00680596"/>
    <w:rsid w:val="00680AE9"/>
    <w:rsid w:val="00690C46"/>
    <w:rsid w:val="00695098"/>
    <w:rsid w:val="0069589F"/>
    <w:rsid w:val="006A35C4"/>
    <w:rsid w:val="006C529A"/>
    <w:rsid w:val="006D340F"/>
    <w:rsid w:val="006E78DA"/>
    <w:rsid w:val="006F2F7F"/>
    <w:rsid w:val="006F75CF"/>
    <w:rsid w:val="00712560"/>
    <w:rsid w:val="00720FCD"/>
    <w:rsid w:val="007621C5"/>
    <w:rsid w:val="00764A2D"/>
    <w:rsid w:val="007663FC"/>
    <w:rsid w:val="00767254"/>
    <w:rsid w:val="00777DC4"/>
    <w:rsid w:val="00782B71"/>
    <w:rsid w:val="00792946"/>
    <w:rsid w:val="00797D2D"/>
    <w:rsid w:val="007B0748"/>
    <w:rsid w:val="007B20B2"/>
    <w:rsid w:val="007B59BA"/>
    <w:rsid w:val="007C180B"/>
    <w:rsid w:val="007C623B"/>
    <w:rsid w:val="007C7C1E"/>
    <w:rsid w:val="007F4DF1"/>
    <w:rsid w:val="00803CEB"/>
    <w:rsid w:val="008078CE"/>
    <w:rsid w:val="00813B1A"/>
    <w:rsid w:val="00817102"/>
    <w:rsid w:val="008216E5"/>
    <w:rsid w:val="00851880"/>
    <w:rsid w:val="00852F1D"/>
    <w:rsid w:val="00874425"/>
    <w:rsid w:val="008832EF"/>
    <w:rsid w:val="008B07EC"/>
    <w:rsid w:val="008C1081"/>
    <w:rsid w:val="008D421B"/>
    <w:rsid w:val="008E0AEB"/>
    <w:rsid w:val="008F3EBB"/>
    <w:rsid w:val="00916134"/>
    <w:rsid w:val="009457DC"/>
    <w:rsid w:val="00946C88"/>
    <w:rsid w:val="00950142"/>
    <w:rsid w:val="00955FEC"/>
    <w:rsid w:val="00956315"/>
    <w:rsid w:val="00957FC1"/>
    <w:rsid w:val="00961173"/>
    <w:rsid w:val="00964018"/>
    <w:rsid w:val="00965554"/>
    <w:rsid w:val="0096761D"/>
    <w:rsid w:val="00972186"/>
    <w:rsid w:val="009900C2"/>
    <w:rsid w:val="00992E63"/>
    <w:rsid w:val="009937FB"/>
    <w:rsid w:val="009A085B"/>
    <w:rsid w:val="009A20AF"/>
    <w:rsid w:val="009A666D"/>
    <w:rsid w:val="009B61CE"/>
    <w:rsid w:val="009C7B60"/>
    <w:rsid w:val="009D6558"/>
    <w:rsid w:val="009E15D9"/>
    <w:rsid w:val="009F1A98"/>
    <w:rsid w:val="00A01E40"/>
    <w:rsid w:val="00A029C7"/>
    <w:rsid w:val="00A12FFE"/>
    <w:rsid w:val="00A20ABA"/>
    <w:rsid w:val="00A318F1"/>
    <w:rsid w:val="00A4260A"/>
    <w:rsid w:val="00A6679A"/>
    <w:rsid w:val="00AA3AE3"/>
    <w:rsid w:val="00AA640B"/>
    <w:rsid w:val="00AB39FF"/>
    <w:rsid w:val="00AB703D"/>
    <w:rsid w:val="00AC6AF7"/>
    <w:rsid w:val="00AE37A9"/>
    <w:rsid w:val="00AE37F9"/>
    <w:rsid w:val="00AE3B26"/>
    <w:rsid w:val="00AE468A"/>
    <w:rsid w:val="00AF5C8B"/>
    <w:rsid w:val="00B03157"/>
    <w:rsid w:val="00B149EF"/>
    <w:rsid w:val="00B3081D"/>
    <w:rsid w:val="00B30A88"/>
    <w:rsid w:val="00B3204B"/>
    <w:rsid w:val="00B337AD"/>
    <w:rsid w:val="00B41D48"/>
    <w:rsid w:val="00B45A31"/>
    <w:rsid w:val="00B82ED7"/>
    <w:rsid w:val="00B924A7"/>
    <w:rsid w:val="00BA1CA3"/>
    <w:rsid w:val="00BA3E8E"/>
    <w:rsid w:val="00BB4A90"/>
    <w:rsid w:val="00BB5218"/>
    <w:rsid w:val="00BC5E98"/>
    <w:rsid w:val="00BD198D"/>
    <w:rsid w:val="00BD50E0"/>
    <w:rsid w:val="00BD570A"/>
    <w:rsid w:val="00C03FA2"/>
    <w:rsid w:val="00C10BC4"/>
    <w:rsid w:val="00C177FD"/>
    <w:rsid w:val="00C260E7"/>
    <w:rsid w:val="00C314C2"/>
    <w:rsid w:val="00C33A46"/>
    <w:rsid w:val="00C3507C"/>
    <w:rsid w:val="00C57ABC"/>
    <w:rsid w:val="00C62E07"/>
    <w:rsid w:val="00C665A5"/>
    <w:rsid w:val="00C66BC3"/>
    <w:rsid w:val="00C71400"/>
    <w:rsid w:val="00C83F00"/>
    <w:rsid w:val="00C83FFB"/>
    <w:rsid w:val="00C85157"/>
    <w:rsid w:val="00C9545C"/>
    <w:rsid w:val="00CA5D82"/>
    <w:rsid w:val="00CA610D"/>
    <w:rsid w:val="00CA7D56"/>
    <w:rsid w:val="00CB397D"/>
    <w:rsid w:val="00CC4FDE"/>
    <w:rsid w:val="00CC6C7C"/>
    <w:rsid w:val="00CD4AB2"/>
    <w:rsid w:val="00CE2DE3"/>
    <w:rsid w:val="00CE47E0"/>
    <w:rsid w:val="00D005E0"/>
    <w:rsid w:val="00D10115"/>
    <w:rsid w:val="00D1100A"/>
    <w:rsid w:val="00D4644F"/>
    <w:rsid w:val="00D50A15"/>
    <w:rsid w:val="00D53767"/>
    <w:rsid w:val="00D5789B"/>
    <w:rsid w:val="00D75AE6"/>
    <w:rsid w:val="00D8751C"/>
    <w:rsid w:val="00DB4CB2"/>
    <w:rsid w:val="00DD4A83"/>
    <w:rsid w:val="00DE6B57"/>
    <w:rsid w:val="00DF5509"/>
    <w:rsid w:val="00DF6957"/>
    <w:rsid w:val="00DF6F0E"/>
    <w:rsid w:val="00E34056"/>
    <w:rsid w:val="00E54657"/>
    <w:rsid w:val="00E747C7"/>
    <w:rsid w:val="00E964D6"/>
    <w:rsid w:val="00E965C8"/>
    <w:rsid w:val="00EA4D41"/>
    <w:rsid w:val="00EA7616"/>
    <w:rsid w:val="00EB01CA"/>
    <w:rsid w:val="00ED3209"/>
    <w:rsid w:val="00ED4794"/>
    <w:rsid w:val="00EE2693"/>
    <w:rsid w:val="00EE78C0"/>
    <w:rsid w:val="00EF31BB"/>
    <w:rsid w:val="00F14C0D"/>
    <w:rsid w:val="00F27132"/>
    <w:rsid w:val="00F35FE2"/>
    <w:rsid w:val="00F37269"/>
    <w:rsid w:val="00F5678A"/>
    <w:rsid w:val="00F65360"/>
    <w:rsid w:val="00F90D90"/>
    <w:rsid w:val="00F91D1F"/>
    <w:rsid w:val="00F94149"/>
    <w:rsid w:val="00FB39BF"/>
    <w:rsid w:val="00FC14B5"/>
    <w:rsid w:val="00FF22DC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55FE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D5789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789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5789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92E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E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E63"/>
    <w:rPr>
      <w:b/>
      <w:bCs/>
    </w:rPr>
  </w:style>
  <w:style w:type="table" w:styleId="TableGrid">
    <w:name w:val="Table Grid"/>
    <w:basedOn w:val="TableNormal"/>
    <w:uiPriority w:val="59"/>
    <w:rsid w:val="00AB39FF"/>
    <w:rPr>
      <w:rFonts w:eastAsiaTheme="minorEastAsia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955FEC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55FE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D5789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789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5789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92E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E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E63"/>
    <w:rPr>
      <w:b/>
      <w:bCs/>
    </w:rPr>
  </w:style>
  <w:style w:type="table" w:styleId="TableGrid">
    <w:name w:val="Table Grid"/>
    <w:basedOn w:val="TableNormal"/>
    <w:uiPriority w:val="59"/>
    <w:rsid w:val="00AB39FF"/>
    <w:rPr>
      <w:rFonts w:eastAsiaTheme="minorEastAsia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955FEC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mailto:jgoltz@cascadialaw.com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2432-F54D-424C-96E3-0F8F390A28DB}"/>
</file>

<file path=customXml/itemProps2.xml><?xml version="1.0" encoding="utf-8"?>
<ds:datastoreItem xmlns:ds="http://schemas.openxmlformats.org/officeDocument/2006/customXml" ds:itemID="{1FF8E0F4-A4E9-40CC-B872-BC49F98835A8}"/>
</file>

<file path=customXml/itemProps3.xml><?xml version="1.0" encoding="utf-8"?>
<ds:datastoreItem xmlns:ds="http://schemas.openxmlformats.org/officeDocument/2006/customXml" ds:itemID="{898ADC85-F1CE-4CA2-8E87-EE9CD7FFAA06}"/>
</file>

<file path=customXml/itemProps4.xml><?xml version="1.0" encoding="utf-8"?>
<ds:datastoreItem xmlns:ds="http://schemas.openxmlformats.org/officeDocument/2006/customXml" ds:itemID="{F551F557-6F54-4063-9818-5499AC24E9E1}"/>
</file>

<file path=customXml/itemProps5.xml><?xml version="1.0" encoding="utf-8"?>
<ds:datastoreItem xmlns:ds="http://schemas.openxmlformats.org/officeDocument/2006/customXml" ds:itemID="{A85DD77F-E46E-5342-87F3-B551C318CA4F}"/>
</file>

<file path=docProps/app.xml><?xml version="1.0" encoding="utf-8"?>
<Properties xmlns="http://schemas.openxmlformats.org/officeDocument/2006/extended-properties" xmlns:vt="http://schemas.openxmlformats.org/officeDocument/2006/docPropsVTypes">
  <Template>\MDT Template Library\Electric\Complaint and Order Suspending Tariff Revisions.dot</Template>
  <TotalTime>2</TotalTime>
  <Pages>2</Pages>
  <Words>416</Words>
  <Characters>2376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UE-151871 and UG-151872  Order 01</vt:lpstr>
    </vt:vector>
  </TitlesOfParts>
  <Company>UTC</Company>
  <LinksUpToDate>false</LinksUpToDate>
  <CharactersWithSpaces>2787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UE-151871 and UG-151872  Order 01</dc:title>
  <dc:subject/>
  <dc:creator>Anderson, Linda (UTC)</dc:creator>
  <cp:keywords/>
  <dc:description/>
  <cp:lastModifiedBy>Jessie Turner</cp:lastModifiedBy>
  <cp:revision>2</cp:revision>
  <cp:lastPrinted>2016-02-19T19:34:00Z</cp:lastPrinted>
  <dcterms:created xsi:type="dcterms:W3CDTF">2016-02-19T19:35:00Z</dcterms:created>
  <dcterms:modified xsi:type="dcterms:W3CDTF">2016-02-19T19:35:00Z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