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551C2D">
        <w:t>14</w:t>
      </w:r>
      <w:r w:rsidRPr="005540EB">
        <w:t>__</w:t>
      </w:r>
      <w:r w:rsidR="00975FB9" w:rsidRPr="005540EB">
        <w:t>___</w:t>
      </w:r>
    </w:p>
    <w:p w:rsidR="00914F08" w:rsidRPr="005540EB" w:rsidRDefault="00131A33" w:rsidP="000F6CFB">
      <w:pPr>
        <w:tabs>
          <w:tab w:val="left" w:pos="1260"/>
        </w:tabs>
        <w:spacing w:line="480" w:lineRule="auto"/>
        <w:ind w:left="-270"/>
        <w:jc w:val="center"/>
      </w:pPr>
      <w:r w:rsidRPr="005540EB">
        <w:t>DOCKET NO. UG-</w:t>
      </w:r>
      <w:r w:rsidR="00551C2D">
        <w:t>14</w:t>
      </w:r>
      <w:r w:rsidR="00914F08" w:rsidRPr="005540EB">
        <w:t>_</w:t>
      </w:r>
      <w:r w:rsidR="00975FB9" w:rsidRPr="005540EB">
        <w:t>___</w:t>
      </w:r>
      <w:r w:rsidR="00914F08" w:rsidRPr="005540EB">
        <w:t>_</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2E7F3A">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1D76D1" w:rsidRDefault="00914F08">
      <w:pPr>
        <w:pStyle w:val="Heading5"/>
        <w:rPr>
          <w:rStyle w:val="PageNumber"/>
          <w:u w:val="single"/>
        </w:rPr>
      </w:pPr>
      <w:r w:rsidRPr="001D76D1">
        <w:rPr>
          <w:rStyle w:val="PageNumber"/>
          <w:u w:val="single"/>
        </w:rPr>
        <w:lastRenderedPageBreak/>
        <w:t xml:space="preserve">I.  </w:t>
      </w:r>
      <w:r w:rsidR="000D6ABC" w:rsidRPr="001D76D1">
        <w:rPr>
          <w:rStyle w:val="PageNumber"/>
          <w:u w:val="single"/>
        </w:rPr>
        <w:t xml:space="preserve">   </w:t>
      </w:r>
      <w:r w:rsidRPr="001D76D1">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Washington.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5540EB" w:rsidRPr="005540EB" w:rsidRDefault="005540EB" w:rsidP="005540EB">
      <w:pPr>
        <w:pStyle w:val="P65"/>
        <w:jc w:val="both"/>
        <w:outlineLvl w:val="0"/>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duties?</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334F95">
        <w:rPr>
          <w:rFonts w:ascii="Times New Roman" w:hAnsi="Times New Roman" w:cs="Times New Roman"/>
        </w:rPr>
        <w:t xml:space="preserve">Yes.  </w:t>
      </w:r>
      <w:r w:rsidR="00147D24">
        <w:rPr>
          <w:rFonts w:ascii="Times New Roman" w:hAnsi="Times New Roman" w:cs="Times New Roman"/>
        </w:rPr>
        <w:t>M</w:t>
      </w:r>
      <w:r w:rsidRPr="005540EB">
        <w:rPr>
          <w:rFonts w:ascii="Times New Roman" w:hAnsi="Times New Roman" w:cs="Times New Roman"/>
        </w:rPr>
        <w:t xml:space="preserve">y primary areas of responsibility include electric and </w:t>
      </w:r>
      <w:r w:rsidR="00B312FA">
        <w:rPr>
          <w:rFonts w:ascii="Times New Roman" w:hAnsi="Times New Roman" w:cs="Times New Roman"/>
        </w:rPr>
        <w:t xml:space="preserve">natural </w:t>
      </w:r>
      <w:r w:rsidRPr="005540EB">
        <w:rPr>
          <w:rFonts w:ascii="Times New Roman" w:hAnsi="Times New Roman" w:cs="Times New Roman"/>
        </w:rPr>
        <w:t>gas rate design, customer usage and revenue analysis, and tariff administration.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334F95">
        <w:rPr>
          <w:rFonts w:ascii="Times New Roman" w:hAnsi="Times New Roman" w:cs="Times New Roman"/>
        </w:rPr>
        <w:t>Please</w:t>
      </w:r>
      <w:r w:rsidRPr="005540EB">
        <w:rPr>
          <w:rFonts w:ascii="Times New Roman" w:hAnsi="Times New Roman" w:cs="Times New Roman"/>
        </w:rPr>
        <w:t xml:space="preserve"> briefly describe your educational background</w:t>
      </w:r>
      <w:r w:rsidR="00586CB3">
        <w:rPr>
          <w:rFonts w:ascii="Times New Roman" w:hAnsi="Times New Roman" w:cs="Times New Roman"/>
        </w:rPr>
        <w:t xml:space="preserve"> and professional experience</w:t>
      </w:r>
      <w:r w:rsidR="00334F95">
        <w:rPr>
          <w:rFonts w:ascii="Times New Roman" w:hAnsi="Times New Roman" w:cs="Times New Roman"/>
        </w:rPr>
        <w:t>?</w:t>
      </w:r>
    </w:p>
    <w:p w:rsidR="006A4CE9" w:rsidRPr="007C0B2C" w:rsidRDefault="005540EB" w:rsidP="006A4CE9">
      <w:pPr>
        <w:pStyle w:val="P31"/>
        <w:jc w:val="both"/>
        <w:rPr>
          <w:rFonts w:ascii="Times New Roman" w:hAnsi="Times New Roman" w:cs="Times New Roman"/>
          <w:szCs w:val="24"/>
        </w:rPr>
      </w:pPr>
      <w:r w:rsidRPr="005540EB">
        <w:rPr>
          <w:rFonts w:ascii="Times New Roman" w:hAnsi="Times New Roman" w:cs="Times New Roman"/>
        </w:rPr>
        <w:t>A.</w:t>
      </w:r>
      <w:r w:rsidRPr="005540EB">
        <w:rPr>
          <w:rFonts w:ascii="Times New Roman" w:hAnsi="Times New Roman" w:cs="Times New Roman"/>
        </w:rPr>
        <w:tab/>
      </w:r>
      <w:r w:rsidR="006A4CE9" w:rsidRPr="007C0B2C">
        <w:rPr>
          <w:rFonts w:ascii="Times New Roman" w:hAnsi="Times New Roman" w:cs="Times New Roman"/>
          <w:szCs w:val="24"/>
        </w:rPr>
        <w:t xml:space="preserve">I am a 1995 graduate of Gonzaga University with a Bachelors degree in Business Administration.  In 1997 I graduated from Gonzaga University with a Masters degree in Business Administration.  I started with Avista in April 1997 as a Resource Management Analyst in the Company’s DSM </w:t>
      </w:r>
      <w:r w:rsidR="0061606F">
        <w:rPr>
          <w:rFonts w:ascii="Times New Roman" w:hAnsi="Times New Roman" w:cs="Times New Roman"/>
          <w:szCs w:val="24"/>
        </w:rPr>
        <w:t>D</w:t>
      </w:r>
      <w:r w:rsidR="006A4CE9" w:rsidRPr="007C0B2C">
        <w:rPr>
          <w:rFonts w:ascii="Times New Roman" w:hAnsi="Times New Roman" w:cs="Times New Roman"/>
          <w:szCs w:val="24"/>
        </w:rPr>
        <w:t>epartment. Later, I became a Program Manager, responsible for energy efficiency program offerings for the Company’s educational and governmental customers.  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6A4CE9" w:rsidRDefault="006A4CE9" w:rsidP="006A4CE9">
      <w:pPr>
        <w:pStyle w:val="P31"/>
        <w:jc w:val="both"/>
        <w:rPr>
          <w:rFonts w:ascii="Times New Roman" w:hAnsi="Times New Roman" w:cs="Times New Roman"/>
          <w:szCs w:val="24"/>
        </w:rPr>
      </w:pPr>
      <w:r w:rsidRPr="007C0B2C">
        <w:rPr>
          <w:rFonts w:ascii="Times New Roman" w:hAnsi="Times New Roman" w:cs="Times New Roman"/>
          <w:szCs w:val="24"/>
        </w:rPr>
        <w:t xml:space="preserve">I joined the State and Federal Regulation Department as a Senior Regulatory Analyst in 2007.  Responsibilities in this role included being the discovery coordinator for the </w:t>
      </w:r>
      <w:proofErr w:type="gramStart"/>
      <w:r w:rsidRPr="007C0B2C">
        <w:rPr>
          <w:rFonts w:ascii="Times New Roman" w:hAnsi="Times New Roman" w:cs="Times New Roman"/>
          <w:szCs w:val="24"/>
        </w:rPr>
        <w:t xml:space="preserve">Company’s rate cases, line extension policy tariffs, as well as miscellaneous regulatory </w:t>
      </w:r>
      <w:r w:rsidRPr="007C0B2C">
        <w:rPr>
          <w:rFonts w:ascii="Times New Roman" w:hAnsi="Times New Roman" w:cs="Times New Roman"/>
          <w:szCs w:val="24"/>
        </w:rPr>
        <w:lastRenderedPageBreak/>
        <w:t>issues.</w:t>
      </w:r>
      <w:proofErr w:type="gramEnd"/>
      <w:r w:rsidRPr="007C0B2C">
        <w:rPr>
          <w:rFonts w:ascii="Times New Roman" w:hAnsi="Times New Roman" w:cs="Times New Roman"/>
          <w:szCs w:val="24"/>
        </w:rPr>
        <w:t xml:space="preserve">  In November 2009, I was promoted to my current role.</w:t>
      </w:r>
    </w:p>
    <w:p w:rsidR="005540EB" w:rsidRPr="00A4037C" w:rsidRDefault="005540EB" w:rsidP="006A4CE9">
      <w:pPr>
        <w:pStyle w:val="P31"/>
        <w:jc w:val="both"/>
        <w:rPr>
          <w:rFonts w:ascii="Times New Roman" w:hAnsi="Times New Roman" w:cs="Times New Roman"/>
          <w:b/>
        </w:rPr>
      </w:pPr>
      <w:r w:rsidRPr="00A4037C">
        <w:rPr>
          <w:rFonts w:ascii="Times New Roman" w:hAnsi="Times New Roman" w:cs="Times New Roman"/>
          <w:b/>
        </w:rPr>
        <w:t>Q.</w:t>
      </w:r>
      <w:r w:rsidRPr="00A4037C">
        <w:rPr>
          <w:rFonts w:ascii="Times New Roman" w:hAnsi="Times New Roman" w:cs="Times New Roman"/>
          <w:b/>
        </w:rPr>
        <w:tab/>
        <w:t>What is the scope of your testimony in this proceeding?</w:t>
      </w:r>
    </w:p>
    <w:p w:rsidR="00010A41" w:rsidRDefault="005540EB" w:rsidP="007B04C8">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testimony in </w:t>
      </w:r>
      <w:r w:rsidRPr="000A6734">
        <w:rPr>
          <w:rFonts w:ascii="Times New Roman" w:hAnsi="Times New Roman" w:cs="Times New Roman"/>
        </w:rPr>
        <w:t xml:space="preserve">this proceeding will cover the spread of the proposed annual electric </w:t>
      </w:r>
      <w:r w:rsidR="00371D94" w:rsidRPr="00371D94">
        <w:rPr>
          <w:rFonts w:ascii="Times New Roman" w:hAnsi="Times New Roman" w:cs="Times New Roman"/>
          <w:u w:val="single"/>
        </w:rPr>
        <w:t>base</w:t>
      </w:r>
      <w:r w:rsidR="00371D94">
        <w:rPr>
          <w:rFonts w:ascii="Times New Roman" w:hAnsi="Times New Roman" w:cs="Times New Roman"/>
        </w:rPr>
        <w:t xml:space="preserve"> </w:t>
      </w:r>
      <w:r w:rsidRPr="000A6734">
        <w:rPr>
          <w:rFonts w:ascii="Times New Roman" w:hAnsi="Times New Roman" w:cs="Times New Roman"/>
        </w:rPr>
        <w:t xml:space="preserve">revenue increase </w:t>
      </w:r>
      <w:r w:rsidR="00FA7C1F">
        <w:rPr>
          <w:rFonts w:ascii="Times New Roman" w:hAnsi="Times New Roman" w:cs="Times New Roman"/>
        </w:rPr>
        <w:t xml:space="preserve">over 2014 base revenues </w:t>
      </w:r>
      <w:r w:rsidRPr="00A47B5B">
        <w:rPr>
          <w:rFonts w:ascii="Times New Roman" w:hAnsi="Times New Roman" w:cs="Times New Roman"/>
        </w:rPr>
        <w:t>of $</w:t>
      </w:r>
      <w:r w:rsidR="00FA7C1F">
        <w:rPr>
          <w:rFonts w:ascii="Times New Roman" w:hAnsi="Times New Roman" w:cs="Times New Roman"/>
        </w:rPr>
        <w:t>18,201</w:t>
      </w:r>
      <w:r w:rsidR="00EA52CF">
        <w:rPr>
          <w:rFonts w:ascii="Times New Roman" w:hAnsi="Times New Roman" w:cs="Times New Roman"/>
        </w:rPr>
        <w:t>,000</w:t>
      </w:r>
      <w:r w:rsidRPr="00A47B5B">
        <w:rPr>
          <w:rFonts w:ascii="Times New Roman" w:hAnsi="Times New Roman" w:cs="Times New Roman"/>
        </w:rPr>
        <w:t xml:space="preserve">, or </w:t>
      </w:r>
      <w:r w:rsidR="00FA7C1F">
        <w:rPr>
          <w:rFonts w:ascii="Times New Roman" w:hAnsi="Times New Roman" w:cs="Times New Roman"/>
        </w:rPr>
        <w:t>3</w:t>
      </w:r>
      <w:r w:rsidR="00EA52CF">
        <w:rPr>
          <w:rFonts w:ascii="Times New Roman" w:hAnsi="Times New Roman" w:cs="Times New Roman"/>
        </w:rPr>
        <w:t>.8</w:t>
      </w:r>
      <w:r w:rsidRPr="00A47B5B">
        <w:rPr>
          <w:rFonts w:ascii="Times New Roman" w:hAnsi="Times New Roman" w:cs="Times New Roman"/>
        </w:rPr>
        <w:t>%,</w:t>
      </w:r>
      <w:r w:rsidRPr="00D91979">
        <w:rPr>
          <w:rFonts w:ascii="Times New Roman" w:hAnsi="Times New Roman" w:cs="Times New Roman"/>
        </w:rPr>
        <w:t xml:space="preserve"> among</w:t>
      </w:r>
      <w:r w:rsidRPr="000A6734">
        <w:rPr>
          <w:rFonts w:ascii="Times New Roman" w:hAnsi="Times New Roman" w:cs="Times New Roman"/>
        </w:rPr>
        <w:t xml:space="preserve"> the Company’s electric general service schedules.  </w:t>
      </w:r>
      <w:r w:rsidR="00010A41">
        <w:rPr>
          <w:rFonts w:ascii="Times New Roman" w:hAnsi="Times New Roman" w:cs="Times New Roman"/>
        </w:rPr>
        <w:t>The change in billing revenues is an increase of $26,308,00</w:t>
      </w:r>
      <w:r w:rsidR="000A6860">
        <w:rPr>
          <w:rFonts w:ascii="Times New Roman" w:hAnsi="Times New Roman" w:cs="Times New Roman"/>
        </w:rPr>
        <w:t>0 or 5.5%</w:t>
      </w:r>
      <w:r w:rsidR="00010A41">
        <w:rPr>
          <w:rFonts w:ascii="Times New Roman" w:hAnsi="Times New Roman" w:cs="Times New Roman"/>
        </w:rPr>
        <w:t xml:space="preserve"> which reflects the following items which will</w:t>
      </w:r>
      <w:r w:rsidR="0061606F">
        <w:rPr>
          <w:rFonts w:ascii="Times New Roman" w:hAnsi="Times New Roman" w:cs="Times New Roman"/>
        </w:rPr>
        <w:t>,</w:t>
      </w:r>
      <w:r w:rsidR="00010A41">
        <w:rPr>
          <w:rFonts w:ascii="Times New Roman" w:hAnsi="Times New Roman" w:cs="Times New Roman"/>
        </w:rPr>
        <w:t xml:space="preserve"> or are proposed to</w:t>
      </w:r>
      <w:r w:rsidR="0061606F">
        <w:rPr>
          <w:rFonts w:ascii="Times New Roman" w:hAnsi="Times New Roman" w:cs="Times New Roman"/>
        </w:rPr>
        <w:t>,</w:t>
      </w:r>
      <w:r w:rsidR="00010A41">
        <w:rPr>
          <w:rFonts w:ascii="Times New Roman" w:hAnsi="Times New Roman" w:cs="Times New Roman"/>
        </w:rPr>
        <w:t xml:space="preserve"> go into effect on January 1, 2015:</w:t>
      </w:r>
    </w:p>
    <w:p w:rsidR="00010A41" w:rsidRDefault="00010A41" w:rsidP="007B04C8">
      <w:pPr>
        <w:pStyle w:val="P106"/>
        <w:ind w:left="720" w:firstLine="0"/>
        <w:jc w:val="both"/>
        <w:rPr>
          <w:rFonts w:ascii="Times New Roman" w:hAnsi="Times New Roman" w:cs="Times New Roman"/>
        </w:rPr>
      </w:pPr>
      <w:r w:rsidRPr="00010A41">
        <w:rPr>
          <w:rFonts w:ascii="Times New Roman" w:hAnsi="Times New Roman" w:cs="Times New Roman"/>
          <w:u w:val="single"/>
        </w:rPr>
        <w:t>Expiration of ERM Rebate</w:t>
      </w:r>
      <w:r>
        <w:rPr>
          <w:rFonts w:ascii="Times New Roman" w:hAnsi="Times New Roman" w:cs="Times New Roman"/>
        </w:rPr>
        <w:t xml:space="preserve"> – as a part of the Settlement Stipulation approved by the Commission in the Company’s last general rate case</w:t>
      </w:r>
      <w:r>
        <w:rPr>
          <w:rStyle w:val="FootnoteReference"/>
          <w:rFonts w:ascii="Times New Roman" w:hAnsi="Times New Roman"/>
        </w:rPr>
        <w:footnoteReference w:id="1"/>
      </w:r>
      <w:r>
        <w:rPr>
          <w:rFonts w:ascii="Times New Roman" w:hAnsi="Times New Roman" w:cs="Times New Roman"/>
        </w:rPr>
        <w:t xml:space="preserve">, during 2014 the Company is </w:t>
      </w:r>
      <w:r w:rsidR="007C7911">
        <w:rPr>
          <w:rFonts w:ascii="Times New Roman" w:hAnsi="Times New Roman" w:cs="Times New Roman"/>
        </w:rPr>
        <w:t>rebating</w:t>
      </w:r>
      <w:r>
        <w:rPr>
          <w:rFonts w:ascii="Times New Roman" w:hAnsi="Times New Roman" w:cs="Times New Roman"/>
        </w:rPr>
        <w:t xml:space="preserve"> to customers approximately $9.0 million from the Energy Recovery Mechanism (“ERM”) balancing account. </w:t>
      </w:r>
      <w:r w:rsidR="008C2923">
        <w:rPr>
          <w:rFonts w:ascii="Times New Roman" w:hAnsi="Times New Roman" w:cs="Times New Roman"/>
        </w:rPr>
        <w:t>That rebate expires on January 1, 2015.</w:t>
      </w:r>
    </w:p>
    <w:p w:rsidR="00010A41" w:rsidRDefault="00010A41" w:rsidP="007B04C8">
      <w:pPr>
        <w:pStyle w:val="P106"/>
        <w:ind w:left="720" w:firstLine="0"/>
        <w:jc w:val="both"/>
        <w:rPr>
          <w:rFonts w:ascii="Times New Roman" w:hAnsi="Times New Roman" w:cs="Times New Roman"/>
        </w:rPr>
      </w:pPr>
      <w:r w:rsidRPr="00010A41">
        <w:rPr>
          <w:rFonts w:ascii="Times New Roman" w:hAnsi="Times New Roman" w:cs="Times New Roman"/>
          <w:u w:val="single"/>
        </w:rPr>
        <w:t xml:space="preserve">Expiration of </w:t>
      </w:r>
      <w:r>
        <w:rPr>
          <w:rFonts w:ascii="Times New Roman" w:hAnsi="Times New Roman" w:cs="Times New Roman"/>
          <w:u w:val="single"/>
        </w:rPr>
        <w:t>BPA Transmission</w:t>
      </w:r>
      <w:r w:rsidRPr="00010A41">
        <w:rPr>
          <w:rFonts w:ascii="Times New Roman" w:hAnsi="Times New Roman" w:cs="Times New Roman"/>
          <w:u w:val="single"/>
        </w:rPr>
        <w:t xml:space="preserve"> Rebate</w:t>
      </w:r>
      <w:r>
        <w:rPr>
          <w:rFonts w:ascii="Times New Roman" w:hAnsi="Times New Roman" w:cs="Times New Roman"/>
        </w:rPr>
        <w:t xml:space="preserve"> – </w:t>
      </w:r>
      <w:r w:rsidRPr="00010A41">
        <w:rPr>
          <w:rFonts w:ascii="Times New Roman" w:hAnsi="Times New Roman" w:cs="Times New Roman"/>
        </w:rPr>
        <w:t>Pursuant to Order No. 01 in Docket UE-130536, the Company is also re</w:t>
      </w:r>
      <w:r w:rsidR="007C7911">
        <w:rPr>
          <w:rFonts w:ascii="Times New Roman" w:hAnsi="Times New Roman" w:cs="Times New Roman"/>
        </w:rPr>
        <w:t>batin</w:t>
      </w:r>
      <w:r>
        <w:rPr>
          <w:rFonts w:ascii="Times New Roman" w:hAnsi="Times New Roman" w:cs="Times New Roman"/>
        </w:rPr>
        <w:t>g</w:t>
      </w:r>
      <w:r w:rsidRPr="00010A41">
        <w:rPr>
          <w:rFonts w:ascii="Times New Roman" w:hAnsi="Times New Roman" w:cs="Times New Roman"/>
        </w:rPr>
        <w:t xml:space="preserve"> to customers </w:t>
      </w:r>
      <w:r>
        <w:rPr>
          <w:rFonts w:ascii="Times New Roman" w:hAnsi="Times New Roman" w:cs="Times New Roman"/>
        </w:rPr>
        <w:t xml:space="preserve">in 2014 </w:t>
      </w:r>
      <w:r w:rsidR="008C2923">
        <w:rPr>
          <w:rFonts w:ascii="Times New Roman" w:hAnsi="Times New Roman" w:cs="Times New Roman"/>
        </w:rPr>
        <w:t xml:space="preserve">certain </w:t>
      </w:r>
      <w:r w:rsidRPr="00010A41">
        <w:rPr>
          <w:rFonts w:ascii="Times New Roman" w:hAnsi="Times New Roman" w:cs="Times New Roman"/>
        </w:rPr>
        <w:t xml:space="preserve">BPA </w:t>
      </w:r>
      <w:r w:rsidR="008C2923">
        <w:rPr>
          <w:rFonts w:ascii="Times New Roman" w:hAnsi="Times New Roman" w:cs="Times New Roman"/>
        </w:rPr>
        <w:t>t</w:t>
      </w:r>
      <w:r w:rsidRPr="00010A41">
        <w:rPr>
          <w:rFonts w:ascii="Times New Roman" w:hAnsi="Times New Roman" w:cs="Times New Roman"/>
        </w:rPr>
        <w:t xml:space="preserve">ransmission </w:t>
      </w:r>
      <w:r w:rsidR="008C2923">
        <w:rPr>
          <w:rFonts w:ascii="Times New Roman" w:hAnsi="Times New Roman" w:cs="Times New Roman"/>
        </w:rPr>
        <w:t>r</w:t>
      </w:r>
      <w:r w:rsidRPr="00010A41">
        <w:rPr>
          <w:rFonts w:ascii="Times New Roman" w:hAnsi="Times New Roman" w:cs="Times New Roman"/>
        </w:rPr>
        <w:t>evenue</w:t>
      </w:r>
      <w:r>
        <w:rPr>
          <w:rFonts w:ascii="Times New Roman" w:hAnsi="Times New Roman" w:cs="Times New Roman"/>
        </w:rPr>
        <w:t>s</w:t>
      </w:r>
      <w:r w:rsidR="008C2923">
        <w:rPr>
          <w:rFonts w:ascii="Times New Roman" w:hAnsi="Times New Roman" w:cs="Times New Roman"/>
        </w:rPr>
        <w:t xml:space="preserve"> r</w:t>
      </w:r>
      <w:r>
        <w:rPr>
          <w:rFonts w:ascii="Times New Roman" w:hAnsi="Times New Roman" w:cs="Times New Roman"/>
        </w:rPr>
        <w:t>epresent</w:t>
      </w:r>
      <w:r w:rsidR="008C2923">
        <w:rPr>
          <w:rFonts w:ascii="Times New Roman" w:hAnsi="Times New Roman" w:cs="Times New Roman"/>
        </w:rPr>
        <w:t>ing</w:t>
      </w:r>
      <w:r>
        <w:rPr>
          <w:rFonts w:ascii="Times New Roman" w:hAnsi="Times New Roman" w:cs="Times New Roman"/>
        </w:rPr>
        <w:t xml:space="preserve"> </w:t>
      </w:r>
      <w:r w:rsidRPr="00010A41">
        <w:rPr>
          <w:rFonts w:ascii="Times New Roman" w:hAnsi="Times New Roman" w:cs="Times New Roman"/>
        </w:rPr>
        <w:t>the entire 2013 and 2014 revenue associated with the Bonneville settlement agreement (approximately $4.</w:t>
      </w:r>
      <w:r>
        <w:rPr>
          <w:rFonts w:ascii="Times New Roman" w:hAnsi="Times New Roman" w:cs="Times New Roman"/>
        </w:rPr>
        <w:t>3</w:t>
      </w:r>
      <w:r w:rsidRPr="00010A41">
        <w:rPr>
          <w:rFonts w:ascii="Times New Roman" w:hAnsi="Times New Roman" w:cs="Times New Roman"/>
        </w:rPr>
        <w:t xml:space="preserve"> million).  </w:t>
      </w:r>
    </w:p>
    <w:p w:rsidR="00010A41" w:rsidRDefault="00010A41" w:rsidP="007B04C8">
      <w:pPr>
        <w:pStyle w:val="P106"/>
        <w:ind w:left="720" w:firstLine="0"/>
        <w:jc w:val="both"/>
        <w:rPr>
          <w:rFonts w:ascii="Times New Roman" w:hAnsi="Times New Roman" w:cs="Times New Roman"/>
        </w:rPr>
      </w:pPr>
      <w:r>
        <w:rPr>
          <w:rFonts w:ascii="Times New Roman" w:hAnsi="Times New Roman" w:cs="Times New Roman"/>
          <w:u w:val="single"/>
        </w:rPr>
        <w:t xml:space="preserve">New Renewable Energy Credit </w:t>
      </w:r>
      <w:r w:rsidR="00482455">
        <w:rPr>
          <w:rFonts w:ascii="Times New Roman" w:hAnsi="Times New Roman" w:cs="Times New Roman"/>
          <w:u w:val="single"/>
        </w:rPr>
        <w:t xml:space="preserve">(“REC”) </w:t>
      </w:r>
      <w:r>
        <w:rPr>
          <w:rFonts w:ascii="Times New Roman" w:hAnsi="Times New Roman" w:cs="Times New Roman"/>
          <w:u w:val="single"/>
        </w:rPr>
        <w:t xml:space="preserve">Revenue </w:t>
      </w:r>
      <w:r w:rsidR="00482455">
        <w:rPr>
          <w:rFonts w:ascii="Times New Roman" w:hAnsi="Times New Roman" w:cs="Times New Roman"/>
          <w:u w:val="single"/>
        </w:rPr>
        <w:t>Mechanism</w:t>
      </w:r>
      <w:r>
        <w:rPr>
          <w:rFonts w:ascii="Times New Roman" w:hAnsi="Times New Roman" w:cs="Times New Roman"/>
        </w:rPr>
        <w:t xml:space="preserve"> – </w:t>
      </w:r>
      <w:r w:rsidR="00482455">
        <w:rPr>
          <w:rFonts w:ascii="Times New Roman" w:hAnsi="Times New Roman" w:cs="Times New Roman"/>
        </w:rPr>
        <w:t xml:space="preserve">As discussed in Company witness Mr. Johnson’s testimony, the Company is proposing a REC Revenue Mechanism to rebate to customers the </w:t>
      </w:r>
      <w:r w:rsidR="00482455" w:rsidRPr="00482455">
        <w:rPr>
          <w:rFonts w:ascii="Times New Roman" w:hAnsi="Times New Roman" w:cs="Times New Roman"/>
        </w:rPr>
        <w:t xml:space="preserve">actual and projected net REC revenues </w:t>
      </w:r>
      <w:r w:rsidR="008C2923">
        <w:rPr>
          <w:rFonts w:ascii="Times New Roman" w:hAnsi="Times New Roman" w:cs="Times New Roman"/>
        </w:rPr>
        <w:t>for the</w:t>
      </w:r>
      <w:r w:rsidR="00482455" w:rsidRPr="00482455">
        <w:rPr>
          <w:rFonts w:ascii="Times New Roman" w:hAnsi="Times New Roman" w:cs="Times New Roman"/>
        </w:rPr>
        <w:t xml:space="preserve"> 2012 through June 2016</w:t>
      </w:r>
      <w:r w:rsidR="008C2923">
        <w:rPr>
          <w:rFonts w:ascii="Times New Roman" w:hAnsi="Times New Roman" w:cs="Times New Roman"/>
        </w:rPr>
        <w:t xml:space="preserve"> time period</w:t>
      </w:r>
      <w:r w:rsidR="00482455" w:rsidRPr="00482455">
        <w:rPr>
          <w:rFonts w:ascii="Times New Roman" w:hAnsi="Times New Roman" w:cs="Times New Roman"/>
        </w:rPr>
        <w:t>.  The amortization period for this rebate</w:t>
      </w:r>
      <w:r w:rsidR="00482455">
        <w:rPr>
          <w:rFonts w:ascii="Times New Roman" w:hAnsi="Times New Roman" w:cs="Times New Roman"/>
        </w:rPr>
        <w:t>, which is approximately $7.8 million</w:t>
      </w:r>
      <w:r w:rsidR="008C2923">
        <w:rPr>
          <w:rFonts w:ascii="Times New Roman" w:hAnsi="Times New Roman" w:cs="Times New Roman"/>
        </w:rPr>
        <w:t xml:space="preserve"> (Washington </w:t>
      </w:r>
      <w:r w:rsidR="007C7911">
        <w:rPr>
          <w:rFonts w:ascii="Times New Roman" w:hAnsi="Times New Roman" w:cs="Times New Roman"/>
        </w:rPr>
        <w:t>allocation</w:t>
      </w:r>
      <w:r w:rsidR="008C2923">
        <w:rPr>
          <w:rFonts w:ascii="Times New Roman" w:hAnsi="Times New Roman" w:cs="Times New Roman"/>
        </w:rPr>
        <w:t>)</w:t>
      </w:r>
      <w:r w:rsidR="00482455">
        <w:rPr>
          <w:rFonts w:ascii="Times New Roman" w:hAnsi="Times New Roman" w:cs="Times New Roman"/>
        </w:rPr>
        <w:t>,</w:t>
      </w:r>
      <w:r w:rsidR="00482455" w:rsidRPr="00482455">
        <w:rPr>
          <w:rFonts w:ascii="Times New Roman" w:hAnsi="Times New Roman" w:cs="Times New Roman"/>
        </w:rPr>
        <w:t xml:space="preserve"> will be 18 months, January 2015 through June 2016.  </w:t>
      </w:r>
      <w:r w:rsidRPr="00010A41">
        <w:rPr>
          <w:rFonts w:ascii="Times New Roman" w:hAnsi="Times New Roman" w:cs="Times New Roman"/>
        </w:rPr>
        <w:t xml:space="preserve">  </w:t>
      </w:r>
      <w:r w:rsidR="00482455">
        <w:rPr>
          <w:rFonts w:ascii="Times New Roman" w:hAnsi="Times New Roman" w:cs="Times New Roman"/>
        </w:rPr>
        <w:t>The 2015 annualized rebate amount is approximately $5.2 million</w:t>
      </w:r>
      <w:r w:rsidR="007B04C8">
        <w:rPr>
          <w:rFonts w:ascii="Times New Roman" w:hAnsi="Times New Roman" w:cs="Times New Roman"/>
        </w:rPr>
        <w:t>.</w:t>
      </w:r>
    </w:p>
    <w:p w:rsidR="00EA52CF" w:rsidRDefault="008C2923" w:rsidP="000B6A29">
      <w:pPr>
        <w:pStyle w:val="P106"/>
        <w:jc w:val="both"/>
        <w:rPr>
          <w:rFonts w:ascii="Times New Roman" w:hAnsi="Times New Roman" w:cs="Times New Roman"/>
        </w:rPr>
      </w:pPr>
      <w:r>
        <w:rPr>
          <w:rFonts w:ascii="Times New Roman" w:hAnsi="Times New Roman" w:cs="Times New Roman"/>
        </w:rPr>
        <w:t xml:space="preserve">Below </w:t>
      </w:r>
      <w:proofErr w:type="gramStart"/>
      <w:r>
        <w:rPr>
          <w:rFonts w:ascii="Times New Roman" w:hAnsi="Times New Roman" w:cs="Times New Roman"/>
        </w:rPr>
        <w:t>is</w:t>
      </w:r>
      <w:proofErr w:type="gramEnd"/>
      <w:r>
        <w:rPr>
          <w:rFonts w:ascii="Times New Roman" w:hAnsi="Times New Roman" w:cs="Times New Roman"/>
        </w:rPr>
        <w:t xml:space="preserve"> </w:t>
      </w:r>
      <w:r w:rsidR="005E2247">
        <w:rPr>
          <w:rFonts w:ascii="Times New Roman" w:hAnsi="Times New Roman" w:cs="Times New Roman"/>
        </w:rPr>
        <w:t xml:space="preserve">a table and </w:t>
      </w:r>
      <w:r w:rsidR="0061606F">
        <w:rPr>
          <w:rFonts w:ascii="Times New Roman" w:hAnsi="Times New Roman" w:cs="Times New Roman"/>
        </w:rPr>
        <w:t xml:space="preserve">an illustration </w:t>
      </w:r>
      <w:r>
        <w:rPr>
          <w:rFonts w:ascii="Times New Roman" w:hAnsi="Times New Roman" w:cs="Times New Roman"/>
        </w:rPr>
        <w:t>summar</w:t>
      </w:r>
      <w:r w:rsidR="005E2247">
        <w:rPr>
          <w:rFonts w:ascii="Times New Roman" w:hAnsi="Times New Roman" w:cs="Times New Roman"/>
        </w:rPr>
        <w:t>izing</w:t>
      </w:r>
      <w:r w:rsidR="00EA52CF">
        <w:rPr>
          <w:rFonts w:ascii="Times New Roman" w:hAnsi="Times New Roman" w:cs="Times New Roman"/>
        </w:rPr>
        <w:t xml:space="preserve"> the various rate </w:t>
      </w:r>
      <w:r w:rsidR="000A6860">
        <w:rPr>
          <w:rFonts w:ascii="Times New Roman" w:hAnsi="Times New Roman" w:cs="Times New Roman"/>
        </w:rPr>
        <w:t xml:space="preserve">changes noted </w:t>
      </w:r>
      <w:r w:rsidR="000A6860">
        <w:rPr>
          <w:rFonts w:ascii="Times New Roman" w:hAnsi="Times New Roman" w:cs="Times New Roman"/>
        </w:rPr>
        <w:lastRenderedPageBreak/>
        <w:t>above</w:t>
      </w:r>
      <w:r w:rsidR="00EA52CF">
        <w:rPr>
          <w:rFonts w:ascii="Times New Roman" w:hAnsi="Times New Roman" w:cs="Times New Roman"/>
        </w:rPr>
        <w:t>:</w:t>
      </w:r>
    </w:p>
    <w:p w:rsidR="004729E4" w:rsidRDefault="004729E4" w:rsidP="004729E4">
      <w:pPr>
        <w:pStyle w:val="P106"/>
        <w:ind w:firstLine="0"/>
        <w:jc w:val="both"/>
        <w:rPr>
          <w:rFonts w:ascii="Times New Roman" w:hAnsi="Times New Roman" w:cs="Times New Roman"/>
        </w:rPr>
      </w:pPr>
      <w:r w:rsidRPr="004729E4">
        <w:rPr>
          <w:rFonts w:ascii="Times New Roman" w:hAnsi="Times New Roman" w:cs="Times New Roman"/>
          <w:b/>
        </w:rPr>
        <w:t>Table No. 1</w:t>
      </w:r>
      <w:r>
        <w:rPr>
          <w:rFonts w:ascii="Times New Roman" w:hAnsi="Times New Roman" w:cs="Times New Roman"/>
        </w:rPr>
        <w:t>:</w:t>
      </w:r>
    </w:p>
    <w:p w:rsidR="00EA52CF" w:rsidRDefault="00FA7C1F" w:rsidP="000B6A29">
      <w:pPr>
        <w:pStyle w:val="P106"/>
        <w:jc w:val="both"/>
        <w:rPr>
          <w:rFonts w:ascii="Times New Roman" w:hAnsi="Times New Roman" w:cs="Times New Roman"/>
        </w:rPr>
      </w:pPr>
      <w:r w:rsidRPr="00FA7C1F">
        <w:rPr>
          <w:noProof/>
        </w:rPr>
        <w:drawing>
          <wp:anchor distT="0" distB="0" distL="114300" distR="114300" simplePos="0" relativeHeight="251866624" behindDoc="1" locked="0" layoutInCell="1" allowOverlap="1">
            <wp:simplePos x="0" y="0"/>
            <wp:positionH relativeFrom="column">
              <wp:posOffset>139751</wp:posOffset>
            </wp:positionH>
            <wp:positionV relativeFrom="paragraph">
              <wp:posOffset>-1219</wp:posOffset>
            </wp:positionV>
            <wp:extent cx="5675046" cy="1221638"/>
            <wp:effectExtent l="19050" t="0" r="1854"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675046" cy="1221638"/>
                    </a:xfrm>
                    <a:prstGeom prst="rect">
                      <a:avLst/>
                    </a:prstGeom>
                    <a:noFill/>
                    <a:ln w="9525">
                      <a:noFill/>
                      <a:miter lim="800000"/>
                      <a:headEnd/>
                      <a:tailEnd/>
                    </a:ln>
                  </pic:spPr>
                </pic:pic>
              </a:graphicData>
            </a:graphic>
          </wp:anchor>
        </w:drawing>
      </w:r>
    </w:p>
    <w:p w:rsidR="00EA52CF" w:rsidRDefault="00EA52CF" w:rsidP="000B6A29">
      <w:pPr>
        <w:pStyle w:val="P106"/>
        <w:jc w:val="both"/>
        <w:rPr>
          <w:rFonts w:ascii="Times New Roman" w:hAnsi="Times New Roman" w:cs="Times New Roman"/>
        </w:rPr>
      </w:pPr>
    </w:p>
    <w:p w:rsidR="00EA52CF" w:rsidRDefault="00EA52CF" w:rsidP="000B6A29">
      <w:pPr>
        <w:pStyle w:val="P106"/>
        <w:jc w:val="both"/>
        <w:rPr>
          <w:rFonts w:ascii="Times New Roman" w:hAnsi="Times New Roman" w:cs="Times New Roman"/>
        </w:rPr>
      </w:pPr>
    </w:p>
    <w:p w:rsidR="00EA52CF" w:rsidRDefault="00EA52CF" w:rsidP="000B6A29">
      <w:pPr>
        <w:pStyle w:val="P106"/>
        <w:jc w:val="both"/>
        <w:rPr>
          <w:rFonts w:ascii="Times New Roman" w:hAnsi="Times New Roman" w:cs="Times New Roman"/>
        </w:rPr>
      </w:pPr>
    </w:p>
    <w:p w:rsidR="0076151E" w:rsidRPr="0076151E" w:rsidRDefault="0076151E" w:rsidP="0076151E">
      <w:pPr>
        <w:pStyle w:val="P106"/>
        <w:ind w:firstLine="0"/>
        <w:jc w:val="both"/>
        <w:rPr>
          <w:rFonts w:ascii="Times New Roman" w:hAnsi="Times New Roman" w:cs="Times New Roman"/>
          <w:b/>
          <w:u w:val="single"/>
        </w:rPr>
      </w:pPr>
      <w:r w:rsidRPr="0076151E">
        <w:rPr>
          <w:rFonts w:ascii="Times New Roman" w:hAnsi="Times New Roman" w:cs="Times New Roman"/>
          <w:b/>
          <w:u w:val="single"/>
        </w:rPr>
        <w:t xml:space="preserve">Illustration </w:t>
      </w:r>
      <w:r w:rsidR="004729E4">
        <w:rPr>
          <w:rFonts w:ascii="Times New Roman" w:hAnsi="Times New Roman" w:cs="Times New Roman"/>
          <w:b/>
          <w:u w:val="single"/>
        </w:rPr>
        <w:t xml:space="preserve">No. </w:t>
      </w:r>
      <w:r w:rsidRPr="0076151E">
        <w:rPr>
          <w:rFonts w:ascii="Times New Roman" w:hAnsi="Times New Roman" w:cs="Times New Roman"/>
          <w:b/>
          <w:u w:val="single"/>
        </w:rPr>
        <w:t>1</w:t>
      </w:r>
    </w:p>
    <w:p w:rsidR="005E2247" w:rsidRDefault="00974F03" w:rsidP="008555E4">
      <w:pPr>
        <w:pStyle w:val="P106"/>
        <w:jc w:val="both"/>
        <w:rPr>
          <w:rFonts w:ascii="Times New Roman" w:hAnsi="Times New Roman" w:cs="Times New Roman"/>
        </w:rPr>
      </w:pPr>
      <w:r>
        <w:rPr>
          <w:rFonts w:ascii="Times New Roman" w:hAnsi="Times New Roman" w:cs="Times New Roman"/>
          <w:noProof/>
        </w:rPr>
        <w:drawing>
          <wp:anchor distT="0" distB="0" distL="114300" distR="114300" simplePos="0" relativeHeight="251904512" behindDoc="1" locked="0" layoutInCell="1" allowOverlap="1">
            <wp:simplePos x="0" y="0"/>
            <wp:positionH relativeFrom="column">
              <wp:posOffset>59055</wp:posOffset>
            </wp:positionH>
            <wp:positionV relativeFrom="paragraph">
              <wp:posOffset>110490</wp:posOffset>
            </wp:positionV>
            <wp:extent cx="5481892" cy="4257675"/>
            <wp:effectExtent l="19050" t="0" r="4508" b="0"/>
            <wp:wrapNone/>
            <wp:docPr id="17" name="Picture 16" descr="Proposed Billed Revenue Incr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 Billed Revenue Increase.jpg"/>
                    <pic:cNvPicPr/>
                  </pic:nvPicPr>
                  <pic:blipFill>
                    <a:blip r:embed="rId13" cstate="print"/>
                    <a:stretch>
                      <a:fillRect/>
                    </a:stretch>
                  </pic:blipFill>
                  <pic:spPr>
                    <a:xfrm>
                      <a:off x="0" y="0"/>
                      <a:ext cx="5481892" cy="4257675"/>
                    </a:xfrm>
                    <a:prstGeom prst="rect">
                      <a:avLst/>
                    </a:prstGeom>
                  </pic:spPr>
                </pic:pic>
              </a:graphicData>
            </a:graphic>
          </wp:anchor>
        </w:drawing>
      </w:r>
    </w:p>
    <w:p w:rsidR="002E7F3A" w:rsidRDefault="002E7F3A" w:rsidP="008555E4">
      <w:pPr>
        <w:pStyle w:val="P106"/>
        <w:jc w:val="both"/>
        <w:rPr>
          <w:rFonts w:ascii="Times New Roman" w:hAnsi="Times New Roman" w:cs="Times New Roman"/>
        </w:rPr>
      </w:pPr>
    </w:p>
    <w:p w:rsidR="002E7F3A" w:rsidRDefault="002E7F3A" w:rsidP="008555E4">
      <w:pPr>
        <w:pStyle w:val="P106"/>
        <w:jc w:val="both"/>
        <w:rPr>
          <w:rFonts w:ascii="Times New Roman" w:hAnsi="Times New Roman" w:cs="Times New Roman"/>
        </w:rPr>
      </w:pPr>
    </w:p>
    <w:p w:rsidR="002E7F3A" w:rsidRDefault="002E7F3A"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5E2247" w:rsidRDefault="005E2247" w:rsidP="008555E4">
      <w:pPr>
        <w:pStyle w:val="P106"/>
        <w:jc w:val="both"/>
        <w:rPr>
          <w:rFonts w:ascii="Times New Roman" w:hAnsi="Times New Roman" w:cs="Times New Roman"/>
        </w:rPr>
      </w:pPr>
    </w:p>
    <w:p w:rsidR="008555E4" w:rsidRDefault="005540EB" w:rsidP="008555E4">
      <w:pPr>
        <w:pStyle w:val="P106"/>
        <w:jc w:val="both"/>
        <w:rPr>
          <w:rFonts w:ascii="Times New Roman" w:hAnsi="Times New Roman" w:cs="Times New Roman"/>
        </w:rPr>
      </w:pPr>
      <w:r w:rsidRPr="000A6734">
        <w:rPr>
          <w:rFonts w:ascii="Times New Roman" w:hAnsi="Times New Roman" w:cs="Times New Roman"/>
        </w:rPr>
        <w:t xml:space="preserve">With </w:t>
      </w:r>
      <w:r w:rsidRPr="00A47B5B">
        <w:rPr>
          <w:rFonts w:ascii="Times New Roman" w:hAnsi="Times New Roman" w:cs="Times New Roman"/>
        </w:rPr>
        <w:t xml:space="preserve">regard to natural gas service, I will describe the spread of the proposed annual </w:t>
      </w:r>
      <w:r w:rsidR="00D91979" w:rsidRPr="00A47B5B">
        <w:rPr>
          <w:rFonts w:ascii="Times New Roman" w:hAnsi="Times New Roman" w:cs="Times New Roman"/>
          <w:u w:val="single"/>
        </w:rPr>
        <w:t>base</w:t>
      </w:r>
      <w:r w:rsidR="00D91979" w:rsidRPr="00A47B5B">
        <w:rPr>
          <w:rFonts w:ascii="Times New Roman" w:hAnsi="Times New Roman" w:cs="Times New Roman"/>
        </w:rPr>
        <w:t xml:space="preserve"> </w:t>
      </w:r>
      <w:r w:rsidRPr="00A47B5B">
        <w:rPr>
          <w:rFonts w:ascii="Times New Roman" w:hAnsi="Times New Roman" w:cs="Times New Roman"/>
        </w:rPr>
        <w:t xml:space="preserve">revenue increase </w:t>
      </w:r>
      <w:r w:rsidR="00FA7C1F">
        <w:rPr>
          <w:rFonts w:ascii="Times New Roman" w:hAnsi="Times New Roman" w:cs="Times New Roman"/>
        </w:rPr>
        <w:t xml:space="preserve">over 2014 base revenues </w:t>
      </w:r>
      <w:r w:rsidRPr="00A47B5B">
        <w:rPr>
          <w:rFonts w:ascii="Times New Roman" w:hAnsi="Times New Roman" w:cs="Times New Roman"/>
        </w:rPr>
        <w:t xml:space="preserve">of </w:t>
      </w:r>
      <w:r w:rsidR="00DF1AB0" w:rsidRPr="00A47B5B">
        <w:rPr>
          <w:rFonts w:ascii="Times New Roman" w:hAnsi="Times New Roman" w:cs="Times New Roman"/>
        </w:rPr>
        <w:t>$</w:t>
      </w:r>
      <w:r w:rsidR="00FA7C1F">
        <w:rPr>
          <w:rFonts w:ascii="Times New Roman" w:hAnsi="Times New Roman" w:cs="Times New Roman"/>
        </w:rPr>
        <w:t>12,135</w:t>
      </w:r>
      <w:r w:rsidRPr="00A47B5B">
        <w:rPr>
          <w:rFonts w:ascii="Times New Roman" w:hAnsi="Times New Roman" w:cs="Times New Roman"/>
        </w:rPr>
        <w:t>,</w:t>
      </w:r>
      <w:r w:rsidR="008555E4">
        <w:rPr>
          <w:rFonts w:ascii="Times New Roman" w:hAnsi="Times New Roman" w:cs="Times New Roman"/>
        </w:rPr>
        <w:t>000,</w:t>
      </w:r>
      <w:r w:rsidRPr="00A47B5B">
        <w:rPr>
          <w:rFonts w:ascii="Times New Roman" w:hAnsi="Times New Roman" w:cs="Times New Roman"/>
        </w:rPr>
        <w:t xml:space="preserve"> or </w:t>
      </w:r>
      <w:r w:rsidR="00FA7C1F">
        <w:rPr>
          <w:rFonts w:ascii="Times New Roman" w:hAnsi="Times New Roman" w:cs="Times New Roman"/>
        </w:rPr>
        <w:t>8.1</w:t>
      </w:r>
      <w:r w:rsidRPr="00A47B5B">
        <w:rPr>
          <w:rFonts w:ascii="Times New Roman" w:hAnsi="Times New Roman" w:cs="Times New Roman"/>
        </w:rPr>
        <w:t>%,</w:t>
      </w:r>
      <w:r w:rsidRPr="004940D3">
        <w:rPr>
          <w:rFonts w:ascii="Times New Roman" w:hAnsi="Times New Roman" w:cs="Times New Roman"/>
        </w:rPr>
        <w:t xml:space="preserve"> </w:t>
      </w:r>
      <w:r w:rsidRPr="005540EB">
        <w:rPr>
          <w:rFonts w:ascii="Times New Roman" w:hAnsi="Times New Roman" w:cs="Times New Roman"/>
        </w:rPr>
        <w:t xml:space="preserve">among the Company’s natural gas service schedules.  </w:t>
      </w:r>
      <w:r w:rsidR="000A6860">
        <w:rPr>
          <w:rFonts w:ascii="Times New Roman" w:hAnsi="Times New Roman" w:cs="Times New Roman"/>
        </w:rPr>
        <w:t>The proposed increase on a billing basis is 7.8%.</w:t>
      </w:r>
    </w:p>
    <w:p w:rsidR="000B6A29" w:rsidRDefault="005540EB" w:rsidP="000B6A29">
      <w:pPr>
        <w:pStyle w:val="P106"/>
        <w:jc w:val="both"/>
        <w:rPr>
          <w:rFonts w:ascii="Times New Roman" w:hAnsi="Times New Roman" w:cs="Times New Roman"/>
        </w:rPr>
      </w:pPr>
      <w:r w:rsidRPr="005540EB">
        <w:rPr>
          <w:rFonts w:ascii="Times New Roman" w:hAnsi="Times New Roman" w:cs="Times New Roman"/>
        </w:rPr>
        <w:lastRenderedPageBreak/>
        <w:t>My testimony will also describe the changes to the rates within the Company’s electric and natural gas service schedules</w:t>
      </w:r>
      <w:r w:rsidR="00F10C1F">
        <w:rPr>
          <w:rFonts w:ascii="Times New Roman" w:hAnsi="Times New Roman" w:cs="Times New Roman"/>
        </w:rPr>
        <w:t xml:space="preserve">, as well the proposed increase in the basic charge for </w:t>
      </w:r>
      <w:r w:rsidR="004C3DE4">
        <w:rPr>
          <w:rFonts w:ascii="Times New Roman" w:hAnsi="Times New Roman" w:cs="Times New Roman"/>
        </w:rPr>
        <w:t xml:space="preserve">residential </w:t>
      </w:r>
      <w:r w:rsidR="00F10C1F">
        <w:rPr>
          <w:rFonts w:ascii="Times New Roman" w:hAnsi="Times New Roman" w:cs="Times New Roman"/>
        </w:rPr>
        <w:t xml:space="preserve">electric rate </w:t>
      </w:r>
      <w:r w:rsidR="00E54BA8">
        <w:rPr>
          <w:rFonts w:ascii="Times New Roman" w:hAnsi="Times New Roman" w:cs="Times New Roman"/>
        </w:rPr>
        <w:t>S</w:t>
      </w:r>
      <w:r w:rsidR="00F10C1F">
        <w:rPr>
          <w:rFonts w:ascii="Times New Roman" w:hAnsi="Times New Roman" w:cs="Times New Roman"/>
        </w:rPr>
        <w:t xml:space="preserve">chedule 1 and natural gas rate </w:t>
      </w:r>
      <w:r w:rsidR="00E54BA8">
        <w:rPr>
          <w:rFonts w:ascii="Times New Roman" w:hAnsi="Times New Roman" w:cs="Times New Roman"/>
        </w:rPr>
        <w:t>S</w:t>
      </w:r>
      <w:r w:rsidR="00F10C1F">
        <w:rPr>
          <w:rFonts w:ascii="Times New Roman" w:hAnsi="Times New Roman" w:cs="Times New Roman"/>
        </w:rPr>
        <w:t>chedule 101</w:t>
      </w:r>
      <w:r w:rsidRPr="005540EB">
        <w:rPr>
          <w:rFonts w:ascii="Times New Roman" w:hAnsi="Times New Roman" w:cs="Times New Roman"/>
        </w:rPr>
        <w:t xml:space="preserve">.  </w:t>
      </w:r>
      <w:r w:rsidR="000B6A29">
        <w:rPr>
          <w:rFonts w:ascii="Times New Roman" w:hAnsi="Times New Roman" w:cs="Times New Roman"/>
        </w:rPr>
        <w:t xml:space="preserve"> I will describe </w:t>
      </w:r>
      <w:r w:rsidR="000B6A29" w:rsidRPr="00C92A6D">
        <w:rPr>
          <w:rFonts w:ascii="Times New Roman" w:hAnsi="Times New Roman" w:cs="Times New Roman"/>
        </w:rPr>
        <w:t xml:space="preserve">the </w:t>
      </w:r>
      <w:r w:rsidR="008354EE" w:rsidRPr="00C92A6D">
        <w:rPr>
          <w:rFonts w:ascii="Times New Roman" w:hAnsi="Times New Roman" w:cs="Times New Roman"/>
        </w:rPr>
        <w:t xml:space="preserve">DSM </w:t>
      </w:r>
      <w:r w:rsidR="00C92A6D" w:rsidRPr="00C92A6D">
        <w:rPr>
          <w:rFonts w:ascii="Times New Roman" w:hAnsi="Times New Roman" w:cs="Times New Roman"/>
        </w:rPr>
        <w:t xml:space="preserve">Component of the </w:t>
      </w:r>
      <w:r w:rsidR="00BE67DE" w:rsidRPr="00C92A6D">
        <w:rPr>
          <w:rFonts w:ascii="Times New Roman" w:hAnsi="Times New Roman" w:cs="Times New Roman"/>
        </w:rPr>
        <w:t>Attrition Adjustment</w:t>
      </w:r>
      <w:r w:rsidR="00701425">
        <w:rPr>
          <w:rFonts w:ascii="Times New Roman" w:hAnsi="Times New Roman" w:cs="Times New Roman"/>
        </w:rPr>
        <w:t xml:space="preserve"> and the Company’s request for an </w:t>
      </w:r>
      <w:r w:rsidR="000A6860">
        <w:rPr>
          <w:rFonts w:ascii="Times New Roman" w:hAnsi="Times New Roman" w:cs="Times New Roman"/>
        </w:rPr>
        <w:t>E</w:t>
      </w:r>
      <w:r w:rsidR="00701425">
        <w:rPr>
          <w:rFonts w:ascii="Times New Roman" w:hAnsi="Times New Roman" w:cs="Times New Roman"/>
        </w:rPr>
        <w:t xml:space="preserve">lectric and </w:t>
      </w:r>
      <w:r w:rsidR="000A6860">
        <w:rPr>
          <w:rFonts w:ascii="Times New Roman" w:hAnsi="Times New Roman" w:cs="Times New Roman"/>
        </w:rPr>
        <w:t>Natural Gas Decoupling Mechanism</w:t>
      </w:r>
      <w:r w:rsidR="00701425">
        <w:rPr>
          <w:rFonts w:ascii="Times New Roman" w:hAnsi="Times New Roman" w:cs="Times New Roman"/>
        </w:rPr>
        <w:t xml:space="preserve">.  </w:t>
      </w:r>
      <w:r w:rsidR="00334F95" w:rsidRPr="00C92A6D">
        <w:rPr>
          <w:rFonts w:ascii="Times New Roman" w:hAnsi="Times New Roman" w:cs="Times New Roman"/>
        </w:rPr>
        <w:t xml:space="preserve"> </w:t>
      </w:r>
      <w:r w:rsidR="00BE67DE">
        <w:rPr>
          <w:rFonts w:ascii="Times New Roman" w:hAnsi="Times New Roman" w:cs="Times New Roman"/>
        </w:rPr>
        <w:t xml:space="preserve">Later, I will discuss </w:t>
      </w:r>
      <w:r w:rsidR="000E62F6">
        <w:rPr>
          <w:rFonts w:ascii="Times New Roman" w:hAnsi="Times New Roman" w:cs="Times New Roman"/>
        </w:rPr>
        <w:t xml:space="preserve">changes to the Company’s street lighting tariffs, and </w:t>
      </w:r>
      <w:r w:rsidR="00BE67DE">
        <w:rPr>
          <w:rFonts w:ascii="Times New Roman" w:hAnsi="Times New Roman" w:cs="Times New Roman"/>
        </w:rPr>
        <w:t xml:space="preserve">the proposed </w:t>
      </w:r>
      <w:r w:rsidR="0082229C">
        <w:rPr>
          <w:rFonts w:ascii="Times New Roman" w:hAnsi="Times New Roman" w:cs="Times New Roman"/>
        </w:rPr>
        <w:t>REC Revenue</w:t>
      </w:r>
      <w:r w:rsidR="00BE67DE">
        <w:rPr>
          <w:rFonts w:ascii="Times New Roman" w:hAnsi="Times New Roman" w:cs="Times New Roman"/>
        </w:rPr>
        <w:t xml:space="preserve"> </w:t>
      </w:r>
      <w:r w:rsidR="008C2923">
        <w:rPr>
          <w:rFonts w:ascii="Times New Roman" w:hAnsi="Times New Roman" w:cs="Times New Roman"/>
        </w:rPr>
        <w:t>Mechanism</w:t>
      </w:r>
      <w:r w:rsidR="00BE67DE">
        <w:rPr>
          <w:rFonts w:ascii="Times New Roman" w:hAnsi="Times New Roman" w:cs="Times New Roman"/>
        </w:rPr>
        <w:t xml:space="preserve">.  </w:t>
      </w:r>
      <w:r w:rsidR="00334F95">
        <w:rPr>
          <w:rFonts w:ascii="Times New Roman" w:hAnsi="Times New Roman" w:cs="Times New Roman"/>
        </w:rPr>
        <w:t xml:space="preserve">Finally, I will </w:t>
      </w:r>
      <w:r w:rsidR="00F10C1F">
        <w:rPr>
          <w:rFonts w:ascii="Times New Roman" w:hAnsi="Times New Roman" w:cs="Times New Roman"/>
        </w:rPr>
        <w:t xml:space="preserve">provide an overview of the items required of the Company in Order No. </w:t>
      </w:r>
      <w:r w:rsidR="00BE67DE">
        <w:rPr>
          <w:rFonts w:ascii="Times New Roman" w:hAnsi="Times New Roman" w:cs="Times New Roman"/>
        </w:rPr>
        <w:t>0</w:t>
      </w:r>
      <w:r w:rsidR="0082229C">
        <w:rPr>
          <w:rFonts w:ascii="Times New Roman" w:hAnsi="Times New Roman" w:cs="Times New Roman"/>
        </w:rPr>
        <w:t>9</w:t>
      </w:r>
      <w:r w:rsidR="00F10C1F">
        <w:rPr>
          <w:rFonts w:ascii="Times New Roman" w:hAnsi="Times New Roman" w:cs="Times New Roman"/>
        </w:rPr>
        <w:t xml:space="preserve">, </w:t>
      </w:r>
      <w:r w:rsidR="00E54BA8">
        <w:rPr>
          <w:rFonts w:ascii="Times New Roman" w:hAnsi="Times New Roman" w:cs="Times New Roman"/>
        </w:rPr>
        <w:t xml:space="preserve">and </w:t>
      </w:r>
      <w:r w:rsidR="00F10C1F">
        <w:rPr>
          <w:rFonts w:ascii="Times New Roman" w:hAnsi="Times New Roman" w:cs="Times New Roman"/>
        </w:rPr>
        <w:t>the</w:t>
      </w:r>
      <w:r w:rsidR="00E54BA8">
        <w:rPr>
          <w:rFonts w:ascii="Times New Roman" w:hAnsi="Times New Roman" w:cs="Times New Roman"/>
        </w:rPr>
        <w:t xml:space="preserve"> related</w:t>
      </w:r>
      <w:r w:rsidR="00F10C1F">
        <w:rPr>
          <w:rFonts w:ascii="Times New Roman" w:hAnsi="Times New Roman" w:cs="Times New Roman"/>
        </w:rPr>
        <w:t xml:space="preserve"> Settlement Stipulation, in Dockets UE-</w:t>
      </w:r>
      <w:r w:rsidR="0082229C">
        <w:rPr>
          <w:rFonts w:ascii="Times New Roman" w:hAnsi="Times New Roman" w:cs="Times New Roman"/>
        </w:rPr>
        <w:t xml:space="preserve">120436 </w:t>
      </w:r>
      <w:proofErr w:type="gramStart"/>
      <w:r w:rsidR="0082229C">
        <w:rPr>
          <w:rFonts w:ascii="Times New Roman" w:hAnsi="Times New Roman" w:cs="Times New Roman"/>
        </w:rPr>
        <w:t>et</w:t>
      </w:r>
      <w:proofErr w:type="gramEnd"/>
      <w:r w:rsidR="0082229C">
        <w:rPr>
          <w:rFonts w:ascii="Times New Roman" w:hAnsi="Times New Roman" w:cs="Times New Roman"/>
        </w:rPr>
        <w:t xml:space="preserve">. </w:t>
      </w:r>
      <w:proofErr w:type="gramStart"/>
      <w:r w:rsidR="0082229C">
        <w:rPr>
          <w:rFonts w:ascii="Times New Roman" w:hAnsi="Times New Roman" w:cs="Times New Roman"/>
        </w:rPr>
        <w:t>al</w:t>
      </w:r>
      <w:proofErr w:type="gramEnd"/>
      <w:r w:rsidR="0082229C">
        <w:rPr>
          <w:rFonts w:ascii="Times New Roman" w:hAnsi="Times New Roman" w:cs="Times New Roman"/>
        </w:rPr>
        <w:t>.</w:t>
      </w:r>
      <w:r w:rsidR="000B6A29">
        <w:rPr>
          <w:rFonts w:ascii="Times New Roman" w:hAnsi="Times New Roman" w:cs="Times New Roman"/>
        </w:rPr>
        <w:t xml:space="preserve">  </w:t>
      </w:r>
    </w:p>
    <w:p w:rsidR="005540EB" w:rsidRPr="005540EB" w:rsidRDefault="005540EB" w:rsidP="000B6A29">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Are you sponsoring any Exhibits that accompany your testimony?</w:t>
      </w:r>
    </w:p>
    <w:p w:rsidR="00015AD9" w:rsidRDefault="005540EB" w:rsidP="00936BE1">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I am sponsoring Exhibit Nos._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-2),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-3), and _</w:t>
      </w:r>
      <w:r w:rsidR="0043473F">
        <w:rPr>
          <w:rFonts w:ascii="Times New Roman" w:hAnsi="Times New Roman" w:cs="Times New Roman"/>
        </w:rPr>
        <w:t>__</w:t>
      </w:r>
      <w:r w:rsidRPr="005540EB">
        <w:rPr>
          <w:rFonts w:ascii="Times New Roman" w:hAnsi="Times New Roman" w:cs="Times New Roman"/>
          <w:iCs/>
        </w:rPr>
        <w:t>(</w:t>
      </w:r>
      <w:r w:rsidR="00F85036">
        <w:rPr>
          <w:rFonts w:ascii="Times New Roman" w:hAnsi="Times New Roman" w:cs="Times New Roman"/>
          <w:iCs/>
        </w:rPr>
        <w:t>PDE</w:t>
      </w:r>
      <w:r w:rsidRPr="005540EB">
        <w:rPr>
          <w:rFonts w:ascii="Times New Roman" w:hAnsi="Times New Roman" w:cs="Times New Roman"/>
          <w:iCs/>
        </w:rPr>
        <w:t>-4) related to the proposed electric increase, and Exhibit Nos.</w:t>
      </w:r>
      <w:r w:rsidRPr="005540EB">
        <w:rPr>
          <w:rFonts w:ascii="Times New Roman" w:hAnsi="Times New Roman" w:cs="Times New Roman"/>
        </w:rPr>
        <w:t>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-5),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-6), and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 xml:space="preserve">-7) related to the proposed natural gas increase.  </w:t>
      </w:r>
      <w:r w:rsidR="001E65B2">
        <w:rPr>
          <w:rFonts w:ascii="Times New Roman" w:hAnsi="Times New Roman" w:cs="Times New Roman"/>
        </w:rPr>
        <w:t>I am also sponsoring Exhibit No. __</w:t>
      </w:r>
      <w:proofErr w:type="gramStart"/>
      <w:r w:rsidR="004C2025">
        <w:rPr>
          <w:rFonts w:ascii="Times New Roman" w:hAnsi="Times New Roman" w:cs="Times New Roman"/>
        </w:rPr>
        <w:t>_(</w:t>
      </w:r>
      <w:proofErr w:type="gramEnd"/>
      <w:r w:rsidR="001E65B2">
        <w:rPr>
          <w:rFonts w:ascii="Times New Roman" w:hAnsi="Times New Roman" w:cs="Times New Roman"/>
        </w:rPr>
        <w:t xml:space="preserve">PDE-8) relating to the </w:t>
      </w:r>
      <w:r w:rsidR="008354EE" w:rsidRPr="00C92A6D">
        <w:rPr>
          <w:rFonts w:ascii="Times New Roman" w:hAnsi="Times New Roman" w:cs="Times New Roman"/>
        </w:rPr>
        <w:t xml:space="preserve">DSM </w:t>
      </w:r>
      <w:r w:rsidR="00C92A6D">
        <w:rPr>
          <w:rFonts w:ascii="Times New Roman" w:hAnsi="Times New Roman" w:cs="Times New Roman"/>
        </w:rPr>
        <w:t xml:space="preserve">Component of the </w:t>
      </w:r>
      <w:r w:rsidR="008354EE" w:rsidRPr="00C92A6D">
        <w:rPr>
          <w:rFonts w:ascii="Times New Roman" w:hAnsi="Times New Roman" w:cs="Times New Roman"/>
        </w:rPr>
        <w:t>Attrition Adjustment</w:t>
      </w:r>
      <w:r w:rsidR="001E65B2" w:rsidRPr="00C92A6D">
        <w:rPr>
          <w:rFonts w:ascii="Times New Roman" w:hAnsi="Times New Roman" w:cs="Times New Roman"/>
        </w:rPr>
        <w:t xml:space="preserve">. </w:t>
      </w:r>
      <w:r w:rsidR="0021578E">
        <w:rPr>
          <w:rFonts w:ascii="Times New Roman" w:hAnsi="Times New Roman" w:cs="Times New Roman"/>
        </w:rPr>
        <w:t xml:space="preserve"> </w:t>
      </w:r>
      <w:r w:rsidR="000A6860">
        <w:rPr>
          <w:rFonts w:ascii="Times New Roman" w:hAnsi="Times New Roman" w:cs="Times New Roman"/>
        </w:rPr>
        <w:t>Exhibit Nos._</w:t>
      </w:r>
      <w:proofErr w:type="gramStart"/>
      <w:r w:rsidR="000A6860">
        <w:rPr>
          <w:rFonts w:ascii="Times New Roman" w:hAnsi="Times New Roman" w:cs="Times New Roman"/>
        </w:rPr>
        <w:t>_(</w:t>
      </w:r>
      <w:proofErr w:type="gramEnd"/>
      <w:r w:rsidR="000A6860">
        <w:rPr>
          <w:rFonts w:ascii="Times New Roman" w:hAnsi="Times New Roman" w:cs="Times New Roman"/>
        </w:rPr>
        <w:t xml:space="preserve">PDE-9) and ___(PDE-10) </w:t>
      </w:r>
      <w:r w:rsidR="008C2923">
        <w:rPr>
          <w:rFonts w:ascii="Times New Roman" w:hAnsi="Times New Roman" w:cs="Times New Roman"/>
        </w:rPr>
        <w:t xml:space="preserve">are </w:t>
      </w:r>
      <w:r w:rsidR="000A6860">
        <w:rPr>
          <w:rFonts w:ascii="Times New Roman" w:hAnsi="Times New Roman" w:cs="Times New Roman"/>
        </w:rPr>
        <w:t xml:space="preserve">related to the Company’s proposed Electric and Natural Gas Decoupling Mechanisms. </w:t>
      </w:r>
      <w:r w:rsidR="00916D0F" w:rsidRPr="00C92A6D">
        <w:rPr>
          <w:rFonts w:ascii="Times New Roman" w:hAnsi="Times New Roman" w:cs="Times New Roman"/>
        </w:rPr>
        <w:t>These</w:t>
      </w:r>
      <w:r w:rsidR="00916D0F">
        <w:rPr>
          <w:rFonts w:ascii="Times New Roman" w:hAnsi="Times New Roman" w:cs="Times New Roman"/>
        </w:rPr>
        <w:t xml:space="preserve"> </w:t>
      </w:r>
      <w:r w:rsidR="005B0B41">
        <w:rPr>
          <w:rFonts w:ascii="Times New Roman" w:hAnsi="Times New Roman" w:cs="Times New Roman"/>
        </w:rPr>
        <w:t xml:space="preserve">exhibits </w:t>
      </w:r>
      <w:r w:rsidR="00916D0F">
        <w:rPr>
          <w:rFonts w:ascii="Times New Roman" w:hAnsi="Times New Roman" w:cs="Times New Roman"/>
        </w:rPr>
        <w:t>were prepared by me or under my supervision.</w:t>
      </w:r>
      <w:r w:rsidR="00015AD9">
        <w:rPr>
          <w:rFonts w:ascii="Times New Roman" w:hAnsi="Times New Roman" w:cs="Times New Roman"/>
        </w:rPr>
        <w:t xml:space="preserve"> </w:t>
      </w:r>
      <w:r w:rsidR="0061606F">
        <w:rPr>
          <w:rFonts w:ascii="Times New Roman" w:hAnsi="Times New Roman" w:cs="Times New Roman"/>
        </w:rPr>
        <w:t xml:space="preserve"> </w:t>
      </w:r>
      <w:r w:rsidR="004C3DE4">
        <w:rPr>
          <w:rFonts w:ascii="Times New Roman" w:hAnsi="Times New Roman" w:cs="Times New Roman"/>
        </w:rPr>
        <w:t>A table of contents for my testimony is as follows:</w:t>
      </w:r>
    </w:p>
    <w:p w:rsidR="004C3DE4" w:rsidRDefault="004C3DE4" w:rsidP="00936BE1">
      <w:pPr>
        <w:pStyle w:val="P31"/>
        <w:jc w:val="both"/>
        <w:rPr>
          <w:rFonts w:ascii="Times New Roman" w:hAnsi="Times New Roman" w:cs="Times New Roman"/>
        </w:rPr>
      </w:pPr>
    </w:p>
    <w:p w:rsidR="005540EB" w:rsidRPr="007B58C5" w:rsidRDefault="0061606F" w:rsidP="005A10A8">
      <w:pPr>
        <w:pStyle w:val="Heading1"/>
        <w:tabs>
          <w:tab w:val="left" w:pos="810"/>
          <w:tab w:val="left" w:pos="1440"/>
        </w:tabs>
        <w:ind w:right="-720" w:firstLine="720"/>
        <w:rPr>
          <w:b w:val="0"/>
          <w:u w:val="single"/>
        </w:rPr>
      </w:pPr>
      <w:r>
        <w:rPr>
          <w:b w:val="0"/>
          <w:u w:val="single"/>
        </w:rPr>
        <w:t>Description</w:t>
      </w:r>
      <w:r w:rsidR="00AA41A9">
        <w:rPr>
          <w:b w:val="0"/>
          <w:u w:val="single"/>
        </w:rPr>
        <w:tab/>
      </w:r>
      <w:r w:rsidR="00AA41A9">
        <w:rPr>
          <w:b w:val="0"/>
          <w:u w:val="single"/>
        </w:rPr>
        <w:tab/>
      </w:r>
      <w:r w:rsidR="00AA41A9">
        <w:rPr>
          <w:b w:val="0"/>
          <w:u w:val="single"/>
        </w:rPr>
        <w:tab/>
        <w:t>Page</w:t>
      </w:r>
      <w:r w:rsidR="00AA41A9">
        <w:rPr>
          <w:b w:val="0"/>
          <w:u w:val="single"/>
        </w:rPr>
        <w:tab/>
      </w:r>
    </w:p>
    <w:p w:rsidR="00BF6CAC" w:rsidRPr="00593603" w:rsidRDefault="00BF6CAC" w:rsidP="00C37C56">
      <w:pPr>
        <w:numPr>
          <w:ilvl w:val="0"/>
          <w:numId w:val="33"/>
        </w:numPr>
        <w:tabs>
          <w:tab w:val="left" w:pos="810"/>
          <w:tab w:val="left" w:pos="1440"/>
          <w:tab w:val="left" w:pos="6120"/>
          <w:tab w:val="left" w:pos="7920"/>
        </w:tabs>
        <w:spacing w:line="360" w:lineRule="auto"/>
        <w:ind w:right="-720"/>
        <w:rPr>
          <w:bCs/>
          <w:szCs w:val="22"/>
        </w:rPr>
      </w:pPr>
      <w:r w:rsidRPr="00916D0F">
        <w:rPr>
          <w:bCs/>
          <w:szCs w:val="22"/>
        </w:rPr>
        <w:t>Introduction</w:t>
      </w:r>
      <w:r w:rsidRPr="00916D0F">
        <w:rPr>
          <w:bCs/>
          <w:szCs w:val="22"/>
        </w:rPr>
        <w:tab/>
      </w:r>
      <w:r w:rsidRPr="00916D0F">
        <w:rPr>
          <w:bCs/>
          <w:szCs w:val="22"/>
        </w:rPr>
        <w:tab/>
      </w:r>
      <w:r w:rsidR="0080740D" w:rsidRPr="0061606F">
        <w:rPr>
          <w:bCs/>
          <w:szCs w:val="22"/>
        </w:rPr>
        <w:t xml:space="preserve">  </w:t>
      </w:r>
      <w:r w:rsidRPr="0061606F">
        <w:rPr>
          <w:bCs/>
          <w:szCs w:val="22"/>
        </w:rPr>
        <w:t>1</w:t>
      </w:r>
    </w:p>
    <w:p w:rsidR="005540EB" w:rsidRPr="003E2C1F" w:rsidRDefault="004E4650" w:rsidP="00C37C56">
      <w:pPr>
        <w:numPr>
          <w:ilvl w:val="0"/>
          <w:numId w:val="33"/>
        </w:numPr>
        <w:tabs>
          <w:tab w:val="right" w:pos="810"/>
          <w:tab w:val="left" w:pos="1440"/>
          <w:tab w:val="left" w:pos="6120"/>
          <w:tab w:val="left" w:pos="7920"/>
          <w:tab w:val="left" w:pos="8100"/>
        </w:tabs>
        <w:spacing w:line="360" w:lineRule="auto"/>
        <w:ind w:right="-720"/>
        <w:rPr>
          <w:bCs/>
          <w:szCs w:val="22"/>
        </w:rPr>
      </w:pPr>
      <w:r w:rsidRPr="003E2C1F">
        <w:rPr>
          <w:bCs/>
          <w:szCs w:val="22"/>
        </w:rPr>
        <w:t xml:space="preserve">Rate Spread/Rate Design </w:t>
      </w:r>
      <w:r w:rsidR="005540EB" w:rsidRPr="003E2C1F">
        <w:rPr>
          <w:bCs/>
          <w:szCs w:val="22"/>
        </w:rPr>
        <w:t>Executive Summary</w:t>
      </w:r>
      <w:r w:rsidR="005540EB" w:rsidRPr="003E2C1F">
        <w:rPr>
          <w:bCs/>
          <w:szCs w:val="22"/>
        </w:rPr>
        <w:tab/>
        <w:t xml:space="preserve"> </w:t>
      </w:r>
      <w:r w:rsidR="005540EB" w:rsidRPr="003E2C1F">
        <w:rPr>
          <w:bCs/>
          <w:szCs w:val="22"/>
        </w:rPr>
        <w:tab/>
      </w:r>
      <w:r w:rsidR="0080740D">
        <w:rPr>
          <w:bCs/>
          <w:szCs w:val="22"/>
        </w:rPr>
        <w:t xml:space="preserve">  </w:t>
      </w:r>
      <w:r w:rsidR="00DF5CDD">
        <w:rPr>
          <w:bCs/>
          <w:szCs w:val="22"/>
        </w:rPr>
        <w:t>5</w:t>
      </w:r>
    </w:p>
    <w:p w:rsidR="005540EB" w:rsidRPr="003E2C1F" w:rsidRDefault="005540EB" w:rsidP="008E580F">
      <w:pPr>
        <w:numPr>
          <w:ilvl w:val="0"/>
          <w:numId w:val="33"/>
        </w:numPr>
        <w:tabs>
          <w:tab w:val="left" w:pos="810"/>
          <w:tab w:val="left" w:pos="1440"/>
        </w:tabs>
        <w:ind w:right="-720"/>
        <w:rPr>
          <w:bCs/>
          <w:szCs w:val="22"/>
        </w:rPr>
      </w:pPr>
      <w:r w:rsidRPr="003E2C1F">
        <w:rPr>
          <w:bCs/>
          <w:szCs w:val="22"/>
        </w:rPr>
        <w:t>Proposed Electric Revenue Increase</w:t>
      </w:r>
    </w:p>
    <w:p w:rsidR="005540EB" w:rsidRPr="003E2C1F" w:rsidRDefault="005540EB" w:rsidP="005A10A8">
      <w:pPr>
        <w:tabs>
          <w:tab w:val="left" w:pos="810"/>
          <w:tab w:val="left" w:pos="1080"/>
          <w:tab w:val="left" w:pos="1440"/>
        </w:tabs>
        <w:ind w:right="-720" w:firstLine="1440"/>
        <w:rPr>
          <w:bCs/>
          <w:szCs w:val="22"/>
        </w:rPr>
      </w:pPr>
      <w:r w:rsidRPr="003E2C1F">
        <w:rPr>
          <w:bCs/>
          <w:szCs w:val="22"/>
        </w:rPr>
        <w:t>Summary of Rate Schedules and Tariffs</w:t>
      </w:r>
      <w:r w:rsidRPr="003E2C1F">
        <w:rPr>
          <w:bCs/>
          <w:szCs w:val="22"/>
        </w:rPr>
        <w:tab/>
      </w:r>
      <w:r w:rsidRPr="003E2C1F">
        <w:rPr>
          <w:bCs/>
          <w:szCs w:val="22"/>
        </w:rPr>
        <w:tab/>
        <w:t xml:space="preserve">  </w:t>
      </w:r>
      <w:r w:rsidRPr="003E2C1F">
        <w:rPr>
          <w:bCs/>
          <w:szCs w:val="22"/>
        </w:rPr>
        <w:tab/>
      </w:r>
      <w:r w:rsidR="00BF6CAC" w:rsidRPr="003E2C1F">
        <w:rPr>
          <w:bCs/>
          <w:szCs w:val="22"/>
        </w:rPr>
        <w:tab/>
      </w:r>
      <w:r w:rsidR="0080740D">
        <w:rPr>
          <w:bCs/>
          <w:szCs w:val="22"/>
        </w:rPr>
        <w:t xml:space="preserve">  </w:t>
      </w:r>
      <w:r w:rsidR="00EF3C1A">
        <w:rPr>
          <w:bCs/>
          <w:szCs w:val="22"/>
        </w:rPr>
        <w:t>8</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Spre</w:t>
      </w:r>
      <w:r w:rsidR="00476E35" w:rsidRPr="003E2C1F">
        <w:rPr>
          <w:bCs/>
          <w:szCs w:val="22"/>
        </w:rPr>
        <w:t xml:space="preserve">ad (Increase by Schedule)  </w:t>
      </w:r>
      <w:r w:rsidR="00476E35" w:rsidRPr="003E2C1F">
        <w:rPr>
          <w:bCs/>
          <w:szCs w:val="22"/>
        </w:rPr>
        <w:tab/>
      </w:r>
      <w:r w:rsidR="00476E35" w:rsidRPr="003E2C1F">
        <w:rPr>
          <w:bCs/>
          <w:szCs w:val="22"/>
        </w:rPr>
        <w:tab/>
      </w:r>
      <w:r w:rsidR="00476E35" w:rsidRPr="003E2C1F">
        <w:rPr>
          <w:bCs/>
          <w:szCs w:val="22"/>
        </w:rPr>
        <w:tab/>
      </w:r>
      <w:r w:rsidR="0080740D">
        <w:rPr>
          <w:bCs/>
          <w:szCs w:val="22"/>
        </w:rPr>
        <w:t xml:space="preserve">  9</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Desig</w:t>
      </w:r>
      <w:r w:rsidR="009605C7" w:rsidRPr="003E2C1F">
        <w:rPr>
          <w:bCs/>
          <w:szCs w:val="22"/>
        </w:rPr>
        <w:t>n (Rates within Schedules)</w:t>
      </w:r>
      <w:r w:rsidR="009605C7" w:rsidRPr="003E2C1F">
        <w:rPr>
          <w:bCs/>
          <w:szCs w:val="22"/>
        </w:rPr>
        <w:tab/>
      </w:r>
      <w:r w:rsidR="009605C7" w:rsidRPr="003E2C1F">
        <w:rPr>
          <w:bCs/>
          <w:szCs w:val="22"/>
        </w:rPr>
        <w:tab/>
        <w:t xml:space="preserve">          </w:t>
      </w:r>
      <w:r w:rsidR="00BF6CAC" w:rsidRPr="003E2C1F">
        <w:rPr>
          <w:bCs/>
          <w:szCs w:val="22"/>
        </w:rPr>
        <w:t xml:space="preserve"> </w:t>
      </w:r>
      <w:r w:rsidR="00D64945" w:rsidRPr="003E2C1F">
        <w:rPr>
          <w:bCs/>
          <w:szCs w:val="22"/>
        </w:rPr>
        <w:tab/>
      </w:r>
      <w:r w:rsidR="008C2923">
        <w:rPr>
          <w:bCs/>
          <w:szCs w:val="22"/>
        </w:rPr>
        <w:t>1</w:t>
      </w:r>
      <w:r w:rsidR="00EF3C1A">
        <w:rPr>
          <w:bCs/>
          <w:szCs w:val="22"/>
        </w:rPr>
        <w:t>1</w:t>
      </w:r>
    </w:p>
    <w:p w:rsidR="007645E8" w:rsidRPr="003E2C1F" w:rsidRDefault="007645E8" w:rsidP="005A10A8">
      <w:pPr>
        <w:tabs>
          <w:tab w:val="left" w:pos="810"/>
          <w:tab w:val="left" w:pos="1440"/>
        </w:tabs>
        <w:ind w:left="720" w:right="-720"/>
        <w:rPr>
          <w:bCs/>
          <w:szCs w:val="22"/>
        </w:rPr>
      </w:pPr>
    </w:p>
    <w:p w:rsidR="00BF6CAC" w:rsidRPr="003E2C1F" w:rsidRDefault="00BF6CAC" w:rsidP="008E580F">
      <w:pPr>
        <w:numPr>
          <w:ilvl w:val="0"/>
          <w:numId w:val="33"/>
        </w:numPr>
        <w:tabs>
          <w:tab w:val="left" w:pos="810"/>
          <w:tab w:val="left" w:pos="1440"/>
        </w:tabs>
        <w:ind w:right="-720"/>
        <w:rPr>
          <w:bCs/>
          <w:szCs w:val="22"/>
        </w:rPr>
      </w:pPr>
      <w:r w:rsidRPr="003E2C1F">
        <w:rPr>
          <w:bCs/>
          <w:szCs w:val="22"/>
        </w:rPr>
        <w:t>Proposed Natural Gas Revenue Increase</w:t>
      </w:r>
    </w:p>
    <w:p w:rsidR="00BF6CAC" w:rsidRPr="003E2C1F" w:rsidRDefault="00BF6CAC" w:rsidP="00936BE1">
      <w:pPr>
        <w:tabs>
          <w:tab w:val="right" w:pos="810"/>
          <w:tab w:val="left" w:pos="1080"/>
          <w:tab w:val="left" w:pos="1440"/>
          <w:tab w:val="left" w:pos="7830"/>
          <w:tab w:val="left" w:pos="7920"/>
          <w:tab w:val="left" w:pos="8100"/>
        </w:tabs>
        <w:ind w:right="-720" w:firstLine="1440"/>
        <w:rPr>
          <w:bCs/>
          <w:szCs w:val="22"/>
        </w:rPr>
      </w:pPr>
      <w:r w:rsidRPr="003E2C1F">
        <w:rPr>
          <w:bCs/>
          <w:szCs w:val="22"/>
        </w:rPr>
        <w:t>Summary of Rate Schedules and Tariffs</w:t>
      </w:r>
      <w:r w:rsidRPr="003E2C1F">
        <w:rPr>
          <w:bCs/>
          <w:szCs w:val="22"/>
        </w:rPr>
        <w:tab/>
      </w:r>
      <w:r w:rsidR="00D64945" w:rsidRPr="003E2C1F">
        <w:rPr>
          <w:bCs/>
          <w:szCs w:val="22"/>
        </w:rPr>
        <w:tab/>
      </w:r>
      <w:r w:rsidR="00AC1DAD">
        <w:rPr>
          <w:bCs/>
          <w:szCs w:val="22"/>
        </w:rPr>
        <w:t>1</w:t>
      </w:r>
      <w:r w:rsidR="00EF3C1A">
        <w:rPr>
          <w:bCs/>
          <w:szCs w:val="22"/>
        </w:rPr>
        <w:t>9</w:t>
      </w:r>
    </w:p>
    <w:p w:rsidR="00BF6CAC" w:rsidRPr="003E2C1F" w:rsidRDefault="00BF6CAC" w:rsidP="005A10A8">
      <w:pPr>
        <w:tabs>
          <w:tab w:val="left" w:pos="810"/>
          <w:tab w:val="left" w:pos="1080"/>
          <w:tab w:val="left" w:pos="1440"/>
        </w:tabs>
        <w:ind w:right="-720" w:firstLine="1440"/>
        <w:rPr>
          <w:bCs/>
          <w:szCs w:val="22"/>
        </w:rPr>
      </w:pPr>
      <w:r w:rsidRPr="003E2C1F">
        <w:rPr>
          <w:bCs/>
          <w:szCs w:val="22"/>
        </w:rPr>
        <w:lastRenderedPageBreak/>
        <w:t>Proposed Rate Spre</w:t>
      </w:r>
      <w:r w:rsidR="007645E8" w:rsidRPr="003E2C1F">
        <w:rPr>
          <w:bCs/>
          <w:szCs w:val="22"/>
        </w:rPr>
        <w:t xml:space="preserve">ad (Increase by Schedule)  </w:t>
      </w:r>
      <w:r w:rsidR="007645E8" w:rsidRPr="003E2C1F">
        <w:rPr>
          <w:bCs/>
          <w:szCs w:val="22"/>
        </w:rPr>
        <w:tab/>
      </w:r>
      <w:r w:rsidR="007645E8" w:rsidRPr="003E2C1F">
        <w:rPr>
          <w:bCs/>
          <w:szCs w:val="22"/>
        </w:rPr>
        <w:tab/>
        <w:t xml:space="preserve">          </w:t>
      </w:r>
      <w:r w:rsidR="00D64945" w:rsidRPr="003E2C1F">
        <w:rPr>
          <w:bCs/>
          <w:szCs w:val="22"/>
        </w:rPr>
        <w:tab/>
      </w:r>
      <w:r w:rsidR="00D34F06">
        <w:rPr>
          <w:bCs/>
          <w:szCs w:val="22"/>
        </w:rPr>
        <w:t>22</w:t>
      </w:r>
    </w:p>
    <w:p w:rsidR="007645E8" w:rsidRPr="003E2C1F" w:rsidRDefault="00BF6CAC" w:rsidP="005A10A8">
      <w:pPr>
        <w:tabs>
          <w:tab w:val="left" w:pos="810"/>
          <w:tab w:val="left" w:pos="1080"/>
          <w:tab w:val="left" w:pos="1440"/>
        </w:tabs>
        <w:ind w:right="-720" w:firstLine="1440"/>
        <w:rPr>
          <w:bCs/>
          <w:szCs w:val="22"/>
        </w:rPr>
      </w:pPr>
      <w:r w:rsidRPr="003E2C1F">
        <w:rPr>
          <w:bCs/>
          <w:szCs w:val="22"/>
        </w:rPr>
        <w:t>Proposed Rate Design (Rates within Schedules)</w:t>
      </w:r>
      <w:r w:rsidRPr="003E2C1F">
        <w:rPr>
          <w:bCs/>
          <w:szCs w:val="22"/>
        </w:rPr>
        <w:tab/>
      </w:r>
      <w:r w:rsidRPr="003E2C1F">
        <w:rPr>
          <w:bCs/>
          <w:szCs w:val="22"/>
        </w:rPr>
        <w:tab/>
      </w:r>
      <w:r w:rsidRPr="003E2C1F">
        <w:rPr>
          <w:bCs/>
          <w:szCs w:val="22"/>
        </w:rPr>
        <w:tab/>
      </w:r>
      <w:r w:rsidR="00AC1DAD">
        <w:rPr>
          <w:bCs/>
          <w:szCs w:val="22"/>
        </w:rPr>
        <w:t>2</w:t>
      </w:r>
      <w:r w:rsidR="00D34F06">
        <w:rPr>
          <w:bCs/>
          <w:szCs w:val="22"/>
        </w:rPr>
        <w:t>3</w:t>
      </w:r>
    </w:p>
    <w:p w:rsidR="00C01292" w:rsidRPr="003E2C1F" w:rsidRDefault="00C01292" w:rsidP="005A10A8">
      <w:pPr>
        <w:tabs>
          <w:tab w:val="left" w:pos="810"/>
          <w:tab w:val="left" w:pos="1080"/>
          <w:tab w:val="left" w:pos="1440"/>
        </w:tabs>
        <w:ind w:right="-720" w:firstLine="1440"/>
        <w:rPr>
          <w:bCs/>
          <w:szCs w:val="22"/>
        </w:rPr>
      </w:pPr>
    </w:p>
    <w:p w:rsidR="00F10C1F" w:rsidRPr="003E2C1F" w:rsidRDefault="00F10C1F" w:rsidP="00C37C56">
      <w:pPr>
        <w:numPr>
          <w:ilvl w:val="0"/>
          <w:numId w:val="33"/>
        </w:numPr>
        <w:tabs>
          <w:tab w:val="left" w:pos="1440"/>
        </w:tabs>
        <w:spacing w:line="360" w:lineRule="auto"/>
        <w:ind w:right="-720"/>
        <w:rPr>
          <w:bCs/>
          <w:szCs w:val="22"/>
        </w:rPr>
      </w:pPr>
      <w:r w:rsidRPr="003E2C1F">
        <w:rPr>
          <w:bCs/>
          <w:szCs w:val="22"/>
        </w:rPr>
        <w:t>Basic Charge</w:t>
      </w:r>
      <w:r w:rsidR="00AA7417">
        <w:rPr>
          <w:bCs/>
          <w:szCs w:val="22"/>
        </w:rPr>
        <w:t xml:space="preserve"> for Schedules 1 &amp; 101 </w:t>
      </w:r>
      <w:r w:rsidRPr="003E2C1F">
        <w:rPr>
          <w:bCs/>
          <w:szCs w:val="22"/>
        </w:rPr>
        <w:tab/>
      </w:r>
      <w:r w:rsidR="00AA7417">
        <w:rPr>
          <w:bCs/>
          <w:szCs w:val="22"/>
        </w:rPr>
        <w:tab/>
      </w:r>
      <w:r w:rsidRPr="003E2C1F">
        <w:rPr>
          <w:bCs/>
          <w:szCs w:val="22"/>
        </w:rPr>
        <w:tab/>
      </w:r>
      <w:r w:rsidRPr="003E2C1F">
        <w:rPr>
          <w:bCs/>
          <w:szCs w:val="22"/>
        </w:rPr>
        <w:tab/>
      </w:r>
      <w:r w:rsidRPr="003E2C1F">
        <w:rPr>
          <w:bCs/>
          <w:szCs w:val="22"/>
        </w:rPr>
        <w:tab/>
      </w:r>
      <w:r w:rsidR="00EF3C1A">
        <w:rPr>
          <w:bCs/>
          <w:szCs w:val="22"/>
        </w:rPr>
        <w:t>27</w:t>
      </w:r>
    </w:p>
    <w:p w:rsidR="00D64945" w:rsidRDefault="004E793A" w:rsidP="00C37C56">
      <w:pPr>
        <w:numPr>
          <w:ilvl w:val="0"/>
          <w:numId w:val="33"/>
        </w:numPr>
        <w:tabs>
          <w:tab w:val="left" w:pos="1440"/>
        </w:tabs>
        <w:spacing w:line="360" w:lineRule="auto"/>
        <w:ind w:right="-720"/>
        <w:rPr>
          <w:bCs/>
          <w:szCs w:val="22"/>
        </w:rPr>
      </w:pPr>
      <w:r w:rsidRPr="000926C0">
        <w:rPr>
          <w:bCs/>
          <w:szCs w:val="22"/>
        </w:rPr>
        <w:t>DSM</w:t>
      </w:r>
      <w:r w:rsidR="00BE67DE" w:rsidRPr="000926C0">
        <w:rPr>
          <w:bCs/>
          <w:szCs w:val="22"/>
        </w:rPr>
        <w:t xml:space="preserve"> </w:t>
      </w:r>
      <w:r w:rsidR="00185D46" w:rsidRPr="000926C0">
        <w:rPr>
          <w:bCs/>
          <w:szCs w:val="22"/>
        </w:rPr>
        <w:t xml:space="preserve">Component of the </w:t>
      </w:r>
      <w:r w:rsidR="00F50CC2">
        <w:rPr>
          <w:bCs/>
          <w:szCs w:val="22"/>
        </w:rPr>
        <w:t>Pro Forma Cross Check Study</w:t>
      </w:r>
      <w:r w:rsidR="00C01292" w:rsidRPr="000926C0">
        <w:rPr>
          <w:bCs/>
          <w:szCs w:val="22"/>
        </w:rPr>
        <w:tab/>
        <w:t xml:space="preserve">           </w:t>
      </w:r>
      <w:r w:rsidR="00C37C56">
        <w:rPr>
          <w:bCs/>
          <w:szCs w:val="22"/>
        </w:rPr>
        <w:t xml:space="preserve"> </w:t>
      </w:r>
      <w:r w:rsidR="00EF3C1A">
        <w:rPr>
          <w:bCs/>
          <w:szCs w:val="22"/>
        </w:rPr>
        <w:t>38</w:t>
      </w:r>
    </w:p>
    <w:p w:rsidR="00D64945" w:rsidRDefault="00E87A5E" w:rsidP="00C37C56">
      <w:pPr>
        <w:numPr>
          <w:ilvl w:val="0"/>
          <w:numId w:val="33"/>
        </w:numPr>
        <w:tabs>
          <w:tab w:val="left" w:pos="1440"/>
        </w:tabs>
        <w:spacing w:line="360" w:lineRule="auto"/>
        <w:ind w:right="-720"/>
        <w:rPr>
          <w:bCs/>
          <w:szCs w:val="22"/>
        </w:rPr>
      </w:pPr>
      <w:r>
        <w:rPr>
          <w:bCs/>
          <w:szCs w:val="22"/>
        </w:rPr>
        <w:t>Electric and Natural Gas Decoupling</w:t>
      </w:r>
      <w:r w:rsidR="00D64945" w:rsidRPr="003E2C1F">
        <w:rPr>
          <w:bCs/>
          <w:szCs w:val="22"/>
        </w:rPr>
        <w:tab/>
      </w:r>
      <w:r w:rsidR="008354EE">
        <w:rPr>
          <w:bCs/>
          <w:szCs w:val="22"/>
        </w:rPr>
        <w:tab/>
      </w:r>
      <w:r w:rsidR="008354EE">
        <w:rPr>
          <w:bCs/>
          <w:szCs w:val="22"/>
        </w:rPr>
        <w:tab/>
      </w:r>
      <w:r w:rsidR="008354EE">
        <w:rPr>
          <w:bCs/>
          <w:szCs w:val="22"/>
        </w:rPr>
        <w:tab/>
      </w:r>
      <w:r w:rsidR="008354EE">
        <w:rPr>
          <w:bCs/>
          <w:szCs w:val="22"/>
        </w:rPr>
        <w:tab/>
      </w:r>
      <w:r w:rsidR="00D34F06">
        <w:rPr>
          <w:bCs/>
          <w:szCs w:val="22"/>
        </w:rPr>
        <w:t>49</w:t>
      </w:r>
    </w:p>
    <w:p w:rsidR="000E62F6" w:rsidRDefault="000E62F6" w:rsidP="00C37C56">
      <w:pPr>
        <w:numPr>
          <w:ilvl w:val="0"/>
          <w:numId w:val="33"/>
        </w:numPr>
        <w:tabs>
          <w:tab w:val="left" w:pos="1440"/>
        </w:tabs>
        <w:spacing w:line="360" w:lineRule="auto"/>
        <w:ind w:right="-720"/>
        <w:rPr>
          <w:bCs/>
          <w:szCs w:val="22"/>
        </w:rPr>
      </w:pPr>
      <w:r>
        <w:t>Renewable Energy Credit Revenue Mechanism</w:t>
      </w:r>
      <w:r>
        <w:rPr>
          <w:bCs/>
          <w:szCs w:val="22"/>
        </w:rPr>
        <w:tab/>
      </w:r>
      <w:r>
        <w:rPr>
          <w:bCs/>
          <w:szCs w:val="22"/>
        </w:rPr>
        <w:tab/>
      </w:r>
      <w:r>
        <w:rPr>
          <w:bCs/>
          <w:szCs w:val="22"/>
        </w:rPr>
        <w:tab/>
      </w:r>
      <w:r w:rsidR="00645E0A">
        <w:rPr>
          <w:bCs/>
          <w:szCs w:val="22"/>
        </w:rPr>
        <w:t>7</w:t>
      </w:r>
      <w:r w:rsidR="00DF5CDD">
        <w:rPr>
          <w:bCs/>
          <w:szCs w:val="22"/>
        </w:rPr>
        <w:t>8</w:t>
      </w:r>
    </w:p>
    <w:p w:rsidR="002F3BC3" w:rsidRPr="00916D0F" w:rsidRDefault="00AD03A5" w:rsidP="00C37C56">
      <w:pPr>
        <w:numPr>
          <w:ilvl w:val="0"/>
          <w:numId w:val="33"/>
        </w:numPr>
        <w:tabs>
          <w:tab w:val="left" w:pos="1440"/>
        </w:tabs>
        <w:spacing w:line="360" w:lineRule="auto"/>
        <w:ind w:right="-720"/>
        <w:rPr>
          <w:bCs/>
          <w:szCs w:val="22"/>
        </w:rPr>
      </w:pPr>
      <w:r w:rsidRPr="003E2C1F">
        <w:rPr>
          <w:bCs/>
          <w:szCs w:val="22"/>
        </w:rPr>
        <w:t>Summary of UE-</w:t>
      </w:r>
      <w:r w:rsidR="002A5583">
        <w:rPr>
          <w:bCs/>
          <w:szCs w:val="22"/>
        </w:rPr>
        <w:t>120476</w:t>
      </w:r>
      <w:r w:rsidRPr="003E2C1F">
        <w:rPr>
          <w:bCs/>
          <w:szCs w:val="22"/>
        </w:rPr>
        <w:t>/UG-</w:t>
      </w:r>
      <w:r w:rsidR="002A5583">
        <w:rPr>
          <w:bCs/>
          <w:szCs w:val="22"/>
        </w:rPr>
        <w:t>1204</w:t>
      </w:r>
      <w:r w:rsidR="00BE67DE">
        <w:rPr>
          <w:bCs/>
          <w:szCs w:val="22"/>
        </w:rPr>
        <w:t>77</w:t>
      </w:r>
      <w:r w:rsidRPr="003E2C1F">
        <w:rPr>
          <w:bCs/>
          <w:szCs w:val="22"/>
        </w:rPr>
        <w:t xml:space="preserve"> Order </w:t>
      </w:r>
      <w:r w:rsidR="000E2E27" w:rsidRPr="003E2C1F">
        <w:rPr>
          <w:bCs/>
          <w:szCs w:val="22"/>
        </w:rPr>
        <w:t>No.</w:t>
      </w:r>
      <w:r w:rsidR="00BE67DE">
        <w:rPr>
          <w:bCs/>
          <w:szCs w:val="22"/>
        </w:rPr>
        <w:t xml:space="preserve"> </w:t>
      </w:r>
      <w:r w:rsidR="002A5583">
        <w:rPr>
          <w:bCs/>
          <w:szCs w:val="22"/>
        </w:rPr>
        <w:t>9</w:t>
      </w:r>
      <w:r w:rsidRPr="003E2C1F">
        <w:rPr>
          <w:bCs/>
          <w:szCs w:val="22"/>
        </w:rPr>
        <w:t xml:space="preserve"> Requirements</w:t>
      </w:r>
      <w:r w:rsidR="004E4650" w:rsidRPr="003E2C1F">
        <w:rPr>
          <w:bCs/>
          <w:szCs w:val="22"/>
        </w:rPr>
        <w:tab/>
      </w:r>
      <w:r w:rsidR="00645E0A">
        <w:rPr>
          <w:bCs/>
          <w:szCs w:val="22"/>
        </w:rPr>
        <w:t>7</w:t>
      </w:r>
      <w:r w:rsidR="00DF5CDD">
        <w:rPr>
          <w:bCs/>
          <w:szCs w:val="22"/>
        </w:rPr>
        <w:t>9</w:t>
      </w:r>
      <w:r w:rsidR="004E4650">
        <w:rPr>
          <w:bCs/>
          <w:szCs w:val="22"/>
        </w:rPr>
        <w:tab/>
      </w:r>
    </w:p>
    <w:p w:rsidR="006753D1" w:rsidRDefault="006753D1">
      <w:pPr>
        <w:autoSpaceDE/>
        <w:autoSpaceDN/>
        <w:rPr>
          <w:b/>
          <w:szCs w:val="20"/>
          <w:u w:val="single"/>
        </w:rPr>
      </w:pPr>
    </w:p>
    <w:p w:rsidR="00E87A5E" w:rsidRDefault="00E87A5E">
      <w:pPr>
        <w:autoSpaceDE/>
        <w:autoSpaceDN/>
        <w:rPr>
          <w:b/>
          <w:szCs w:val="20"/>
          <w:u w:val="single"/>
        </w:rPr>
      </w:pPr>
    </w:p>
    <w:p w:rsidR="001D76D1" w:rsidRDefault="001D76D1" w:rsidP="005540EB">
      <w:pPr>
        <w:pStyle w:val="P267"/>
        <w:tabs>
          <w:tab w:val="clear" w:pos="360"/>
          <w:tab w:val="left" w:pos="0"/>
        </w:tabs>
        <w:ind w:left="0"/>
        <w:jc w:val="center"/>
        <w:rPr>
          <w:rFonts w:ascii="Times New Roman" w:hAnsi="Times New Roman" w:cs="Times New Roman"/>
          <w:u w:val="none"/>
        </w:rPr>
      </w:pPr>
    </w:p>
    <w:p w:rsidR="005540EB" w:rsidRPr="001D76D1" w:rsidRDefault="005540EB" w:rsidP="005540EB">
      <w:pPr>
        <w:pStyle w:val="P267"/>
        <w:tabs>
          <w:tab w:val="clear" w:pos="360"/>
          <w:tab w:val="left" w:pos="0"/>
        </w:tabs>
        <w:ind w:left="0"/>
        <w:jc w:val="center"/>
        <w:rPr>
          <w:rFonts w:ascii="Times New Roman" w:hAnsi="Times New Roman" w:cs="Times New Roman"/>
        </w:rPr>
      </w:pPr>
      <w:r w:rsidRPr="001D76D1">
        <w:rPr>
          <w:rFonts w:ascii="Times New Roman" w:hAnsi="Times New Roman" w:cs="Times New Roman"/>
        </w:rPr>
        <w:t>II</w:t>
      </w:r>
      <w:proofErr w:type="gramStart"/>
      <w:r w:rsidRPr="001D76D1">
        <w:rPr>
          <w:rFonts w:ascii="Times New Roman" w:hAnsi="Times New Roman" w:cs="Times New Roman"/>
        </w:rPr>
        <w:t>.  EXECUTIVE</w:t>
      </w:r>
      <w:proofErr w:type="gramEnd"/>
      <w:r w:rsidRPr="001D76D1">
        <w:rPr>
          <w:rFonts w:ascii="Times New Roman" w:hAnsi="Times New Roman" w:cs="Times New Roman"/>
        </w:rPr>
        <w:t xml:space="preserve"> SUMMARY</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Proposed Electric Increase</w:t>
      </w:r>
    </w:p>
    <w:p w:rsidR="005540EB" w:rsidRPr="00A47B5B" w:rsidRDefault="005540EB" w:rsidP="00711833">
      <w:pPr>
        <w:pStyle w:val="P84"/>
        <w:numPr>
          <w:ilvl w:val="0"/>
          <w:numId w:val="8"/>
        </w:numPr>
        <w:tabs>
          <w:tab w:val="clear" w:pos="2310"/>
          <w:tab w:val="num" w:pos="1440"/>
        </w:tabs>
        <w:ind w:left="0" w:firstLine="720"/>
        <w:jc w:val="both"/>
        <w:rPr>
          <w:rFonts w:ascii="Times New Roman" w:hAnsi="Times New Roman" w:cs="Times New Roman"/>
        </w:rPr>
      </w:pPr>
      <w:r w:rsidRPr="005540EB">
        <w:rPr>
          <w:rFonts w:ascii="Times New Roman" w:hAnsi="Times New Roman" w:cs="Times New Roman"/>
        </w:rPr>
        <w:t xml:space="preserve">What is the proposed electric revenue increase in this case and how is the Company </w:t>
      </w:r>
      <w:r w:rsidRPr="00A47B5B">
        <w:rPr>
          <w:rFonts w:ascii="Times New Roman" w:hAnsi="Times New Roman" w:cs="Times New Roman"/>
        </w:rPr>
        <w:t>proposing to spread the total increase by rate schedule?</w:t>
      </w:r>
    </w:p>
    <w:p w:rsidR="005E2247" w:rsidRPr="001D76D1" w:rsidRDefault="005540EB" w:rsidP="001D76D1">
      <w:pPr>
        <w:pStyle w:val="P31"/>
        <w:numPr>
          <w:ilvl w:val="0"/>
          <w:numId w:val="32"/>
        </w:numPr>
        <w:tabs>
          <w:tab w:val="clear" w:pos="2160"/>
          <w:tab w:val="num" w:pos="2340"/>
        </w:tabs>
        <w:ind w:left="0" w:firstLine="720"/>
        <w:jc w:val="both"/>
        <w:rPr>
          <w:rFonts w:ascii="Times New Roman" w:hAnsi="Times New Roman" w:cs="Times New Roman"/>
        </w:rPr>
      </w:pPr>
      <w:r w:rsidRPr="00A47B5B">
        <w:rPr>
          <w:rFonts w:ascii="Times New Roman" w:hAnsi="Times New Roman" w:cs="Times New Roman"/>
        </w:rPr>
        <w:t xml:space="preserve">The proposed electric increase is </w:t>
      </w:r>
      <w:r w:rsidR="00CB3A2C" w:rsidRPr="004A14EC">
        <w:rPr>
          <w:rFonts w:ascii="Times New Roman" w:hAnsi="Times New Roman" w:cs="Times New Roman"/>
        </w:rPr>
        <w:t>$</w:t>
      </w:r>
      <w:proofErr w:type="gramStart"/>
      <w:r w:rsidR="002E0B86">
        <w:rPr>
          <w:rFonts w:ascii="Times New Roman" w:hAnsi="Times New Roman" w:cs="Times New Roman"/>
        </w:rPr>
        <w:t>18</w:t>
      </w:r>
      <w:r w:rsidR="00A47B5B" w:rsidRPr="004A14EC">
        <w:rPr>
          <w:rFonts w:ascii="Times New Roman" w:hAnsi="Times New Roman" w:cs="Times New Roman"/>
        </w:rPr>
        <w:t>,</w:t>
      </w:r>
      <w:r w:rsidR="002E0B86">
        <w:rPr>
          <w:rFonts w:ascii="Times New Roman" w:hAnsi="Times New Roman" w:cs="Times New Roman"/>
        </w:rPr>
        <w:t>201</w:t>
      </w:r>
      <w:r w:rsidR="00A47B5B" w:rsidRPr="004A14EC">
        <w:rPr>
          <w:rFonts w:ascii="Times New Roman" w:hAnsi="Times New Roman" w:cs="Times New Roman"/>
        </w:rPr>
        <w:t>,000</w:t>
      </w:r>
      <w:r w:rsidR="00CB3A2C" w:rsidRPr="004A14EC">
        <w:rPr>
          <w:rFonts w:ascii="Times New Roman" w:hAnsi="Times New Roman" w:cs="Times New Roman"/>
        </w:rPr>
        <w:t>,</w:t>
      </w:r>
      <w:proofErr w:type="gramEnd"/>
      <w:r w:rsidR="00CB3A2C" w:rsidRPr="004A14EC">
        <w:rPr>
          <w:rFonts w:ascii="Times New Roman" w:hAnsi="Times New Roman" w:cs="Times New Roman"/>
        </w:rPr>
        <w:t xml:space="preserve"> or </w:t>
      </w:r>
      <w:r w:rsidR="002E0B86">
        <w:rPr>
          <w:rFonts w:ascii="Times New Roman" w:hAnsi="Times New Roman" w:cs="Times New Roman"/>
        </w:rPr>
        <w:t>3.8</w:t>
      </w:r>
      <w:r w:rsidR="00CB3A2C" w:rsidRPr="004A14EC">
        <w:rPr>
          <w:rFonts w:ascii="Times New Roman" w:hAnsi="Times New Roman" w:cs="Times New Roman"/>
        </w:rPr>
        <w:t xml:space="preserve">% </w:t>
      </w:r>
      <w:r w:rsidRPr="004A14EC">
        <w:rPr>
          <w:rFonts w:ascii="Times New Roman" w:hAnsi="Times New Roman" w:cs="Times New Roman"/>
        </w:rPr>
        <w:t>over</w:t>
      </w:r>
      <w:r w:rsidRPr="00A47B5B">
        <w:rPr>
          <w:rFonts w:ascii="Times New Roman" w:hAnsi="Times New Roman" w:cs="Times New Roman"/>
        </w:rPr>
        <w:t xml:space="preserve"> present </w:t>
      </w:r>
      <w:r w:rsidR="000E62F6" w:rsidRPr="004A14EC">
        <w:rPr>
          <w:rFonts w:ascii="Times New Roman" w:hAnsi="Times New Roman" w:cs="Times New Roman"/>
          <w:u w:val="single"/>
        </w:rPr>
        <w:t xml:space="preserve">2014 </w:t>
      </w:r>
      <w:r w:rsidRPr="00A47B5B">
        <w:rPr>
          <w:rFonts w:ascii="Times New Roman" w:hAnsi="Times New Roman" w:cs="Times New Roman"/>
          <w:u w:val="single"/>
        </w:rPr>
        <w:t>base</w:t>
      </w:r>
      <w:r w:rsidRPr="00A47B5B">
        <w:rPr>
          <w:rFonts w:ascii="Times New Roman" w:hAnsi="Times New Roman" w:cs="Times New Roman"/>
        </w:rPr>
        <w:t xml:space="preserve"> tariff </w:t>
      </w:r>
      <w:r w:rsidR="002E0B86">
        <w:rPr>
          <w:rFonts w:ascii="Times New Roman" w:hAnsi="Times New Roman" w:cs="Times New Roman"/>
        </w:rPr>
        <w:t>revenues</w:t>
      </w:r>
      <w:r w:rsidRPr="00A47B5B">
        <w:rPr>
          <w:rFonts w:ascii="Times New Roman" w:hAnsi="Times New Roman" w:cs="Times New Roman"/>
        </w:rPr>
        <w:t xml:space="preserve">. </w:t>
      </w:r>
      <w:r w:rsidR="00822621">
        <w:rPr>
          <w:rFonts w:ascii="Times New Roman" w:hAnsi="Times New Roman" w:cs="Times New Roman"/>
        </w:rPr>
        <w:t xml:space="preserve"> </w:t>
      </w:r>
      <w:r w:rsidR="00B707E0">
        <w:rPr>
          <w:rFonts w:ascii="Times New Roman" w:hAnsi="Times New Roman" w:cs="Times New Roman"/>
        </w:rPr>
        <w:t>Elsewhere, the Company has demonstrated the need for a continuation of the existing rate relief provide</w:t>
      </w:r>
      <w:r w:rsidR="00AE0E9E">
        <w:rPr>
          <w:rFonts w:ascii="Times New Roman" w:hAnsi="Times New Roman" w:cs="Times New Roman"/>
        </w:rPr>
        <w:t>d</w:t>
      </w:r>
      <w:r w:rsidR="00B707E0">
        <w:rPr>
          <w:rFonts w:ascii="Times New Roman" w:hAnsi="Times New Roman" w:cs="Times New Roman"/>
        </w:rPr>
        <w:t xml:space="preserve"> in 2014 of $14.038 million, as well as an additional increase in base rates of $18.2 million </w:t>
      </w:r>
      <w:r w:rsidR="00AE0E9E">
        <w:rPr>
          <w:rFonts w:ascii="Times New Roman" w:hAnsi="Times New Roman" w:cs="Times New Roman"/>
        </w:rPr>
        <w:t>to take effect January 1, 2015.</w:t>
      </w:r>
      <w:r w:rsidRPr="00A47B5B">
        <w:rPr>
          <w:rFonts w:ascii="Times New Roman" w:hAnsi="Times New Roman" w:cs="Times New Roman"/>
        </w:rPr>
        <w:t xml:space="preserve"> </w:t>
      </w:r>
      <w:r w:rsidR="004A14EC" w:rsidRPr="00A47B5B">
        <w:rPr>
          <w:rFonts w:ascii="Times New Roman" w:hAnsi="Times New Roman" w:cs="Times New Roman"/>
        </w:rPr>
        <w:t xml:space="preserve">The proposed general increase over present </w:t>
      </w:r>
      <w:r w:rsidR="004A14EC" w:rsidRPr="00A47B5B">
        <w:rPr>
          <w:rStyle w:val="T5"/>
          <w:rFonts w:ascii="Times New Roman" w:hAnsi="Times New Roman" w:cs="Times New Roman"/>
        </w:rPr>
        <w:t>billing</w:t>
      </w:r>
      <w:r w:rsidR="004A14EC" w:rsidRPr="00A47B5B">
        <w:rPr>
          <w:rFonts w:ascii="Times New Roman" w:hAnsi="Times New Roman" w:cs="Times New Roman"/>
        </w:rPr>
        <w:t xml:space="preserve"> </w:t>
      </w:r>
      <w:r w:rsidR="002E0B86">
        <w:rPr>
          <w:rFonts w:ascii="Times New Roman" w:hAnsi="Times New Roman" w:cs="Times New Roman"/>
        </w:rPr>
        <w:t>revenues</w:t>
      </w:r>
      <w:r w:rsidR="004A14EC">
        <w:rPr>
          <w:rStyle w:val="FootnoteReference"/>
          <w:rFonts w:ascii="Times New Roman" w:hAnsi="Times New Roman"/>
        </w:rPr>
        <w:footnoteReference w:id="2"/>
      </w:r>
      <w:r w:rsidR="004A14EC" w:rsidRPr="00A47B5B">
        <w:rPr>
          <w:rFonts w:ascii="Times New Roman" w:hAnsi="Times New Roman" w:cs="Times New Roman"/>
        </w:rPr>
        <w:t xml:space="preserve">, including all other rate adjustments (DSM and Residential Exchange), </w:t>
      </w:r>
      <w:r w:rsidR="004A14EC">
        <w:rPr>
          <w:rFonts w:ascii="Times New Roman" w:hAnsi="Times New Roman" w:cs="Times New Roman"/>
        </w:rPr>
        <w:t xml:space="preserve">and including the </w:t>
      </w:r>
      <w:r w:rsidR="006456F0">
        <w:rPr>
          <w:rFonts w:ascii="Times New Roman" w:hAnsi="Times New Roman" w:cs="Times New Roman"/>
        </w:rPr>
        <w:t xml:space="preserve">new and expiring credits discussed earlier </w:t>
      </w:r>
      <w:r w:rsidR="004A14EC" w:rsidRPr="00A47B5B">
        <w:rPr>
          <w:rFonts w:ascii="Times New Roman" w:hAnsi="Times New Roman" w:cs="Times New Roman"/>
        </w:rPr>
        <w:t xml:space="preserve">is </w:t>
      </w:r>
      <w:r w:rsidR="006456F0">
        <w:rPr>
          <w:rFonts w:ascii="Times New Roman" w:hAnsi="Times New Roman" w:cs="Times New Roman"/>
        </w:rPr>
        <w:t>5.5</w:t>
      </w:r>
      <w:r w:rsidR="004A14EC" w:rsidRPr="00A47B5B">
        <w:rPr>
          <w:rFonts w:ascii="Times New Roman" w:hAnsi="Times New Roman" w:cs="Times New Roman"/>
        </w:rPr>
        <w:t xml:space="preserve">%.  </w:t>
      </w:r>
      <w:r w:rsidR="004C3DE4">
        <w:rPr>
          <w:rFonts w:ascii="Times New Roman" w:hAnsi="Times New Roman" w:cs="Times New Roman"/>
        </w:rPr>
        <w:t xml:space="preserve">We are proposing that the </w:t>
      </w:r>
      <w:r w:rsidRPr="00A47B5B">
        <w:rPr>
          <w:rFonts w:ascii="Times New Roman" w:hAnsi="Times New Roman" w:cs="Times New Roman"/>
        </w:rPr>
        <w:t xml:space="preserve">general </w:t>
      </w:r>
      <w:r w:rsidR="00371D94" w:rsidRPr="00A47B5B">
        <w:rPr>
          <w:rFonts w:ascii="Times New Roman" w:hAnsi="Times New Roman" w:cs="Times New Roman"/>
        </w:rPr>
        <w:t xml:space="preserve">base rate </w:t>
      </w:r>
      <w:r w:rsidRPr="00A47B5B">
        <w:rPr>
          <w:rFonts w:ascii="Times New Roman" w:hAnsi="Times New Roman" w:cs="Times New Roman"/>
        </w:rPr>
        <w:t xml:space="preserve">increase of </w:t>
      </w:r>
      <w:r w:rsidR="004940D3" w:rsidRPr="00A47B5B">
        <w:rPr>
          <w:rFonts w:ascii="Times New Roman" w:hAnsi="Times New Roman" w:cs="Times New Roman"/>
        </w:rPr>
        <w:t>$</w:t>
      </w:r>
      <w:r w:rsidR="006456F0">
        <w:rPr>
          <w:rFonts w:ascii="Times New Roman" w:hAnsi="Times New Roman" w:cs="Times New Roman"/>
        </w:rPr>
        <w:t>18,201</w:t>
      </w:r>
      <w:r w:rsidR="004940D3" w:rsidRPr="00A47B5B">
        <w:rPr>
          <w:rFonts w:ascii="Times New Roman" w:hAnsi="Times New Roman" w:cs="Times New Roman"/>
        </w:rPr>
        <w:t xml:space="preserve">,000 </w:t>
      </w:r>
      <w:r w:rsidR="004C3DE4">
        <w:rPr>
          <w:rFonts w:ascii="Times New Roman" w:hAnsi="Times New Roman" w:cs="Times New Roman"/>
        </w:rPr>
        <w:t>be</w:t>
      </w:r>
      <w:r w:rsidRPr="00A47B5B">
        <w:rPr>
          <w:rFonts w:ascii="Times New Roman" w:hAnsi="Times New Roman" w:cs="Times New Roman"/>
        </w:rPr>
        <w:t xml:space="preserve"> spread by rate schedule </w:t>
      </w:r>
      <w:r w:rsidR="006456F0">
        <w:rPr>
          <w:rFonts w:ascii="Times New Roman" w:hAnsi="Times New Roman" w:cs="Times New Roman"/>
        </w:rPr>
        <w:t>on a uniform percentage basis</w:t>
      </w:r>
      <w:r w:rsidR="004A14EC">
        <w:rPr>
          <w:rFonts w:ascii="Times New Roman" w:hAnsi="Times New Roman" w:cs="Times New Roman"/>
        </w:rPr>
        <w:t xml:space="preserve">, </w:t>
      </w:r>
      <w:r w:rsidR="004C3DE4">
        <w:rPr>
          <w:rFonts w:ascii="Times New Roman" w:hAnsi="Times New Roman" w:cs="Times New Roman"/>
        </w:rPr>
        <w:t xml:space="preserve">and </w:t>
      </w:r>
      <w:r w:rsidR="004A14EC">
        <w:rPr>
          <w:rFonts w:ascii="Times New Roman" w:hAnsi="Times New Roman" w:cs="Times New Roman"/>
        </w:rPr>
        <w:t xml:space="preserve">the </w:t>
      </w:r>
      <w:r w:rsidR="006456F0">
        <w:rPr>
          <w:rFonts w:ascii="Times New Roman" w:hAnsi="Times New Roman" w:cs="Times New Roman"/>
        </w:rPr>
        <w:t xml:space="preserve">proposed </w:t>
      </w:r>
      <w:r w:rsidR="004A14EC">
        <w:rPr>
          <w:rFonts w:ascii="Times New Roman" w:hAnsi="Times New Roman" w:cs="Times New Roman"/>
        </w:rPr>
        <w:t xml:space="preserve">REC </w:t>
      </w:r>
      <w:r w:rsidR="006456F0">
        <w:rPr>
          <w:rFonts w:ascii="Times New Roman" w:hAnsi="Times New Roman" w:cs="Times New Roman"/>
        </w:rPr>
        <w:t>Revenue Mechanism rebate</w:t>
      </w:r>
      <w:r w:rsidR="004A14EC">
        <w:rPr>
          <w:rFonts w:ascii="Times New Roman" w:hAnsi="Times New Roman" w:cs="Times New Roman"/>
        </w:rPr>
        <w:t xml:space="preserve"> </w:t>
      </w:r>
      <w:r w:rsidR="004C3DE4">
        <w:rPr>
          <w:rFonts w:ascii="Times New Roman" w:hAnsi="Times New Roman" w:cs="Times New Roman"/>
        </w:rPr>
        <w:t>be</w:t>
      </w:r>
      <w:r w:rsidR="004A14EC">
        <w:rPr>
          <w:rFonts w:ascii="Times New Roman" w:hAnsi="Times New Roman" w:cs="Times New Roman"/>
        </w:rPr>
        <w:t xml:space="preserve"> spread to the schedules on a uniform cents per kWh basis</w:t>
      </w:r>
      <w:r w:rsidRPr="00A47B5B">
        <w:rPr>
          <w:rFonts w:ascii="Times New Roman" w:hAnsi="Times New Roman" w:cs="Times New Roman"/>
        </w:rPr>
        <w:t xml:space="preserve">.  The proposed percentage increase by rate schedule is as follows: </w:t>
      </w:r>
      <w:r w:rsidR="005E2247">
        <w:br w:type="page"/>
      </w:r>
    </w:p>
    <w:p w:rsidR="005540EB" w:rsidRPr="00B5246C" w:rsidRDefault="004C3DE4" w:rsidP="00711833">
      <w:pPr>
        <w:pStyle w:val="P31"/>
        <w:jc w:val="both"/>
        <w:rPr>
          <w:rFonts w:ascii="Times New Roman" w:hAnsi="Times New Roman" w:cs="Times New Roman"/>
        </w:rPr>
      </w:pPr>
      <w:r w:rsidRPr="004C3DE4">
        <w:rPr>
          <w:noProof/>
        </w:rPr>
        <w:lastRenderedPageBreak/>
        <w:drawing>
          <wp:anchor distT="0" distB="0" distL="114300" distR="114300" simplePos="0" relativeHeight="251905536" behindDoc="1" locked="0" layoutInCell="1" allowOverlap="1">
            <wp:simplePos x="0" y="0"/>
            <wp:positionH relativeFrom="column">
              <wp:posOffset>-17145</wp:posOffset>
            </wp:positionH>
            <wp:positionV relativeFrom="paragraph">
              <wp:posOffset>0</wp:posOffset>
            </wp:positionV>
            <wp:extent cx="5939790" cy="2095500"/>
            <wp:effectExtent l="19050" t="0" r="381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9790" cy="2095500"/>
                    </a:xfrm>
                    <a:prstGeom prst="rect">
                      <a:avLst/>
                    </a:prstGeom>
                    <a:noFill/>
                    <a:ln w="9525">
                      <a:noFill/>
                      <a:miter lim="800000"/>
                      <a:headEnd/>
                      <a:tailEnd/>
                    </a:ln>
                  </pic:spPr>
                </pic:pic>
              </a:graphicData>
            </a:graphic>
          </wp:anchor>
        </w:drawing>
      </w:r>
    </w:p>
    <w:p w:rsidR="005540EB" w:rsidRPr="007B58C5" w:rsidRDefault="005540EB" w:rsidP="00711833">
      <w:pPr>
        <w:pStyle w:val="P85"/>
        <w:jc w:val="both"/>
        <w:rPr>
          <w:rFonts w:ascii="Times New Roman" w:hAnsi="Times New Roman" w:cs="Times New Roman"/>
          <w:b/>
          <w:sz w:val="22"/>
          <w:szCs w:val="22"/>
        </w:rPr>
      </w:pPr>
      <w:r w:rsidRPr="005540EB">
        <w:rPr>
          <w:rFonts w:ascii="Times New Roman" w:hAnsi="Times New Roman" w:cs="Times New Roman"/>
        </w:rPr>
        <w:t xml:space="preserve">   </w:t>
      </w:r>
    </w:p>
    <w:p w:rsidR="005540EB" w:rsidRPr="005540EB" w:rsidRDefault="005540EB" w:rsidP="00711833">
      <w:pPr>
        <w:pStyle w:val="P31"/>
        <w:ind w:firstLine="0"/>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D74916" w:rsidRDefault="00D74916" w:rsidP="00711833">
      <w:pPr>
        <w:pStyle w:val="P31"/>
        <w:jc w:val="both"/>
        <w:rPr>
          <w:rFonts w:ascii="Times New Roman" w:hAnsi="Times New Roman" w:cs="Times New Roman"/>
        </w:rPr>
      </w:pPr>
    </w:p>
    <w:p w:rsidR="004C3DE4" w:rsidRDefault="004C3DE4" w:rsidP="00711833">
      <w:pPr>
        <w:pStyle w:val="P31"/>
        <w:jc w:val="both"/>
        <w:rPr>
          <w:rFonts w:ascii="Times New Roman" w:hAnsi="Times New Roman" w:cs="Times New Roman"/>
        </w:rPr>
      </w:pPr>
    </w:p>
    <w:p w:rsidR="005540EB" w:rsidRPr="00944313" w:rsidRDefault="005540EB" w:rsidP="00711833">
      <w:pPr>
        <w:pStyle w:val="P31"/>
        <w:jc w:val="both"/>
        <w:rPr>
          <w:rFonts w:ascii="Times New Roman" w:hAnsi="Times New Roman" w:cs="Times New Roman"/>
        </w:rPr>
      </w:pPr>
      <w:r w:rsidRPr="005540EB">
        <w:rPr>
          <w:rFonts w:ascii="Times New Roman" w:hAnsi="Times New Roman" w:cs="Times New Roman"/>
        </w:rPr>
        <w:t xml:space="preserve">This information is shown </w:t>
      </w:r>
      <w:r w:rsidR="001D224A">
        <w:rPr>
          <w:rFonts w:ascii="Times New Roman" w:hAnsi="Times New Roman" w:cs="Times New Roman"/>
        </w:rPr>
        <w:t>with more</w:t>
      </w:r>
      <w:r w:rsidRPr="005540EB">
        <w:rPr>
          <w:rFonts w:ascii="Times New Roman" w:hAnsi="Times New Roman" w:cs="Times New Roman"/>
        </w:rPr>
        <w:t xml:space="preserve"> detail on page 1, of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 xml:space="preserve">-4).  </w:t>
      </w:r>
    </w:p>
    <w:p w:rsidR="005540EB" w:rsidRPr="005540EB" w:rsidRDefault="005540EB" w:rsidP="00711833">
      <w:pPr>
        <w:pStyle w:val="P129"/>
        <w:numPr>
          <w:ilvl w:val="0"/>
          <w:numId w:val="9"/>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What is the proposed increase for a residential electric customer with average consumption</w:t>
      </w:r>
      <w:r w:rsidR="00892413">
        <w:rPr>
          <w:rFonts w:ascii="Times New Roman" w:hAnsi="Times New Roman" w:cs="Times New Roman"/>
        </w:rPr>
        <w:t xml:space="preserve">, including the proposed </w:t>
      </w:r>
      <w:r w:rsidR="004C3DE4">
        <w:rPr>
          <w:rFonts w:ascii="Times New Roman" w:hAnsi="Times New Roman" w:cs="Times New Roman"/>
        </w:rPr>
        <w:t>changes in re</w:t>
      </w:r>
      <w:r w:rsidR="00F9270A">
        <w:rPr>
          <w:rFonts w:ascii="Times New Roman" w:hAnsi="Times New Roman" w:cs="Times New Roman"/>
        </w:rPr>
        <w:t>bate</w:t>
      </w:r>
      <w:r w:rsidR="004C3DE4">
        <w:rPr>
          <w:rFonts w:ascii="Times New Roman" w:hAnsi="Times New Roman" w:cs="Times New Roman"/>
        </w:rPr>
        <w:t>s</w:t>
      </w:r>
      <w:r w:rsidRPr="005540EB">
        <w:rPr>
          <w:rFonts w:ascii="Times New Roman" w:hAnsi="Times New Roman" w:cs="Times New Roman"/>
        </w:rPr>
        <w:t>?</w:t>
      </w:r>
    </w:p>
    <w:p w:rsidR="00916D0F" w:rsidRPr="00BC5C99" w:rsidRDefault="005540EB" w:rsidP="00711833">
      <w:pPr>
        <w:pStyle w:val="P156"/>
        <w:numPr>
          <w:ilvl w:val="0"/>
          <w:numId w:val="19"/>
        </w:numPr>
        <w:tabs>
          <w:tab w:val="clear" w:pos="1590"/>
          <w:tab w:val="num" w:pos="1440"/>
        </w:tabs>
        <w:ind w:left="0" w:firstLine="720"/>
        <w:jc w:val="both"/>
        <w:rPr>
          <w:rFonts w:ascii="Times New Roman" w:hAnsi="Times New Roman" w:cs="Times New Roman"/>
        </w:rPr>
      </w:pPr>
      <w:r w:rsidRPr="00A47B5B">
        <w:rPr>
          <w:rFonts w:ascii="Times New Roman" w:hAnsi="Times New Roman" w:cs="Times New Roman"/>
        </w:rPr>
        <w:t xml:space="preserve">The proposed increase for a residential customer using an </w:t>
      </w:r>
      <w:r w:rsidRPr="00B40081">
        <w:rPr>
          <w:rFonts w:ascii="Times New Roman" w:hAnsi="Times New Roman" w:cs="Times New Roman"/>
        </w:rPr>
        <w:t xml:space="preserve">average of </w:t>
      </w:r>
      <w:r w:rsidR="006456F0">
        <w:rPr>
          <w:rFonts w:ascii="Times New Roman" w:hAnsi="Times New Roman" w:cs="Times New Roman"/>
        </w:rPr>
        <w:t xml:space="preserve">965 </w:t>
      </w:r>
      <w:r w:rsidRPr="00A47B5B">
        <w:rPr>
          <w:rFonts w:ascii="Times New Roman" w:hAnsi="Times New Roman" w:cs="Times New Roman"/>
        </w:rPr>
        <w:t xml:space="preserve">kWhs per month </w:t>
      </w:r>
      <w:r w:rsidRPr="006456F0">
        <w:rPr>
          <w:rFonts w:ascii="Times New Roman" w:hAnsi="Times New Roman" w:cs="Times New Roman"/>
        </w:rPr>
        <w:t xml:space="preserve">is </w:t>
      </w:r>
      <w:r w:rsidR="00944313" w:rsidRPr="006456F0">
        <w:rPr>
          <w:rFonts w:ascii="Times New Roman" w:hAnsi="Times New Roman" w:cs="Times New Roman"/>
        </w:rPr>
        <w:t>$</w:t>
      </w:r>
      <w:r w:rsidR="00A47B5B" w:rsidRPr="006456F0">
        <w:rPr>
          <w:rFonts w:ascii="Times New Roman" w:hAnsi="Times New Roman" w:cs="Times New Roman"/>
        </w:rPr>
        <w:t>4.</w:t>
      </w:r>
      <w:r w:rsidR="006456F0" w:rsidRPr="006456F0">
        <w:rPr>
          <w:rFonts w:ascii="Times New Roman" w:hAnsi="Times New Roman" w:cs="Times New Roman"/>
        </w:rPr>
        <w:t>89</w:t>
      </w:r>
      <w:r w:rsidRPr="006456F0">
        <w:rPr>
          <w:rFonts w:ascii="Times New Roman" w:hAnsi="Times New Roman" w:cs="Times New Roman"/>
        </w:rPr>
        <w:t xml:space="preserve"> per month, or a </w:t>
      </w:r>
      <w:r w:rsidR="006456F0" w:rsidRPr="006456F0">
        <w:rPr>
          <w:rFonts w:ascii="Times New Roman" w:hAnsi="Times New Roman" w:cs="Times New Roman"/>
        </w:rPr>
        <w:t>6.1</w:t>
      </w:r>
      <w:r w:rsidR="00944313" w:rsidRPr="006456F0">
        <w:rPr>
          <w:rFonts w:ascii="Times New Roman" w:hAnsi="Times New Roman" w:cs="Times New Roman"/>
        </w:rPr>
        <w:t>%</w:t>
      </w:r>
      <w:r w:rsidRPr="006456F0">
        <w:rPr>
          <w:rFonts w:ascii="Times New Roman" w:hAnsi="Times New Roman" w:cs="Times New Roman"/>
        </w:rPr>
        <w:t xml:space="preserve"> increase in their electric bill</w:t>
      </w:r>
      <w:r w:rsidR="00BC5C99" w:rsidRPr="006456F0">
        <w:rPr>
          <w:rFonts w:ascii="Times New Roman" w:hAnsi="Times New Roman" w:cs="Times New Roman"/>
        </w:rPr>
        <w:t xml:space="preserve">.  </w:t>
      </w:r>
      <w:r w:rsidRPr="006456F0">
        <w:rPr>
          <w:rFonts w:ascii="Times New Roman" w:hAnsi="Times New Roman" w:cs="Times New Roman"/>
        </w:rPr>
        <w:t xml:space="preserve">The present bill for </w:t>
      </w:r>
      <w:r w:rsidR="006456F0" w:rsidRPr="006456F0">
        <w:rPr>
          <w:rFonts w:ascii="Times New Roman" w:hAnsi="Times New Roman" w:cs="Times New Roman"/>
        </w:rPr>
        <w:t>965</w:t>
      </w:r>
      <w:r w:rsidR="00892413" w:rsidRPr="006456F0">
        <w:rPr>
          <w:rFonts w:ascii="Times New Roman" w:hAnsi="Times New Roman" w:cs="Times New Roman"/>
        </w:rPr>
        <w:t xml:space="preserve"> </w:t>
      </w:r>
      <w:r w:rsidRPr="006456F0">
        <w:rPr>
          <w:rFonts w:ascii="Times New Roman" w:hAnsi="Times New Roman" w:cs="Times New Roman"/>
        </w:rPr>
        <w:t xml:space="preserve">kWhs is </w:t>
      </w:r>
      <w:r w:rsidR="00892413" w:rsidRPr="006456F0">
        <w:rPr>
          <w:rFonts w:ascii="Times New Roman" w:hAnsi="Times New Roman" w:cs="Times New Roman"/>
        </w:rPr>
        <w:t>$</w:t>
      </w:r>
      <w:r w:rsidR="006456F0" w:rsidRPr="006456F0">
        <w:rPr>
          <w:rFonts w:ascii="Times New Roman" w:hAnsi="Times New Roman" w:cs="Times New Roman"/>
        </w:rPr>
        <w:t>80.09</w:t>
      </w:r>
      <w:r w:rsidRPr="006456F0">
        <w:rPr>
          <w:rFonts w:ascii="Times New Roman" w:hAnsi="Times New Roman" w:cs="Times New Roman"/>
        </w:rPr>
        <w:t xml:space="preserve"> compared to the proposed level of $</w:t>
      </w:r>
      <w:r w:rsidR="00A47B5B" w:rsidRPr="006456F0">
        <w:rPr>
          <w:rFonts w:ascii="Times New Roman" w:hAnsi="Times New Roman" w:cs="Times New Roman"/>
        </w:rPr>
        <w:t>8</w:t>
      </w:r>
      <w:r w:rsidR="006456F0" w:rsidRPr="006456F0">
        <w:rPr>
          <w:rFonts w:ascii="Times New Roman" w:hAnsi="Times New Roman" w:cs="Times New Roman"/>
        </w:rPr>
        <w:t>4.98</w:t>
      </w:r>
      <w:r w:rsidRPr="006456F0">
        <w:rPr>
          <w:rFonts w:ascii="Times New Roman" w:hAnsi="Times New Roman" w:cs="Times New Roman"/>
        </w:rPr>
        <w:t>,</w:t>
      </w:r>
      <w:r w:rsidRPr="00A47B5B">
        <w:rPr>
          <w:rFonts w:ascii="Times New Roman" w:hAnsi="Times New Roman" w:cs="Times New Roman"/>
        </w:rPr>
        <w:t xml:space="preserve"> including all rate adjustments.</w:t>
      </w:r>
      <w:r w:rsidR="00593603" w:rsidRPr="00A47B5B">
        <w:rPr>
          <w:rFonts w:ascii="Times New Roman" w:hAnsi="Times New Roman" w:cs="Times New Roman"/>
        </w:rPr>
        <w:t xml:space="preserve">  The Company is also proposing to</w:t>
      </w:r>
      <w:r w:rsidR="00B40081">
        <w:rPr>
          <w:rFonts w:ascii="Times New Roman" w:hAnsi="Times New Roman" w:cs="Times New Roman"/>
        </w:rPr>
        <w:t xml:space="preserve"> change the basic charge from $8</w:t>
      </w:r>
      <w:r w:rsidR="00593603">
        <w:rPr>
          <w:rFonts w:ascii="Times New Roman" w:hAnsi="Times New Roman" w:cs="Times New Roman"/>
        </w:rPr>
        <w:t xml:space="preserve">.00 per month </w:t>
      </w:r>
      <w:r w:rsidR="00593603" w:rsidRPr="00DB7F95">
        <w:rPr>
          <w:rFonts w:ascii="Times New Roman" w:hAnsi="Times New Roman" w:cs="Times New Roman"/>
        </w:rPr>
        <w:t>to $</w:t>
      </w:r>
      <w:r w:rsidR="00371D94">
        <w:rPr>
          <w:rFonts w:ascii="Times New Roman" w:hAnsi="Times New Roman" w:cs="Times New Roman"/>
        </w:rPr>
        <w:t>1</w:t>
      </w:r>
      <w:r w:rsidR="00B40081">
        <w:rPr>
          <w:rFonts w:ascii="Times New Roman" w:hAnsi="Times New Roman" w:cs="Times New Roman"/>
        </w:rPr>
        <w:t>5</w:t>
      </w:r>
      <w:r w:rsidR="00593603" w:rsidRPr="00DB7F95">
        <w:rPr>
          <w:rFonts w:ascii="Times New Roman" w:hAnsi="Times New Roman" w:cs="Times New Roman"/>
        </w:rPr>
        <w:t>.00</w:t>
      </w:r>
      <w:r w:rsidR="00593603">
        <w:rPr>
          <w:rFonts w:ascii="Times New Roman" w:hAnsi="Times New Roman" w:cs="Times New Roman"/>
        </w:rPr>
        <w:t xml:space="preserve"> per month.</w:t>
      </w:r>
    </w:p>
    <w:p w:rsidR="005540EB" w:rsidRPr="005540EB" w:rsidRDefault="005540EB" w:rsidP="00711833">
      <w:pPr>
        <w:pStyle w:val="P131"/>
        <w:numPr>
          <w:ilvl w:val="0"/>
          <w:numId w:val="16"/>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Is the Company proposing any changes to the present rate structures </w:t>
      </w:r>
      <w:r w:rsidRPr="005540EB">
        <w:rPr>
          <w:rStyle w:val="T5"/>
          <w:rFonts w:ascii="Times New Roman" w:hAnsi="Times New Roman" w:cs="Times New Roman"/>
        </w:rPr>
        <w:t>within</w:t>
      </w:r>
      <w:r w:rsidRPr="005540EB">
        <w:rPr>
          <w:rFonts w:ascii="Times New Roman" w:hAnsi="Times New Roman" w:cs="Times New Roman"/>
        </w:rPr>
        <w:t xml:space="preserve"> its electric service schedules?</w:t>
      </w:r>
    </w:p>
    <w:p w:rsidR="005540EB" w:rsidRPr="005540EB" w:rsidRDefault="005540EB" w:rsidP="00791C2B">
      <w:pPr>
        <w:pStyle w:val="P157"/>
        <w:numPr>
          <w:ilvl w:val="0"/>
          <w:numId w:val="6"/>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No.  The Company is not proposing any changes to the present rate structures within its electric schedules.  </w:t>
      </w:r>
    </w:p>
    <w:p w:rsidR="005540EB" w:rsidRPr="005540EB" w:rsidRDefault="005540EB" w:rsidP="0012369E">
      <w:pPr>
        <w:pStyle w:val="P139"/>
        <w:numPr>
          <w:ilvl w:val="0"/>
          <w:numId w:val="3"/>
        </w:numPr>
        <w:tabs>
          <w:tab w:val="clear" w:pos="1950"/>
          <w:tab w:val="num" w:pos="1440"/>
        </w:tabs>
        <w:ind w:left="0" w:firstLine="720"/>
        <w:jc w:val="both"/>
        <w:rPr>
          <w:rFonts w:ascii="Times New Roman" w:hAnsi="Times New Roman" w:cs="Times New Roman"/>
        </w:rPr>
      </w:pPr>
      <w:r w:rsidRPr="005540EB">
        <w:rPr>
          <w:rFonts w:ascii="Times New Roman" w:hAnsi="Times New Roman" w:cs="Times New Roman"/>
        </w:rPr>
        <w:t>Where do you show the proposed changes in rates within the electric service schedules?</w:t>
      </w:r>
    </w:p>
    <w:p w:rsidR="004C3DE4" w:rsidRPr="004C3DE4" w:rsidRDefault="005540EB" w:rsidP="004C3DE4">
      <w:pPr>
        <w:pStyle w:val="P165"/>
        <w:numPr>
          <w:ilvl w:val="0"/>
          <w:numId w:val="31"/>
        </w:numPr>
        <w:tabs>
          <w:tab w:val="num" w:pos="1440"/>
        </w:tabs>
        <w:ind w:left="0" w:firstLine="720"/>
        <w:jc w:val="both"/>
        <w:rPr>
          <w:rFonts w:ascii="Times New Roman" w:hAnsi="Times New Roman" w:cs="Times New Roman"/>
        </w:rPr>
      </w:pPr>
      <w:r w:rsidRPr="005540EB">
        <w:rPr>
          <w:rFonts w:ascii="Times New Roman" w:hAnsi="Times New Roman" w:cs="Times New Roman"/>
        </w:rPr>
        <w:t>This information is shown in detail on page 3 of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-4).</w:t>
      </w:r>
      <w:r w:rsidR="004C3DE4">
        <w:rPr>
          <w:rFonts w:ascii="Times New Roman" w:hAnsi="Times New Roman" w:cs="Times New Roman"/>
        </w:rPr>
        <w:br w:type="page"/>
      </w:r>
    </w:p>
    <w:p w:rsidR="005540EB" w:rsidRPr="005540EB" w:rsidRDefault="005540EB" w:rsidP="00711833">
      <w:pPr>
        <w:pStyle w:val="P266"/>
        <w:jc w:val="both"/>
        <w:outlineLvl w:val="0"/>
        <w:rPr>
          <w:rFonts w:ascii="Times New Roman" w:hAnsi="Times New Roman" w:cs="Times New Roman"/>
        </w:rPr>
      </w:pPr>
      <w:r w:rsidRPr="005540EB">
        <w:rPr>
          <w:rFonts w:ascii="Times New Roman" w:hAnsi="Times New Roman" w:cs="Times New Roman"/>
        </w:rPr>
        <w:lastRenderedPageBreak/>
        <w:t>Proposed Natural Gas Increase</w:t>
      </w:r>
    </w:p>
    <w:p w:rsidR="00643147" w:rsidRPr="00443386" w:rsidRDefault="005540EB" w:rsidP="00643147">
      <w:pPr>
        <w:pStyle w:val="P270"/>
        <w:tabs>
          <w:tab w:val="clear" w:pos="720"/>
          <w:tab w:val="left" w:pos="1440"/>
        </w:tabs>
        <w:ind w:left="0" w:firstLine="720"/>
        <w:jc w:val="both"/>
        <w:rPr>
          <w:rFonts w:ascii="Times New Roman" w:hAnsi="Times New Roman" w:cs="Times New Roman"/>
        </w:rPr>
      </w:pPr>
      <w:r w:rsidRPr="005540EB">
        <w:rPr>
          <w:rFonts w:ascii="Times New Roman" w:hAnsi="Times New Roman" w:cs="Times New Roman"/>
        </w:rPr>
        <w:t>Q</w:t>
      </w:r>
      <w:r w:rsidRPr="00A001E8">
        <w:rPr>
          <w:rFonts w:ascii="Times New Roman" w:hAnsi="Times New Roman" w:cs="Times New Roman"/>
        </w:rPr>
        <w:t xml:space="preserve">. </w:t>
      </w:r>
      <w:r w:rsidRPr="00A001E8">
        <w:rPr>
          <w:rFonts w:ascii="Times New Roman" w:hAnsi="Times New Roman" w:cs="Times New Roman"/>
        </w:rPr>
        <w:tab/>
      </w:r>
      <w:r w:rsidR="004A14EC" w:rsidRPr="004A14EC">
        <w:rPr>
          <w:rFonts w:ascii="Times New Roman" w:hAnsi="Times New Roman" w:cs="Times New Roman"/>
        </w:rPr>
        <w:t xml:space="preserve">What is the proposed </w:t>
      </w:r>
      <w:r w:rsidR="004A14EC">
        <w:rPr>
          <w:rFonts w:ascii="Times New Roman" w:hAnsi="Times New Roman" w:cs="Times New Roman"/>
        </w:rPr>
        <w:t>natural gas</w:t>
      </w:r>
      <w:r w:rsidR="004A14EC" w:rsidRPr="004A14EC">
        <w:rPr>
          <w:rFonts w:ascii="Times New Roman" w:hAnsi="Times New Roman" w:cs="Times New Roman"/>
        </w:rPr>
        <w:t xml:space="preserve"> revenue increase in this case and how is the Company proposing to spread the total increase by rate schedule?</w:t>
      </w:r>
      <w:r w:rsidR="00381013">
        <w:rPr>
          <w:rFonts w:ascii="Times New Roman" w:hAnsi="Times New Roman" w:cs="Times New Roman"/>
        </w:rPr>
        <w:t xml:space="preserve"> </w:t>
      </w:r>
    </w:p>
    <w:p w:rsidR="0017074B" w:rsidRPr="008C2923" w:rsidRDefault="005540EB" w:rsidP="008C2923">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r>
      <w:r w:rsidR="004A14EC" w:rsidRPr="00A47B5B">
        <w:rPr>
          <w:rFonts w:ascii="Times New Roman" w:hAnsi="Times New Roman" w:cs="Times New Roman"/>
        </w:rPr>
        <w:t xml:space="preserve">The proposed </w:t>
      </w:r>
      <w:r w:rsidR="004A14EC">
        <w:rPr>
          <w:rFonts w:ascii="Times New Roman" w:hAnsi="Times New Roman" w:cs="Times New Roman"/>
        </w:rPr>
        <w:t>natural gas</w:t>
      </w:r>
      <w:r w:rsidR="004A14EC" w:rsidRPr="00A47B5B">
        <w:rPr>
          <w:rFonts w:ascii="Times New Roman" w:hAnsi="Times New Roman" w:cs="Times New Roman"/>
        </w:rPr>
        <w:t xml:space="preserve"> increase is $</w:t>
      </w:r>
      <w:r w:rsidR="00CE7021">
        <w:rPr>
          <w:rFonts w:ascii="Times New Roman" w:hAnsi="Times New Roman" w:cs="Times New Roman"/>
        </w:rPr>
        <w:t>12,135</w:t>
      </w:r>
      <w:r w:rsidR="004A14EC" w:rsidRPr="00A47B5B">
        <w:rPr>
          <w:rFonts w:ascii="Times New Roman" w:hAnsi="Times New Roman" w:cs="Times New Roman"/>
        </w:rPr>
        <w:t>,</w:t>
      </w:r>
      <w:r w:rsidR="00CE7021">
        <w:rPr>
          <w:rFonts w:ascii="Times New Roman" w:hAnsi="Times New Roman" w:cs="Times New Roman"/>
        </w:rPr>
        <w:t>000</w:t>
      </w:r>
      <w:r w:rsidR="004A14EC" w:rsidRPr="00A47B5B">
        <w:rPr>
          <w:rFonts w:ascii="Times New Roman" w:hAnsi="Times New Roman" w:cs="Times New Roman"/>
        </w:rPr>
        <w:t xml:space="preserve"> or </w:t>
      </w:r>
      <w:r w:rsidR="00CE7021">
        <w:rPr>
          <w:rFonts w:ascii="Times New Roman" w:hAnsi="Times New Roman" w:cs="Times New Roman"/>
        </w:rPr>
        <w:t>8.1</w:t>
      </w:r>
      <w:r w:rsidR="004A14EC" w:rsidRPr="00A47B5B">
        <w:rPr>
          <w:rFonts w:ascii="Times New Roman" w:hAnsi="Times New Roman" w:cs="Times New Roman"/>
        </w:rPr>
        <w:t xml:space="preserve">% over present </w:t>
      </w:r>
      <w:r w:rsidR="004A14EC" w:rsidRPr="004A14EC">
        <w:rPr>
          <w:rFonts w:ascii="Times New Roman" w:hAnsi="Times New Roman" w:cs="Times New Roman"/>
          <w:u w:val="single"/>
        </w:rPr>
        <w:t>2014 ba</w:t>
      </w:r>
      <w:r w:rsidR="004A14EC" w:rsidRPr="00A47B5B">
        <w:rPr>
          <w:rFonts w:ascii="Times New Roman" w:hAnsi="Times New Roman" w:cs="Times New Roman"/>
          <w:u w:val="single"/>
        </w:rPr>
        <w:t>se</w:t>
      </w:r>
      <w:r w:rsidR="004A14EC" w:rsidRPr="00A47B5B">
        <w:rPr>
          <w:rFonts w:ascii="Times New Roman" w:hAnsi="Times New Roman" w:cs="Times New Roman"/>
        </w:rPr>
        <w:t xml:space="preserve"> tariff </w:t>
      </w:r>
      <w:r w:rsidR="008C2923">
        <w:rPr>
          <w:rFonts w:ascii="Times New Roman" w:hAnsi="Times New Roman" w:cs="Times New Roman"/>
        </w:rPr>
        <w:t>revenues</w:t>
      </w:r>
      <w:r w:rsidR="00381013">
        <w:rPr>
          <w:rStyle w:val="FootnoteReference"/>
          <w:rFonts w:ascii="Times New Roman" w:hAnsi="Times New Roman"/>
        </w:rPr>
        <w:footnoteReference w:id="3"/>
      </w:r>
      <w:r w:rsidR="004A14EC" w:rsidRPr="00A47B5B">
        <w:rPr>
          <w:rFonts w:ascii="Times New Roman" w:hAnsi="Times New Roman" w:cs="Times New Roman"/>
        </w:rPr>
        <w:t xml:space="preserve">.  </w:t>
      </w:r>
      <w:r w:rsidR="000D4B96">
        <w:rPr>
          <w:rFonts w:ascii="Times New Roman" w:hAnsi="Times New Roman" w:cs="Times New Roman"/>
        </w:rPr>
        <w:t>Elsewhere, the Company has demonstrated the need for a continuation of the existing rate relief provided in 2014 of $1.4 million, as well as an additional increase in base rates of $12.1 million to take effect January 1, 2015.</w:t>
      </w:r>
      <w:r w:rsidR="000D4B96" w:rsidRPr="00A47B5B">
        <w:rPr>
          <w:rFonts w:ascii="Times New Roman" w:hAnsi="Times New Roman" w:cs="Times New Roman"/>
        </w:rPr>
        <w:t xml:space="preserve"> </w:t>
      </w:r>
      <w:r w:rsidR="004A14EC" w:rsidRPr="00A47B5B">
        <w:rPr>
          <w:rFonts w:ascii="Times New Roman" w:hAnsi="Times New Roman" w:cs="Times New Roman"/>
        </w:rPr>
        <w:t xml:space="preserve">The proposed general increase over present </w:t>
      </w:r>
      <w:r w:rsidR="004A14EC" w:rsidRPr="00A47B5B">
        <w:rPr>
          <w:rStyle w:val="T5"/>
          <w:rFonts w:ascii="Times New Roman" w:hAnsi="Times New Roman" w:cs="Times New Roman"/>
        </w:rPr>
        <w:t>billing</w:t>
      </w:r>
      <w:r w:rsidR="004A14EC" w:rsidRPr="00A47B5B">
        <w:rPr>
          <w:rFonts w:ascii="Times New Roman" w:hAnsi="Times New Roman" w:cs="Times New Roman"/>
        </w:rPr>
        <w:t xml:space="preserve"> rates, including all other rate adjustments (</w:t>
      </w:r>
      <w:r w:rsidR="004A14EC">
        <w:rPr>
          <w:rFonts w:ascii="Times New Roman" w:hAnsi="Times New Roman" w:cs="Times New Roman"/>
        </w:rPr>
        <w:t xml:space="preserve">Purchased Gas Cost Adjustment, </w:t>
      </w:r>
      <w:r w:rsidR="004A14EC" w:rsidRPr="00A47B5B">
        <w:rPr>
          <w:rFonts w:ascii="Times New Roman" w:hAnsi="Times New Roman" w:cs="Times New Roman"/>
        </w:rPr>
        <w:t>DSM</w:t>
      </w:r>
      <w:r w:rsidR="004A14EC">
        <w:rPr>
          <w:rFonts w:ascii="Times New Roman" w:hAnsi="Times New Roman" w:cs="Times New Roman"/>
        </w:rPr>
        <w:t xml:space="preserve">, etc.) </w:t>
      </w:r>
      <w:r w:rsidR="004A14EC" w:rsidRPr="00A47B5B">
        <w:rPr>
          <w:rFonts w:ascii="Times New Roman" w:hAnsi="Times New Roman" w:cs="Times New Roman"/>
        </w:rPr>
        <w:t xml:space="preserve">is </w:t>
      </w:r>
      <w:r w:rsidR="00CE7021">
        <w:rPr>
          <w:rFonts w:ascii="Times New Roman" w:hAnsi="Times New Roman" w:cs="Times New Roman"/>
        </w:rPr>
        <w:t>7.8</w:t>
      </w:r>
      <w:r w:rsidR="004A14EC" w:rsidRPr="00A47B5B">
        <w:rPr>
          <w:rFonts w:ascii="Times New Roman" w:hAnsi="Times New Roman" w:cs="Times New Roman"/>
        </w:rPr>
        <w:t xml:space="preserve">%.  </w:t>
      </w:r>
      <w:r w:rsidR="00CE7021" w:rsidRPr="00CE7021">
        <w:rPr>
          <w:rFonts w:ascii="Times New Roman" w:hAnsi="Times New Roman" w:cs="Times New Roman"/>
        </w:rPr>
        <w:t xml:space="preserve">The Company utilized the results of the </w:t>
      </w:r>
      <w:r w:rsidR="00CE7021">
        <w:rPr>
          <w:rFonts w:ascii="Times New Roman" w:hAnsi="Times New Roman" w:cs="Times New Roman"/>
        </w:rPr>
        <w:t>natural gas</w:t>
      </w:r>
      <w:r w:rsidR="00CE7021" w:rsidRPr="00CE7021">
        <w:rPr>
          <w:rFonts w:ascii="Times New Roman" w:hAnsi="Times New Roman" w:cs="Times New Roman"/>
        </w:rPr>
        <w:t xml:space="preserve"> cost of service study, sponsored by Company witness M</w:t>
      </w:r>
      <w:r w:rsidR="00CE7021">
        <w:rPr>
          <w:rFonts w:ascii="Times New Roman" w:hAnsi="Times New Roman" w:cs="Times New Roman"/>
        </w:rPr>
        <w:t>r</w:t>
      </w:r>
      <w:r w:rsidR="00CE7021" w:rsidRPr="00CE7021">
        <w:rPr>
          <w:rFonts w:ascii="Times New Roman" w:hAnsi="Times New Roman" w:cs="Times New Roman"/>
        </w:rPr>
        <w:t xml:space="preserve">. </w:t>
      </w:r>
      <w:r w:rsidR="00CE7021">
        <w:rPr>
          <w:rFonts w:ascii="Times New Roman" w:hAnsi="Times New Roman" w:cs="Times New Roman"/>
        </w:rPr>
        <w:t>Miller</w:t>
      </w:r>
      <w:r w:rsidR="00CE7021" w:rsidRPr="00CE7021">
        <w:rPr>
          <w:rFonts w:ascii="Times New Roman" w:hAnsi="Times New Roman" w:cs="Times New Roman"/>
        </w:rPr>
        <w:t>, as a guide in spreading the overall revenue increase</w:t>
      </w:r>
      <w:r w:rsidR="00CE7021">
        <w:rPr>
          <w:rFonts w:ascii="Times New Roman" w:hAnsi="Times New Roman" w:cs="Times New Roman"/>
        </w:rPr>
        <w:t>. T</w:t>
      </w:r>
      <w:r w:rsidRPr="00443386">
        <w:rPr>
          <w:rFonts w:ascii="Times New Roman" w:hAnsi="Times New Roman" w:cs="Times New Roman"/>
        </w:rPr>
        <w:t xml:space="preserve">he Company is proposing the following </w:t>
      </w:r>
      <w:r w:rsidR="004A5E9F" w:rsidRPr="00443386">
        <w:rPr>
          <w:rFonts w:ascii="Times New Roman" w:hAnsi="Times New Roman" w:cs="Times New Roman"/>
          <w:u w:val="single"/>
        </w:rPr>
        <w:t>base</w:t>
      </w:r>
      <w:r w:rsidR="004A5E9F" w:rsidRPr="00443386">
        <w:rPr>
          <w:rFonts w:ascii="Times New Roman" w:hAnsi="Times New Roman" w:cs="Times New Roman"/>
        </w:rPr>
        <w:t xml:space="preserve"> </w:t>
      </w:r>
      <w:r w:rsidR="003A16ED">
        <w:rPr>
          <w:rFonts w:ascii="Times New Roman" w:hAnsi="Times New Roman" w:cs="Times New Roman"/>
        </w:rPr>
        <w:t xml:space="preserve">and </w:t>
      </w:r>
      <w:r w:rsidR="003A16ED" w:rsidRPr="003A16ED">
        <w:rPr>
          <w:rFonts w:ascii="Times New Roman" w:hAnsi="Times New Roman" w:cs="Times New Roman"/>
          <w:u w:val="single"/>
        </w:rPr>
        <w:t>billing</w:t>
      </w:r>
      <w:r w:rsidR="003A16ED">
        <w:rPr>
          <w:rFonts w:ascii="Times New Roman" w:hAnsi="Times New Roman" w:cs="Times New Roman"/>
        </w:rPr>
        <w:t xml:space="preserve"> </w:t>
      </w:r>
      <w:r w:rsidRPr="00443386">
        <w:rPr>
          <w:rFonts w:ascii="Times New Roman" w:hAnsi="Times New Roman" w:cs="Times New Roman"/>
        </w:rPr>
        <w:t>revenue</w:t>
      </w:r>
      <w:r w:rsidR="001D224A" w:rsidRPr="00443386">
        <w:rPr>
          <w:rFonts w:ascii="Times New Roman" w:hAnsi="Times New Roman" w:cs="Times New Roman"/>
        </w:rPr>
        <w:t xml:space="preserve"> </w:t>
      </w:r>
      <w:r w:rsidRPr="00443386">
        <w:rPr>
          <w:rFonts w:ascii="Times New Roman" w:hAnsi="Times New Roman" w:cs="Times New Roman"/>
        </w:rPr>
        <w:t>changes by rate schedule</w:t>
      </w:r>
      <w:r w:rsidR="00916D0F" w:rsidRPr="00443386">
        <w:rPr>
          <w:rStyle w:val="FootnoteReference"/>
          <w:rFonts w:ascii="Times New Roman" w:hAnsi="Times New Roman"/>
        </w:rPr>
        <w:footnoteReference w:id="4"/>
      </w:r>
      <w:r w:rsidRPr="00443386">
        <w:rPr>
          <w:rFonts w:ascii="Times New Roman" w:hAnsi="Times New Roman" w:cs="Times New Roman"/>
        </w:rPr>
        <w:t>:</w:t>
      </w:r>
    </w:p>
    <w:p w:rsidR="00B5246C" w:rsidRPr="00443386" w:rsidRDefault="004C3DE4" w:rsidP="00711833">
      <w:pPr>
        <w:pStyle w:val="P190"/>
        <w:ind w:firstLine="0"/>
        <w:jc w:val="both"/>
        <w:rPr>
          <w:rFonts w:ascii="Times New Roman" w:hAnsi="Times New Roman" w:cs="Times New Roman"/>
        </w:rPr>
      </w:pPr>
      <w:r w:rsidRPr="004C3DE4">
        <w:rPr>
          <w:noProof/>
        </w:rPr>
        <w:drawing>
          <wp:anchor distT="0" distB="0" distL="114300" distR="114300" simplePos="0" relativeHeight="251906560" behindDoc="1" locked="0" layoutInCell="1" allowOverlap="1">
            <wp:simplePos x="0" y="0"/>
            <wp:positionH relativeFrom="column">
              <wp:posOffset>573405</wp:posOffset>
            </wp:positionH>
            <wp:positionV relativeFrom="paragraph">
              <wp:posOffset>-1905</wp:posOffset>
            </wp:positionV>
            <wp:extent cx="4876800" cy="1905000"/>
            <wp:effectExtent l="1905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876800" cy="1905000"/>
                    </a:xfrm>
                    <a:prstGeom prst="rect">
                      <a:avLst/>
                    </a:prstGeom>
                    <a:noFill/>
                    <a:ln w="9525">
                      <a:noFill/>
                      <a:miter lim="800000"/>
                      <a:headEnd/>
                      <a:tailEnd/>
                    </a:ln>
                  </pic:spPr>
                </pic:pic>
              </a:graphicData>
            </a:graphic>
          </wp:anchor>
        </w:drawing>
      </w: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2A7002" w:rsidRDefault="002A7002" w:rsidP="00711833">
      <w:pPr>
        <w:pStyle w:val="P249"/>
        <w:tabs>
          <w:tab w:val="left" w:pos="720"/>
        </w:tabs>
        <w:jc w:val="both"/>
        <w:rPr>
          <w:rFonts w:ascii="Times New Roman" w:hAnsi="Times New Roman" w:cs="Times New Roman"/>
        </w:rPr>
      </w:pPr>
    </w:p>
    <w:p w:rsidR="005540EB" w:rsidRPr="005540EB" w:rsidRDefault="005540EB" w:rsidP="00711833">
      <w:pPr>
        <w:pStyle w:val="P249"/>
        <w:tabs>
          <w:tab w:val="left" w:pos="720"/>
        </w:tabs>
        <w:jc w:val="both"/>
        <w:rPr>
          <w:rFonts w:ascii="Times New Roman" w:hAnsi="Times New Roman" w:cs="Times New Roman"/>
        </w:rPr>
      </w:pPr>
      <w:r w:rsidRPr="00443386">
        <w:rPr>
          <w:rFonts w:ascii="Times New Roman" w:hAnsi="Times New Roman" w:cs="Times New Roman"/>
        </w:rPr>
        <w:t>This information is also shown on page 1 of Exhibit No._</w:t>
      </w:r>
      <w:r w:rsidR="0043473F" w:rsidRPr="00443386">
        <w:rPr>
          <w:rFonts w:ascii="Times New Roman" w:hAnsi="Times New Roman" w:cs="Times New Roman"/>
        </w:rPr>
        <w:t>_</w:t>
      </w:r>
      <w:proofErr w:type="gramStart"/>
      <w:r w:rsidR="0043473F" w:rsidRPr="00443386">
        <w:rPr>
          <w:rFonts w:ascii="Times New Roman" w:hAnsi="Times New Roman" w:cs="Times New Roman"/>
        </w:rPr>
        <w:t>_</w:t>
      </w:r>
      <w:r w:rsidRPr="00443386">
        <w:rPr>
          <w:rFonts w:ascii="Times New Roman" w:hAnsi="Times New Roman" w:cs="Times New Roman"/>
        </w:rPr>
        <w:t>(</w:t>
      </w:r>
      <w:proofErr w:type="gramEnd"/>
      <w:r w:rsidR="00D8699E" w:rsidRPr="00443386">
        <w:rPr>
          <w:rFonts w:ascii="Times New Roman" w:hAnsi="Times New Roman" w:cs="Times New Roman"/>
        </w:rPr>
        <w:t>PDE</w:t>
      </w:r>
      <w:r w:rsidRPr="00443386">
        <w:rPr>
          <w:rFonts w:ascii="Times New Roman" w:hAnsi="Times New Roman" w:cs="Times New Roman"/>
        </w:rPr>
        <w:t xml:space="preserve">-7).  </w:t>
      </w:r>
    </w:p>
    <w:p w:rsidR="005540EB" w:rsidRPr="005540EB" w:rsidRDefault="005540EB" w:rsidP="00711833">
      <w:pPr>
        <w:pStyle w:val="P258"/>
        <w:numPr>
          <w:ilvl w:val="0"/>
          <w:numId w:val="12"/>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 xml:space="preserve">What is the proposed monthly increase for a residential natural gas </w:t>
      </w:r>
      <w:r w:rsidRPr="005540EB">
        <w:rPr>
          <w:rFonts w:ascii="Times New Roman" w:hAnsi="Times New Roman" w:cs="Times New Roman"/>
        </w:rPr>
        <w:lastRenderedPageBreak/>
        <w:t>customer with average usage?</w:t>
      </w:r>
    </w:p>
    <w:p w:rsidR="00DF5CDD" w:rsidRDefault="004C2025" w:rsidP="002A7002">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r>
      <w:r w:rsidR="008F62BD" w:rsidRPr="008F62BD">
        <w:rPr>
          <w:rFonts w:ascii="Times New Roman" w:hAnsi="Times New Roman" w:cs="Times New Roman"/>
        </w:rPr>
        <w:t>The increase for a residential customer using an average of 65 therms of natural gas per month would be $5.23 per month, or 8.5%.  A bill for 65 therms per month would increase from the present level of $61.19 to a proposed level of $66.42.</w:t>
      </w:r>
      <w:r w:rsidR="008F62BD">
        <w:rPr>
          <w:rFonts w:ascii="Times New Roman" w:hAnsi="Times New Roman" w:cs="Times New Roman"/>
        </w:rPr>
        <w:t xml:space="preserve"> </w:t>
      </w:r>
      <w:r w:rsidR="008F62BD" w:rsidRPr="00443386">
        <w:rPr>
          <w:rFonts w:ascii="Times New Roman" w:hAnsi="Times New Roman" w:cs="Times New Roman"/>
        </w:rPr>
        <w:t>The Company is also proposing to change the basic charge from $</w:t>
      </w:r>
      <w:r w:rsidR="008F62BD">
        <w:rPr>
          <w:rFonts w:ascii="Times New Roman" w:hAnsi="Times New Roman" w:cs="Times New Roman"/>
        </w:rPr>
        <w:t xml:space="preserve">8.00 per month </w:t>
      </w:r>
      <w:r w:rsidR="008F62BD" w:rsidRPr="00DB7F95">
        <w:rPr>
          <w:rFonts w:ascii="Times New Roman" w:hAnsi="Times New Roman" w:cs="Times New Roman"/>
        </w:rPr>
        <w:t>to $</w:t>
      </w:r>
      <w:r w:rsidR="008F62BD">
        <w:rPr>
          <w:rFonts w:ascii="Times New Roman" w:hAnsi="Times New Roman" w:cs="Times New Roman"/>
        </w:rPr>
        <w:t>12</w:t>
      </w:r>
      <w:r w:rsidR="008F62BD" w:rsidRPr="00DB7F95">
        <w:rPr>
          <w:rFonts w:ascii="Times New Roman" w:hAnsi="Times New Roman" w:cs="Times New Roman"/>
        </w:rPr>
        <w:t>.00</w:t>
      </w:r>
      <w:r w:rsidR="008F62BD">
        <w:rPr>
          <w:rFonts w:ascii="Times New Roman" w:hAnsi="Times New Roman" w:cs="Times New Roman"/>
        </w:rPr>
        <w:t xml:space="preserve"> per month. </w:t>
      </w:r>
    </w:p>
    <w:p w:rsidR="004C3DE4" w:rsidRPr="00822621" w:rsidRDefault="004C3DE4" w:rsidP="002A7002">
      <w:pPr>
        <w:pStyle w:val="P190"/>
        <w:jc w:val="both"/>
        <w:rPr>
          <w:rFonts w:ascii="Times New Roman" w:hAnsi="Times New Roman" w:cs="Times New Roman"/>
        </w:rPr>
      </w:pPr>
    </w:p>
    <w:p w:rsidR="005540EB" w:rsidRPr="005540EB" w:rsidRDefault="005540EB" w:rsidP="005540EB">
      <w:pPr>
        <w:pStyle w:val="P268"/>
        <w:tabs>
          <w:tab w:val="clear" w:pos="720"/>
        </w:tabs>
        <w:ind w:left="0"/>
        <w:jc w:val="center"/>
        <w:rPr>
          <w:rFonts w:ascii="Times New Roman" w:hAnsi="Times New Roman" w:cs="Times New Roman"/>
        </w:rPr>
      </w:pPr>
      <w:r w:rsidRPr="005540EB">
        <w:rPr>
          <w:rFonts w:ascii="Times New Roman" w:hAnsi="Times New Roman" w:cs="Times New Roman"/>
        </w:rPr>
        <w:t>III</w:t>
      </w:r>
      <w:proofErr w:type="gramStart"/>
      <w:r w:rsidRPr="005540EB">
        <w:rPr>
          <w:rFonts w:ascii="Times New Roman" w:hAnsi="Times New Roman" w:cs="Times New Roman"/>
        </w:rPr>
        <w:t>.  PROPOSED</w:t>
      </w:r>
      <w:proofErr w:type="gramEnd"/>
      <w:r w:rsidRPr="005540EB">
        <w:rPr>
          <w:rFonts w:ascii="Times New Roman" w:hAnsi="Times New Roman" w:cs="Times New Roman"/>
        </w:rPr>
        <w:t xml:space="preserve"> ELECTRIC REVENUE INCREASE</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Summary of Electric Rate Schedules and Tariffs</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explain what is contained in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-2)?</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 xml:space="preserve">-2) contains a copy of the Company’s present electric tariffs/service schedules.  </w:t>
      </w:r>
    </w:p>
    <w:p w:rsidR="005540EB" w:rsidRPr="005540EB" w:rsidRDefault="005540EB" w:rsidP="00711833">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describe what is contained in </w:t>
      </w:r>
      <w:r w:rsidRPr="005540EB">
        <w:rPr>
          <w:rFonts w:ascii="Times New Roman" w:hAnsi="Times New Roman" w:cs="Times New Roman"/>
          <w:b/>
        </w:rPr>
        <w:t>Exhibit No._</w:t>
      </w:r>
      <w:r w:rsidR="0043473F">
        <w:rPr>
          <w:rFonts w:ascii="Times New Roman" w:hAnsi="Times New Roman" w:cs="Times New Roman"/>
          <w:b/>
        </w:rPr>
        <w:t>_</w:t>
      </w:r>
      <w:proofErr w:type="gramStart"/>
      <w:r w:rsidR="0043473F">
        <w:rPr>
          <w:rFonts w:ascii="Times New Roman" w:hAnsi="Times New Roman" w:cs="Times New Roman"/>
          <w:b/>
        </w:rPr>
        <w:t>_</w:t>
      </w:r>
      <w:r w:rsidRPr="005540EB">
        <w:rPr>
          <w:rFonts w:ascii="Times New Roman" w:hAnsi="Times New Roman" w:cs="Times New Roman"/>
          <w:b/>
        </w:rPr>
        <w:t>(</w:t>
      </w:r>
      <w:proofErr w:type="gramEnd"/>
      <w:r w:rsidR="00D8699E">
        <w:rPr>
          <w:rFonts w:ascii="Times New Roman" w:hAnsi="Times New Roman" w:cs="Times New Roman"/>
          <w:b/>
        </w:rPr>
        <w:t>PDE</w:t>
      </w:r>
      <w:r w:rsidRPr="005540EB">
        <w:rPr>
          <w:rFonts w:ascii="Times New Roman" w:hAnsi="Times New Roman" w:cs="Times New Roman"/>
          <w:b/>
        </w:rPr>
        <w:t>-3)</w:t>
      </w:r>
      <w:r w:rsidRPr="005540EB">
        <w:rPr>
          <w:rStyle w:val="T11"/>
          <w:rFonts w:ascii="Times New Roman" w:hAnsi="Times New Roman" w:cs="Times New Roman"/>
        </w:rPr>
        <w:t>?</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 xml:space="preserve">-3) contains the proposed electric tariff sheets incorporating the proposed changes included in this filing.  </w:t>
      </w:r>
    </w:p>
    <w:p w:rsidR="005540EB" w:rsidRPr="005540EB" w:rsidRDefault="005540EB" w:rsidP="00711833">
      <w:pPr>
        <w:pStyle w:val="P31"/>
        <w:jc w:val="both"/>
        <w:outlineLvl w:val="0"/>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contained in </w:t>
      </w:r>
      <w:r w:rsidRPr="005540EB">
        <w:rPr>
          <w:rFonts w:ascii="Times New Roman" w:hAnsi="Times New Roman" w:cs="Times New Roman"/>
          <w:b/>
        </w:rPr>
        <w:t>Exhibit No.</w:t>
      </w:r>
      <w:proofErr w:type="gramStart"/>
      <w:r w:rsidRPr="005540EB">
        <w:rPr>
          <w:rFonts w:ascii="Times New Roman" w:hAnsi="Times New Roman" w:cs="Times New Roman"/>
          <w:b/>
        </w:rPr>
        <w:t>_(</w:t>
      </w:r>
      <w:proofErr w:type="gramEnd"/>
      <w:r w:rsidR="00D8699E">
        <w:rPr>
          <w:rFonts w:ascii="Times New Roman" w:hAnsi="Times New Roman" w:cs="Times New Roman"/>
          <w:b/>
        </w:rPr>
        <w:t>PDE</w:t>
      </w:r>
      <w:r w:rsidRPr="005540EB">
        <w:rPr>
          <w:rFonts w:ascii="Times New Roman" w:hAnsi="Times New Roman" w:cs="Times New Roman"/>
          <w:b/>
        </w:rPr>
        <w:t>-4)</w:t>
      </w:r>
      <w:r w:rsidRPr="005540EB">
        <w:rPr>
          <w:rStyle w:val="T11"/>
          <w:rFonts w:ascii="Times New Roman" w:hAnsi="Times New Roman" w:cs="Times New Roman"/>
        </w:rPr>
        <w:t>?</w:t>
      </w:r>
    </w:p>
    <w:p w:rsidR="005540EB" w:rsidRPr="005540EB" w:rsidRDefault="005540EB" w:rsidP="00CA7EA4">
      <w:pPr>
        <w:pStyle w:val="P31"/>
        <w:jc w:val="both"/>
        <w:rPr>
          <w:rFonts w:ascii="Times New Roman" w:hAnsi="Times New Roman" w:cs="Times New Roman"/>
          <w:b/>
        </w:rPr>
      </w:pPr>
      <w:r w:rsidRPr="005540EB">
        <w:rPr>
          <w:rStyle w:val="T13"/>
          <w:rFonts w:ascii="Times New Roman" w:hAnsi="Times New Roman" w:cs="Times New Roman"/>
        </w:rPr>
        <w:t>A.</w:t>
      </w:r>
      <w:r w:rsidRPr="005540EB">
        <w:rPr>
          <w:rStyle w:val="T13"/>
          <w:rFonts w:ascii="Times New Roman" w:hAnsi="Times New Roman" w:cs="Times New Roman"/>
        </w:rPr>
        <w:tab/>
      </w:r>
      <w:r w:rsidRPr="005540EB">
        <w:rPr>
          <w:rFonts w:ascii="Times New Roman" w:hAnsi="Times New Roman" w:cs="Times New Roman"/>
        </w:rPr>
        <w:t>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-4)</w:t>
      </w:r>
      <w:r w:rsidRPr="005540EB">
        <w:rPr>
          <w:rStyle w:val="T13"/>
          <w:rFonts w:ascii="Times New Roman" w:hAnsi="Times New Roman" w:cs="Times New Roman"/>
        </w:rPr>
        <w:t xml:space="preserve"> contains information regarding the proposed spread of the electric revenue increase among the service schedules and the proposed changes to the rates within the schedules.  Page 1 shows the proposed general revenue and percentage increase by rate schedule compared to the present revenue under </w:t>
      </w:r>
      <w:r w:rsidRPr="00545B95">
        <w:rPr>
          <w:rStyle w:val="T8"/>
          <w:rFonts w:ascii="Times New Roman" w:hAnsi="Times New Roman" w:cs="Times New Roman"/>
          <w:u w:val="none"/>
        </w:rPr>
        <w:t>base tariff</w:t>
      </w:r>
      <w:r w:rsidRPr="005540EB">
        <w:rPr>
          <w:rStyle w:val="T13"/>
          <w:rFonts w:ascii="Times New Roman" w:hAnsi="Times New Roman" w:cs="Times New Roman"/>
        </w:rPr>
        <w:t xml:space="preserve"> and billing rates.  Page 2 shows the rates of return and the relative rates of return for each of the schedules before and after application of the proposed general increase.  Page 3 shows the present rates under each of the rate schedules, the proposed changes to the rates within the schedules</w:t>
      </w:r>
      <w:r w:rsidR="00596611">
        <w:rPr>
          <w:rStyle w:val="T13"/>
          <w:rFonts w:ascii="Times New Roman" w:hAnsi="Times New Roman" w:cs="Times New Roman"/>
        </w:rPr>
        <w:t>,</w:t>
      </w:r>
      <w:r w:rsidRPr="005540EB">
        <w:rPr>
          <w:rStyle w:val="T13"/>
          <w:rFonts w:ascii="Times New Roman" w:hAnsi="Times New Roman" w:cs="Times New Roman"/>
        </w:rPr>
        <w:t xml:space="preserve"> and </w:t>
      </w:r>
      <w:r w:rsidRPr="005540EB">
        <w:rPr>
          <w:rStyle w:val="T13"/>
          <w:rFonts w:ascii="Times New Roman" w:hAnsi="Times New Roman" w:cs="Times New Roman"/>
        </w:rPr>
        <w:lastRenderedPageBreak/>
        <w:t xml:space="preserve">the proposed rates after application of the changes.  These pages will be referred to later in my testimony.    </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describe the Company's present rate schedules and the types of electric service offered under each?</w:t>
      </w:r>
    </w:p>
    <w:p w:rsidR="00545B95" w:rsidRPr="00892413" w:rsidRDefault="005540EB" w:rsidP="00711833">
      <w:pPr>
        <w:pStyle w:val="P43"/>
        <w:jc w:val="both"/>
        <w:rPr>
          <w:rFonts w:ascii="Times New Roman" w:hAnsi="Times New Roman"/>
        </w:rPr>
      </w:pPr>
      <w:r w:rsidRPr="00894CE2">
        <w:rPr>
          <w:rFonts w:ascii="Times New Roman" w:hAnsi="Times New Roman"/>
        </w:rPr>
        <w:t>A.</w:t>
      </w:r>
      <w:r w:rsidRPr="00894CE2">
        <w:rPr>
          <w:rFonts w:ascii="Times New Roman" w:hAnsi="Times New Roman"/>
        </w:rPr>
        <w:tab/>
        <w:t>Yes.  The Company presently provides electric service under Residential Service Schedule 1, General Service Schedules 11 and 12, Large General Service Schedules 21 and 22, Extra Large General Service Schedule</w:t>
      </w:r>
      <w:r w:rsidR="000F2A4D">
        <w:rPr>
          <w:rFonts w:ascii="Times New Roman" w:hAnsi="Times New Roman"/>
        </w:rPr>
        <w:t xml:space="preserve"> </w:t>
      </w:r>
      <w:r w:rsidRPr="00894CE2">
        <w:rPr>
          <w:rFonts w:ascii="Times New Roman" w:hAnsi="Times New Roman"/>
        </w:rPr>
        <w:t>25</w:t>
      </w:r>
      <w:r w:rsidR="004C3DE4">
        <w:rPr>
          <w:rFonts w:ascii="Times New Roman" w:hAnsi="Times New Roman"/>
        </w:rPr>
        <w:t>,</w:t>
      </w:r>
      <w:r w:rsidRPr="00894CE2">
        <w:rPr>
          <w:rFonts w:ascii="Times New Roman" w:hAnsi="Times New Roman"/>
        </w:rPr>
        <w:t xml:space="preserve"> and Pumping Service Schedules 31 and 32.  Additionally, the Company provides Street Lighting Service under Schedules 41-46, and Area Lighting Service under Schedules 47-48.  Schedules 12, 22, 32, and 48 exist for residential and farm service customers who qualify for the Residential Exchange </w:t>
      </w:r>
      <w:r w:rsidR="00916D0F">
        <w:rPr>
          <w:rFonts w:ascii="Times New Roman" w:hAnsi="Times New Roman"/>
        </w:rPr>
        <w:t>P</w:t>
      </w:r>
      <w:r w:rsidRPr="00894CE2">
        <w:rPr>
          <w:rFonts w:ascii="Times New Roman" w:hAnsi="Times New Roman"/>
        </w:rPr>
        <w:t xml:space="preserve">rogram operated by the Bonneville Power Administration.  The rates for these schedules are identical to the rates for Schedules 11, 21, 31, and 47, respectively, except for the Residential </w:t>
      </w:r>
      <w:r w:rsidRPr="00892413">
        <w:rPr>
          <w:rFonts w:ascii="Times New Roman" w:hAnsi="Times New Roman"/>
        </w:rPr>
        <w:t xml:space="preserve">Exchange rate credit.  </w:t>
      </w:r>
    </w:p>
    <w:p w:rsidR="00894CE2" w:rsidRDefault="00DF5CDD" w:rsidP="00711833">
      <w:pPr>
        <w:pStyle w:val="P43"/>
        <w:jc w:val="both"/>
        <w:rPr>
          <w:rFonts w:ascii="Times New Roman" w:hAnsi="Times New Roman"/>
        </w:rPr>
      </w:pPr>
      <w:r>
        <w:rPr>
          <w:rFonts w:ascii="Times New Roman" w:hAnsi="Times New Roman"/>
        </w:rPr>
        <w:t xml:space="preserve">Table </w:t>
      </w:r>
      <w:r w:rsidR="004C3DE4">
        <w:rPr>
          <w:rFonts w:ascii="Times New Roman" w:hAnsi="Times New Roman"/>
        </w:rPr>
        <w:t>4</w:t>
      </w:r>
      <w:r>
        <w:rPr>
          <w:rFonts w:ascii="Times New Roman" w:hAnsi="Times New Roman"/>
        </w:rPr>
        <w:t xml:space="preserve"> below</w:t>
      </w:r>
      <w:r w:rsidR="005540EB" w:rsidRPr="00892413">
        <w:rPr>
          <w:rFonts w:ascii="Times New Roman" w:hAnsi="Times New Roman"/>
        </w:rPr>
        <w:t xml:space="preserve"> shows the type and number of customers served in Washington (as of </w:t>
      </w:r>
      <w:r w:rsidR="000E62F6">
        <w:rPr>
          <w:rFonts w:ascii="Times New Roman" w:hAnsi="Times New Roman"/>
        </w:rPr>
        <w:t>June 2013</w:t>
      </w:r>
      <w:r w:rsidR="005540EB" w:rsidRPr="00892413">
        <w:rPr>
          <w:rFonts w:ascii="Times New Roman" w:hAnsi="Times New Roman"/>
        </w:rPr>
        <w:t>) under each of the service schedules:</w:t>
      </w:r>
    </w:p>
    <w:p w:rsidR="005540EB" w:rsidRPr="00822621" w:rsidRDefault="004C3DE4" w:rsidP="00D34F06">
      <w:pPr>
        <w:pStyle w:val="P43"/>
        <w:ind w:firstLine="0"/>
        <w:jc w:val="both"/>
        <w:rPr>
          <w:rFonts w:ascii="Times New Roman" w:hAnsi="Times New Roman" w:cs="Times New Roman"/>
          <w:b/>
          <w:u w:val="single"/>
        </w:rPr>
      </w:pPr>
      <w:bookmarkStart w:id="0" w:name="OLE_LINK1"/>
      <w:r w:rsidRPr="00822621">
        <w:rPr>
          <w:rFonts w:ascii="Times New Roman" w:hAnsi="Times New Roman" w:cs="Times New Roman"/>
          <w:noProof/>
        </w:rPr>
        <w:drawing>
          <wp:anchor distT="0" distB="0" distL="114300" distR="114300" simplePos="0" relativeHeight="251907584" behindDoc="1" locked="0" layoutInCell="1" allowOverlap="1">
            <wp:simplePos x="0" y="0"/>
            <wp:positionH relativeFrom="column">
              <wp:posOffset>290640</wp:posOffset>
            </wp:positionH>
            <wp:positionV relativeFrom="paragraph">
              <wp:posOffset>257212</wp:posOffset>
            </wp:positionV>
            <wp:extent cx="5116631" cy="1473959"/>
            <wp:effectExtent l="19050" t="0" r="7819" b="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116631" cy="1473959"/>
                    </a:xfrm>
                    <a:prstGeom prst="rect">
                      <a:avLst/>
                    </a:prstGeom>
                    <a:noFill/>
                    <a:ln w="9525">
                      <a:noFill/>
                      <a:miter lim="800000"/>
                      <a:headEnd/>
                      <a:tailEnd/>
                    </a:ln>
                  </pic:spPr>
                </pic:pic>
              </a:graphicData>
            </a:graphic>
          </wp:anchor>
        </w:drawing>
      </w:r>
    </w:p>
    <w:bookmarkEnd w:id="0"/>
    <w:p w:rsidR="00F17ED7" w:rsidRDefault="00F17ED7" w:rsidP="00D34F06">
      <w:pPr>
        <w:pStyle w:val="P127"/>
        <w:jc w:val="both"/>
        <w:outlineLvl w:val="0"/>
        <w:rPr>
          <w:rFonts w:ascii="Times New Roman" w:hAnsi="Times New Roman" w:cs="Times New Roman"/>
        </w:rPr>
      </w:pPr>
    </w:p>
    <w:p w:rsidR="00F17ED7" w:rsidRDefault="00F17ED7" w:rsidP="00D34F06">
      <w:pPr>
        <w:pStyle w:val="P127"/>
        <w:jc w:val="both"/>
        <w:outlineLvl w:val="0"/>
        <w:rPr>
          <w:rFonts w:ascii="Times New Roman" w:hAnsi="Times New Roman" w:cs="Times New Roman"/>
        </w:rPr>
      </w:pPr>
    </w:p>
    <w:p w:rsidR="00F17ED7" w:rsidRDefault="00F17ED7" w:rsidP="00D34F06">
      <w:pPr>
        <w:pStyle w:val="P127"/>
        <w:jc w:val="both"/>
        <w:outlineLvl w:val="0"/>
        <w:rPr>
          <w:rFonts w:ascii="Times New Roman" w:hAnsi="Times New Roman" w:cs="Times New Roman"/>
        </w:rPr>
      </w:pPr>
    </w:p>
    <w:p w:rsidR="00C95E6C" w:rsidRDefault="00C95E6C" w:rsidP="00D34F06">
      <w:pPr>
        <w:autoSpaceDE/>
        <w:autoSpaceDN/>
        <w:spacing w:line="480" w:lineRule="auto"/>
      </w:pPr>
    </w:p>
    <w:p w:rsidR="004C3DE4" w:rsidRDefault="004C3DE4" w:rsidP="00D34F06">
      <w:pPr>
        <w:autoSpaceDE/>
        <w:autoSpaceDN/>
        <w:spacing w:line="480" w:lineRule="auto"/>
        <w:rPr>
          <w:b/>
          <w:szCs w:val="20"/>
          <w:u w:val="single"/>
        </w:rPr>
      </w:pPr>
    </w:p>
    <w:p w:rsidR="005540EB" w:rsidRPr="005540EB" w:rsidRDefault="005540EB" w:rsidP="00D34F06">
      <w:pPr>
        <w:pStyle w:val="P127"/>
        <w:jc w:val="both"/>
        <w:outlineLvl w:val="0"/>
        <w:rPr>
          <w:rFonts w:ascii="Times New Roman" w:hAnsi="Times New Roman" w:cs="Times New Roman"/>
        </w:rPr>
      </w:pPr>
      <w:r w:rsidRPr="005540EB">
        <w:rPr>
          <w:rFonts w:ascii="Times New Roman" w:hAnsi="Times New Roman" w:cs="Times New Roman"/>
        </w:rPr>
        <w:t>Proposed Electric Rate Spread</w:t>
      </w:r>
    </w:p>
    <w:p w:rsidR="005540EB" w:rsidRPr="005540EB" w:rsidRDefault="005540EB" w:rsidP="00711833">
      <w:pPr>
        <w:pStyle w:val="P158"/>
        <w:numPr>
          <w:ilvl w:val="0"/>
          <w:numId w:val="11"/>
        </w:numPr>
        <w:tabs>
          <w:tab w:val="clear" w:pos="1230"/>
          <w:tab w:val="num" w:pos="1440"/>
        </w:tabs>
        <w:ind w:left="0" w:firstLine="720"/>
        <w:jc w:val="both"/>
        <w:rPr>
          <w:rFonts w:ascii="Times New Roman" w:hAnsi="Times New Roman" w:cs="Times New Roman"/>
        </w:rPr>
      </w:pPr>
      <w:r w:rsidRPr="005540EB">
        <w:rPr>
          <w:rStyle w:val="T11"/>
          <w:rFonts w:ascii="Times New Roman" w:hAnsi="Times New Roman" w:cs="Times New Roman"/>
        </w:rPr>
        <w:t xml:space="preserve">How does the Company propose to spread the total general revenue </w:t>
      </w:r>
      <w:r w:rsidRPr="005540EB">
        <w:rPr>
          <w:rStyle w:val="T11"/>
          <w:rFonts w:ascii="Times New Roman" w:hAnsi="Times New Roman" w:cs="Times New Roman"/>
        </w:rPr>
        <w:lastRenderedPageBreak/>
        <w:t xml:space="preserve">increase </w:t>
      </w:r>
      <w:r w:rsidRPr="00081958">
        <w:rPr>
          <w:rStyle w:val="T11"/>
          <w:rFonts w:ascii="Times New Roman" w:hAnsi="Times New Roman" w:cs="Times New Roman"/>
        </w:rPr>
        <w:t>request of $</w:t>
      </w:r>
      <w:r w:rsidR="002B3375">
        <w:rPr>
          <w:rStyle w:val="T11"/>
          <w:rFonts w:ascii="Times New Roman" w:hAnsi="Times New Roman" w:cs="Times New Roman"/>
        </w:rPr>
        <w:t>18,201</w:t>
      </w:r>
      <w:r w:rsidR="005C4F7B">
        <w:rPr>
          <w:rStyle w:val="T11"/>
          <w:rFonts w:ascii="Times New Roman" w:hAnsi="Times New Roman" w:cs="Times New Roman"/>
        </w:rPr>
        <w:t>,000</w:t>
      </w:r>
      <w:r w:rsidRPr="00081958">
        <w:rPr>
          <w:rStyle w:val="T11"/>
          <w:rFonts w:ascii="Times New Roman" w:hAnsi="Times New Roman" w:cs="Times New Roman"/>
        </w:rPr>
        <w:t xml:space="preserve"> among</w:t>
      </w:r>
      <w:r w:rsidRPr="005540EB">
        <w:rPr>
          <w:rStyle w:val="T11"/>
          <w:rFonts w:ascii="Times New Roman" w:hAnsi="Times New Roman" w:cs="Times New Roman"/>
        </w:rPr>
        <w:t xml:space="preserve"> its various rate schedules?</w:t>
      </w:r>
    </w:p>
    <w:p w:rsidR="00C95E6C" w:rsidRPr="00C95E6C" w:rsidRDefault="005540EB" w:rsidP="00C95E6C">
      <w:pPr>
        <w:pStyle w:val="P166"/>
        <w:numPr>
          <w:ilvl w:val="0"/>
          <w:numId w:val="28"/>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The </w:t>
      </w:r>
      <w:r w:rsidRPr="002B3375">
        <w:rPr>
          <w:rFonts w:ascii="Times New Roman" w:hAnsi="Times New Roman" w:cs="Times New Roman"/>
        </w:rPr>
        <w:t xml:space="preserve">Company is proposing that the overall requested revenue increase be spread on </w:t>
      </w:r>
      <w:r w:rsidR="00C372CC" w:rsidRPr="002B3375">
        <w:rPr>
          <w:rFonts w:ascii="Times New Roman" w:hAnsi="Times New Roman" w:cs="Times New Roman"/>
        </w:rPr>
        <w:t>a uniform percentage basis:</w:t>
      </w:r>
    </w:p>
    <w:p w:rsidR="005540EB" w:rsidRDefault="00C95E6C" w:rsidP="00C95E6C">
      <w:pPr>
        <w:pStyle w:val="P166"/>
        <w:jc w:val="both"/>
        <w:rPr>
          <w:rFonts w:ascii="Times New Roman" w:hAnsi="Times New Roman" w:cs="Times New Roman"/>
        </w:rPr>
      </w:pPr>
      <w:r>
        <w:rPr>
          <w:rFonts w:ascii="Times New Roman" w:hAnsi="Times New Roman" w:cs="Times New Roman"/>
          <w:noProof/>
        </w:rPr>
        <w:drawing>
          <wp:anchor distT="0" distB="0" distL="114300" distR="114300" simplePos="0" relativeHeight="251908608" behindDoc="1" locked="0" layoutInCell="1" allowOverlap="1">
            <wp:simplePos x="0" y="0"/>
            <wp:positionH relativeFrom="column">
              <wp:posOffset>91440</wp:posOffset>
            </wp:positionH>
            <wp:positionV relativeFrom="paragraph">
              <wp:posOffset>-63500</wp:posOffset>
            </wp:positionV>
            <wp:extent cx="5951220" cy="2159635"/>
            <wp:effectExtent l="19050" t="0" r="0" b="0"/>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951220" cy="2159635"/>
                    </a:xfrm>
                    <a:prstGeom prst="rect">
                      <a:avLst/>
                    </a:prstGeom>
                    <a:noFill/>
                    <a:ln w="9525">
                      <a:noFill/>
                      <a:miter lim="800000"/>
                      <a:headEnd/>
                      <a:tailEnd/>
                    </a:ln>
                  </pic:spPr>
                </pic:pic>
              </a:graphicData>
            </a:graphic>
          </wp:anchor>
        </w:drawing>
      </w:r>
    </w:p>
    <w:p w:rsidR="004C3DE4" w:rsidRDefault="004C3DE4" w:rsidP="004C3DE4">
      <w:pPr>
        <w:pStyle w:val="P166"/>
        <w:jc w:val="both"/>
        <w:rPr>
          <w:rFonts w:ascii="Times New Roman" w:hAnsi="Times New Roman" w:cs="Times New Roman"/>
        </w:rPr>
      </w:pPr>
    </w:p>
    <w:p w:rsidR="004C3DE4" w:rsidRPr="002B3375" w:rsidRDefault="004C3DE4" w:rsidP="004C3DE4">
      <w:pPr>
        <w:pStyle w:val="P166"/>
        <w:jc w:val="both"/>
        <w:rPr>
          <w:rFonts w:ascii="Times New Roman" w:hAnsi="Times New Roman" w:cs="Times New Roman"/>
        </w:rPr>
      </w:pPr>
    </w:p>
    <w:p w:rsidR="005540EB" w:rsidRPr="005540EB" w:rsidRDefault="005540EB"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5540EB" w:rsidRPr="0021578E" w:rsidRDefault="005540EB" w:rsidP="00711833">
      <w:pPr>
        <w:pStyle w:val="P85"/>
        <w:jc w:val="both"/>
        <w:rPr>
          <w:rFonts w:ascii="Times New Roman" w:hAnsi="Times New Roman" w:cs="Times New Roman"/>
        </w:rPr>
      </w:pPr>
      <w:r w:rsidRPr="005540EB">
        <w:rPr>
          <w:rFonts w:ascii="Times New Roman" w:hAnsi="Times New Roman" w:cs="Times New Roman"/>
        </w:rPr>
        <w:t>T</w:t>
      </w:r>
      <w:r w:rsidRPr="004C1B9A">
        <w:rPr>
          <w:rFonts w:ascii="Times New Roman" w:hAnsi="Times New Roman" w:cs="Times New Roman"/>
        </w:rPr>
        <w:t xml:space="preserve">his </w:t>
      </w:r>
      <w:r w:rsidRPr="0021578E">
        <w:rPr>
          <w:rFonts w:ascii="Times New Roman" w:hAnsi="Times New Roman" w:cs="Times New Roman"/>
        </w:rPr>
        <w:t xml:space="preserve">information is shown </w:t>
      </w:r>
      <w:r w:rsidR="001D224A" w:rsidRPr="0021578E">
        <w:rPr>
          <w:rFonts w:ascii="Times New Roman" w:hAnsi="Times New Roman" w:cs="Times New Roman"/>
        </w:rPr>
        <w:t>with more</w:t>
      </w:r>
      <w:r w:rsidRPr="0021578E">
        <w:rPr>
          <w:rFonts w:ascii="Times New Roman" w:hAnsi="Times New Roman" w:cs="Times New Roman"/>
        </w:rPr>
        <w:t xml:space="preserve"> detail on Page 1 of Exhibit No._</w:t>
      </w:r>
      <w:r w:rsidR="0043473F" w:rsidRPr="0021578E">
        <w:rPr>
          <w:rFonts w:ascii="Times New Roman" w:hAnsi="Times New Roman" w:cs="Times New Roman"/>
        </w:rPr>
        <w:t>_</w:t>
      </w:r>
      <w:proofErr w:type="gramStart"/>
      <w:r w:rsidR="0043473F" w:rsidRPr="0021578E">
        <w:rPr>
          <w:rFonts w:ascii="Times New Roman" w:hAnsi="Times New Roman" w:cs="Times New Roman"/>
        </w:rPr>
        <w:t>_</w:t>
      </w:r>
      <w:r w:rsidRPr="0021578E">
        <w:rPr>
          <w:rFonts w:ascii="Times New Roman" w:hAnsi="Times New Roman" w:cs="Times New Roman"/>
        </w:rPr>
        <w:t>(</w:t>
      </w:r>
      <w:proofErr w:type="gramEnd"/>
      <w:r w:rsidR="00D8699E" w:rsidRPr="0021578E">
        <w:rPr>
          <w:rFonts w:ascii="Times New Roman" w:hAnsi="Times New Roman" w:cs="Times New Roman"/>
        </w:rPr>
        <w:t>PDE</w:t>
      </w:r>
      <w:r w:rsidRPr="0021578E">
        <w:rPr>
          <w:rFonts w:ascii="Times New Roman" w:hAnsi="Times New Roman" w:cs="Times New Roman"/>
        </w:rPr>
        <w:t xml:space="preserve">-4). </w:t>
      </w:r>
    </w:p>
    <w:p w:rsidR="005540EB" w:rsidRPr="0021578E" w:rsidRDefault="00894CE2" w:rsidP="0012369E">
      <w:pPr>
        <w:pStyle w:val="P172"/>
        <w:numPr>
          <w:ilvl w:val="0"/>
          <w:numId w:val="14"/>
        </w:numPr>
        <w:tabs>
          <w:tab w:val="clear" w:pos="1260"/>
          <w:tab w:val="left" w:pos="1440"/>
        </w:tabs>
        <w:ind w:left="0" w:firstLine="720"/>
        <w:jc w:val="both"/>
        <w:rPr>
          <w:rFonts w:ascii="Times New Roman" w:hAnsi="Times New Roman" w:cs="Times New Roman"/>
        </w:rPr>
      </w:pPr>
      <w:r w:rsidRPr="0021578E">
        <w:rPr>
          <w:rStyle w:val="T11"/>
          <w:rFonts w:ascii="Times New Roman" w:hAnsi="Times New Roman" w:cs="Times New Roman"/>
        </w:rPr>
        <w:t>What rationale did the C</w:t>
      </w:r>
      <w:r w:rsidR="005540EB" w:rsidRPr="0021578E">
        <w:rPr>
          <w:rStyle w:val="T11"/>
          <w:rFonts w:ascii="Times New Roman" w:hAnsi="Times New Roman" w:cs="Times New Roman"/>
        </w:rPr>
        <w:t>ompany use in developing the proposed general increase by rate schedule?</w:t>
      </w:r>
    </w:p>
    <w:p w:rsidR="00733A66" w:rsidRDefault="002B3375" w:rsidP="0012369E">
      <w:pPr>
        <w:pStyle w:val="P179"/>
        <w:tabs>
          <w:tab w:val="clear" w:pos="1260"/>
          <w:tab w:val="left" w:pos="1440"/>
        </w:tabs>
        <w:ind w:left="0" w:firstLine="720"/>
        <w:jc w:val="both"/>
        <w:rPr>
          <w:rFonts w:ascii="Times New Roman" w:hAnsi="Times New Roman" w:cs="Times New Roman"/>
          <w:b w:val="0"/>
        </w:rPr>
      </w:pPr>
      <w:r w:rsidRPr="002B3375">
        <w:rPr>
          <w:rFonts w:ascii="Times New Roman" w:hAnsi="Times New Roman" w:cs="Times New Roman"/>
          <w:b w:val="0"/>
        </w:rPr>
        <w:t>A.</w:t>
      </w:r>
      <w:r w:rsidRPr="002B3375">
        <w:rPr>
          <w:rFonts w:ascii="Times New Roman" w:hAnsi="Times New Roman" w:cs="Times New Roman"/>
          <w:b w:val="0"/>
        </w:rPr>
        <w:tab/>
      </w:r>
      <w:r>
        <w:rPr>
          <w:rFonts w:ascii="Times New Roman" w:hAnsi="Times New Roman" w:cs="Times New Roman"/>
          <w:b w:val="0"/>
        </w:rPr>
        <w:t>The</w:t>
      </w:r>
      <w:r w:rsidRPr="002B3375">
        <w:rPr>
          <w:rFonts w:ascii="Times New Roman" w:hAnsi="Times New Roman" w:cs="Times New Roman"/>
          <w:b w:val="0"/>
        </w:rPr>
        <w:t xml:space="preserve"> Company believes that the results of the cost of service study (sponsored by </w:t>
      </w:r>
      <w:r w:rsidR="007C7911">
        <w:rPr>
          <w:rFonts w:ascii="Times New Roman" w:hAnsi="Times New Roman" w:cs="Times New Roman"/>
          <w:b w:val="0"/>
        </w:rPr>
        <w:t xml:space="preserve">Company witness </w:t>
      </w:r>
      <w:r w:rsidRPr="002B3375">
        <w:rPr>
          <w:rFonts w:ascii="Times New Roman" w:hAnsi="Times New Roman" w:cs="Times New Roman"/>
          <w:b w:val="0"/>
        </w:rPr>
        <w:t xml:space="preserve">Ms. Knox) </w:t>
      </w:r>
      <w:r w:rsidR="004C3DE4">
        <w:rPr>
          <w:rFonts w:ascii="Times New Roman" w:hAnsi="Times New Roman" w:cs="Times New Roman"/>
          <w:b w:val="0"/>
        </w:rPr>
        <w:t>sh</w:t>
      </w:r>
      <w:r w:rsidRPr="002B3375">
        <w:rPr>
          <w:rFonts w:ascii="Times New Roman" w:hAnsi="Times New Roman" w:cs="Times New Roman"/>
          <w:b w:val="0"/>
        </w:rPr>
        <w:t>ould be used as a guide to spread the g</w:t>
      </w:r>
      <w:r>
        <w:rPr>
          <w:rFonts w:ascii="Times New Roman" w:hAnsi="Times New Roman" w:cs="Times New Roman"/>
          <w:b w:val="0"/>
        </w:rPr>
        <w:t>eneral increase. The Company also reviewed the results of the Company’s cost of service study from its original filing in its 2012 general rate case</w:t>
      </w:r>
      <w:r w:rsidR="00677B7B">
        <w:rPr>
          <w:rFonts w:ascii="Times New Roman" w:hAnsi="Times New Roman" w:cs="Times New Roman"/>
          <w:b w:val="0"/>
        </w:rPr>
        <w:t xml:space="preserve"> (updated for the final approved retail revenue credit</w:t>
      </w:r>
      <w:r w:rsidR="00651416">
        <w:rPr>
          <w:rFonts w:ascii="Times New Roman" w:hAnsi="Times New Roman" w:cs="Times New Roman"/>
          <w:b w:val="0"/>
        </w:rPr>
        <w:t xml:space="preserve"> rate determination assumptions</w:t>
      </w:r>
      <w:r w:rsidR="00677B7B">
        <w:rPr>
          <w:rFonts w:ascii="Times New Roman" w:hAnsi="Times New Roman" w:cs="Times New Roman"/>
          <w:b w:val="0"/>
        </w:rPr>
        <w:t>)</w:t>
      </w:r>
      <w:r>
        <w:rPr>
          <w:rFonts w:ascii="Times New Roman" w:hAnsi="Times New Roman" w:cs="Times New Roman"/>
          <w:b w:val="0"/>
        </w:rPr>
        <w:t>, and looked at the impact to the cost of service study results incorporating the 2013</w:t>
      </w:r>
      <w:r w:rsidR="00677B7B">
        <w:rPr>
          <w:rFonts w:ascii="Times New Roman" w:hAnsi="Times New Roman" w:cs="Times New Roman"/>
          <w:b w:val="0"/>
        </w:rPr>
        <w:t xml:space="preserve"> agreed-upon</w:t>
      </w:r>
      <w:r>
        <w:rPr>
          <w:rFonts w:ascii="Times New Roman" w:hAnsi="Times New Roman" w:cs="Times New Roman"/>
          <w:b w:val="0"/>
        </w:rPr>
        <w:t xml:space="preserve"> revenue requirement.  Those </w:t>
      </w:r>
      <w:r w:rsidR="005F4B1C">
        <w:rPr>
          <w:rFonts w:ascii="Times New Roman" w:hAnsi="Times New Roman" w:cs="Times New Roman"/>
          <w:b w:val="0"/>
        </w:rPr>
        <w:t>study results</w:t>
      </w:r>
      <w:r>
        <w:rPr>
          <w:rFonts w:ascii="Times New Roman" w:hAnsi="Times New Roman" w:cs="Times New Roman"/>
          <w:b w:val="0"/>
        </w:rPr>
        <w:t xml:space="preserve"> along with the cost of service study results in this case demonstrate that all rate schedules, with the exception of the Street and Area Lights rate schedule</w:t>
      </w:r>
      <w:r w:rsidR="007C7911">
        <w:rPr>
          <w:rFonts w:ascii="Times New Roman" w:hAnsi="Times New Roman" w:cs="Times New Roman"/>
          <w:b w:val="0"/>
        </w:rPr>
        <w:t>s</w:t>
      </w:r>
      <w:r>
        <w:rPr>
          <w:rFonts w:ascii="Times New Roman" w:hAnsi="Times New Roman" w:cs="Times New Roman"/>
          <w:b w:val="0"/>
        </w:rPr>
        <w:t xml:space="preserve">, have had steady </w:t>
      </w:r>
      <w:r w:rsidRPr="002B3375">
        <w:rPr>
          <w:rFonts w:ascii="Times New Roman" w:hAnsi="Times New Roman" w:cs="Times New Roman"/>
          <w:b w:val="0"/>
        </w:rPr>
        <w:t>movement closer to the overall rate of return (unity).  Therefore, the Company chose to spread the proposed rate increase on a uniform percentage basis</w:t>
      </w:r>
      <w:r>
        <w:rPr>
          <w:rFonts w:ascii="Times New Roman" w:hAnsi="Times New Roman" w:cs="Times New Roman"/>
          <w:b w:val="0"/>
        </w:rPr>
        <w:t xml:space="preserve"> which continues </w:t>
      </w:r>
      <w:r w:rsidR="00733A66">
        <w:rPr>
          <w:rFonts w:ascii="Times New Roman" w:hAnsi="Times New Roman" w:cs="Times New Roman"/>
          <w:b w:val="0"/>
        </w:rPr>
        <w:t>the progress towards unity</w:t>
      </w:r>
      <w:r w:rsidRPr="002B3375">
        <w:rPr>
          <w:rFonts w:ascii="Times New Roman" w:hAnsi="Times New Roman" w:cs="Times New Roman"/>
          <w:b w:val="0"/>
        </w:rPr>
        <w:t xml:space="preserve">.  </w:t>
      </w:r>
    </w:p>
    <w:p w:rsidR="00EB1E66" w:rsidRPr="00822621" w:rsidRDefault="002B3375" w:rsidP="0012369E">
      <w:pPr>
        <w:pStyle w:val="P179"/>
        <w:tabs>
          <w:tab w:val="clear" w:pos="1260"/>
          <w:tab w:val="left" w:pos="1440"/>
        </w:tabs>
        <w:ind w:left="0" w:firstLine="720"/>
        <w:jc w:val="both"/>
        <w:rPr>
          <w:rStyle w:val="T13"/>
          <w:rFonts w:ascii="Times New Roman" w:hAnsi="Times New Roman" w:cs="Times New Roman"/>
          <w:highlight w:val="lightGray"/>
        </w:rPr>
      </w:pPr>
      <w:r w:rsidRPr="002B3375">
        <w:rPr>
          <w:rFonts w:ascii="Times New Roman" w:hAnsi="Times New Roman" w:cs="Times New Roman"/>
          <w:b w:val="0"/>
        </w:rPr>
        <w:lastRenderedPageBreak/>
        <w:t>Table</w:t>
      </w:r>
      <w:r w:rsidR="007C7911">
        <w:rPr>
          <w:rFonts w:ascii="Times New Roman" w:hAnsi="Times New Roman" w:cs="Times New Roman"/>
          <w:b w:val="0"/>
        </w:rPr>
        <w:t xml:space="preserve"> </w:t>
      </w:r>
      <w:r w:rsidR="004C3DE4">
        <w:rPr>
          <w:rFonts w:ascii="Times New Roman" w:hAnsi="Times New Roman" w:cs="Times New Roman"/>
          <w:b w:val="0"/>
        </w:rPr>
        <w:t>6</w:t>
      </w:r>
      <w:r w:rsidRPr="002B3375">
        <w:rPr>
          <w:rFonts w:ascii="Times New Roman" w:hAnsi="Times New Roman" w:cs="Times New Roman"/>
          <w:b w:val="0"/>
        </w:rPr>
        <w:t xml:space="preserve"> below shows the relative rates of return (schedule rate of return divided by overall rate of return) before and after application of the base rate increase on a uniform percentage basis (</w:t>
      </w:r>
      <w:r w:rsidR="00733A66">
        <w:rPr>
          <w:rFonts w:ascii="Times New Roman" w:hAnsi="Times New Roman" w:cs="Times New Roman"/>
          <w:b w:val="0"/>
        </w:rPr>
        <w:t>3.8</w:t>
      </w:r>
      <w:r w:rsidRPr="002B3375">
        <w:rPr>
          <w:rFonts w:ascii="Times New Roman" w:hAnsi="Times New Roman" w:cs="Times New Roman"/>
          <w:b w:val="0"/>
        </w:rPr>
        <w:t>%) to all rate schedules:</w:t>
      </w:r>
    </w:p>
    <w:p w:rsidR="00944313" w:rsidRPr="00822621" w:rsidRDefault="004C3DE4" w:rsidP="00CA7EA4">
      <w:pPr>
        <w:pStyle w:val="P179"/>
        <w:ind w:left="0" w:firstLine="360"/>
        <w:jc w:val="both"/>
        <w:rPr>
          <w:rFonts w:ascii="Times New Roman" w:hAnsi="Times New Roman" w:cs="Times New Roman"/>
          <w:b w:val="0"/>
          <w:highlight w:val="lightGray"/>
        </w:rPr>
      </w:pPr>
      <w:r w:rsidRPr="00822621">
        <w:rPr>
          <w:rFonts w:ascii="Times New Roman" w:hAnsi="Times New Roman" w:cs="Times New Roman"/>
          <w:noProof/>
        </w:rPr>
        <w:drawing>
          <wp:anchor distT="0" distB="0" distL="114300" distR="114300" simplePos="0" relativeHeight="251909632" behindDoc="1" locked="0" layoutInCell="1" allowOverlap="1">
            <wp:simplePos x="0" y="0"/>
            <wp:positionH relativeFrom="column">
              <wp:posOffset>468061</wp:posOffset>
            </wp:positionH>
            <wp:positionV relativeFrom="paragraph">
              <wp:posOffset>2879</wp:posOffset>
            </wp:positionV>
            <wp:extent cx="5044270" cy="2210937"/>
            <wp:effectExtent l="19050" t="0" r="3980" b="0"/>
            <wp:wrapNone/>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044270" cy="2210937"/>
                    </a:xfrm>
                    <a:prstGeom prst="rect">
                      <a:avLst/>
                    </a:prstGeom>
                    <a:noFill/>
                    <a:ln w="9525">
                      <a:noFill/>
                      <a:miter lim="800000"/>
                      <a:headEnd/>
                      <a:tailEnd/>
                    </a:ln>
                  </pic:spPr>
                </pic:pic>
              </a:graphicData>
            </a:graphic>
          </wp:anchor>
        </w:drawing>
      </w:r>
    </w:p>
    <w:p w:rsidR="004C3DE4" w:rsidRPr="00822621" w:rsidRDefault="004C3DE4" w:rsidP="00CA7EA4">
      <w:pPr>
        <w:pStyle w:val="P179"/>
        <w:ind w:left="0" w:firstLine="360"/>
        <w:jc w:val="both"/>
        <w:rPr>
          <w:rFonts w:ascii="Times New Roman" w:hAnsi="Times New Roman" w:cs="Times New Roman"/>
          <w:b w:val="0"/>
          <w:highlight w:val="lightGray"/>
        </w:rPr>
      </w:pPr>
    </w:p>
    <w:p w:rsidR="004C3DE4" w:rsidRPr="00822621" w:rsidRDefault="004C3DE4" w:rsidP="00CA7EA4">
      <w:pPr>
        <w:pStyle w:val="P179"/>
        <w:ind w:left="0" w:firstLine="360"/>
        <w:jc w:val="both"/>
        <w:rPr>
          <w:rFonts w:ascii="Times New Roman" w:hAnsi="Times New Roman" w:cs="Times New Roman"/>
          <w:b w:val="0"/>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5540EB" w:rsidRPr="004C1B9A" w:rsidRDefault="00894CE2" w:rsidP="00711833">
      <w:pPr>
        <w:pStyle w:val="P167"/>
        <w:tabs>
          <w:tab w:val="clear" w:pos="720"/>
          <w:tab w:val="left" w:pos="900"/>
        </w:tabs>
        <w:ind w:left="0" w:firstLine="720"/>
        <w:jc w:val="both"/>
        <w:rPr>
          <w:rStyle w:val="T11"/>
          <w:rFonts w:ascii="Times New Roman" w:hAnsi="Times New Roman" w:cs="Times New Roman"/>
          <w:b w:val="0"/>
        </w:rPr>
      </w:pPr>
      <w:r w:rsidRPr="0027643C">
        <w:rPr>
          <w:rFonts w:ascii="Times New Roman" w:hAnsi="Times New Roman" w:cs="Times New Roman"/>
        </w:rPr>
        <w:t>As shown, for those s</w:t>
      </w:r>
      <w:r w:rsidR="005540EB" w:rsidRPr="0027643C">
        <w:rPr>
          <w:rFonts w:ascii="Times New Roman" w:hAnsi="Times New Roman" w:cs="Times New Roman"/>
        </w:rPr>
        <w:t xml:space="preserve">chedules where the present rates are substantially above or below the cost of service, the proposed </w:t>
      </w:r>
      <w:r w:rsidR="001D224A" w:rsidRPr="0027643C">
        <w:rPr>
          <w:rFonts w:ascii="Times New Roman" w:hAnsi="Times New Roman" w:cs="Times New Roman"/>
        </w:rPr>
        <w:t>rate spread provides some</w:t>
      </w:r>
      <w:r w:rsidR="005540EB" w:rsidRPr="0027643C">
        <w:rPr>
          <w:rFonts w:ascii="Times New Roman" w:hAnsi="Times New Roman" w:cs="Times New Roman"/>
        </w:rPr>
        <w:t xml:space="preserve"> movement toward</w:t>
      </w:r>
      <w:r w:rsidR="001D224A" w:rsidRPr="0027643C">
        <w:rPr>
          <w:rFonts w:ascii="Times New Roman" w:hAnsi="Times New Roman" w:cs="Times New Roman"/>
        </w:rPr>
        <w:t>s</w:t>
      </w:r>
      <w:r w:rsidR="005540EB" w:rsidRPr="0027643C">
        <w:rPr>
          <w:rFonts w:ascii="Times New Roman" w:hAnsi="Times New Roman" w:cs="Times New Roman"/>
        </w:rPr>
        <w:t xml:space="preserve"> unity (1.00).</w:t>
      </w:r>
      <w:r w:rsidR="005540EB" w:rsidRPr="004C1B9A">
        <w:rPr>
          <w:rFonts w:ascii="Times New Roman" w:hAnsi="Times New Roman" w:cs="Times New Roman"/>
        </w:rPr>
        <w:t xml:space="preserve">  </w:t>
      </w:r>
    </w:p>
    <w:p w:rsidR="000926C0" w:rsidRDefault="000926C0" w:rsidP="00711833">
      <w:pPr>
        <w:pStyle w:val="P252"/>
        <w:jc w:val="both"/>
        <w:outlineLvl w:val="0"/>
        <w:rPr>
          <w:rFonts w:ascii="Times New Roman" w:hAnsi="Times New Roman" w:cs="Times New Roman"/>
        </w:rPr>
      </w:pPr>
    </w:p>
    <w:p w:rsidR="005540EB" w:rsidRPr="005F4B1C" w:rsidRDefault="005540EB" w:rsidP="00711833">
      <w:pPr>
        <w:pStyle w:val="P252"/>
        <w:jc w:val="both"/>
        <w:outlineLvl w:val="0"/>
        <w:rPr>
          <w:rFonts w:ascii="Times New Roman" w:hAnsi="Times New Roman" w:cs="Times New Roman"/>
        </w:rPr>
      </w:pPr>
      <w:r w:rsidRPr="005F4B1C">
        <w:rPr>
          <w:rFonts w:ascii="Times New Roman" w:hAnsi="Times New Roman" w:cs="Times New Roman"/>
        </w:rPr>
        <w:t>Proposed Rate Design</w:t>
      </w:r>
    </w:p>
    <w:p w:rsidR="005540EB" w:rsidRPr="005F4B1C" w:rsidRDefault="005540EB" w:rsidP="00711833">
      <w:pPr>
        <w:pStyle w:val="P132"/>
        <w:numPr>
          <w:ilvl w:val="0"/>
          <w:numId w:val="24"/>
        </w:numPr>
        <w:tabs>
          <w:tab w:val="clear" w:pos="1590"/>
          <w:tab w:val="num" w:pos="1440"/>
        </w:tabs>
        <w:ind w:left="0" w:firstLine="720"/>
        <w:jc w:val="both"/>
        <w:rPr>
          <w:rFonts w:ascii="Times New Roman" w:hAnsi="Times New Roman" w:cs="Times New Roman"/>
        </w:rPr>
      </w:pPr>
      <w:r w:rsidRPr="005F4B1C">
        <w:rPr>
          <w:rFonts w:ascii="Times New Roman" w:hAnsi="Times New Roman" w:cs="Times New Roman"/>
        </w:rPr>
        <w:t>Where in your Exhibit do you show a comparison of the present and proposed rates within each of the Company’s electric service schedules?</w:t>
      </w:r>
    </w:p>
    <w:p w:rsidR="005540EB" w:rsidRPr="005F4B1C" w:rsidRDefault="005540EB" w:rsidP="00711833">
      <w:pPr>
        <w:pStyle w:val="P159"/>
        <w:numPr>
          <w:ilvl w:val="0"/>
          <w:numId w:val="23"/>
        </w:numPr>
        <w:tabs>
          <w:tab w:val="clear" w:pos="1590"/>
          <w:tab w:val="num" w:pos="1440"/>
        </w:tabs>
        <w:ind w:left="0" w:firstLine="720"/>
        <w:jc w:val="both"/>
        <w:rPr>
          <w:rFonts w:ascii="Times New Roman" w:hAnsi="Times New Roman" w:cs="Times New Roman"/>
        </w:rPr>
      </w:pPr>
      <w:r w:rsidRPr="005F4B1C">
        <w:rPr>
          <w:rFonts w:ascii="Times New Roman" w:hAnsi="Times New Roman" w:cs="Times New Roman"/>
        </w:rPr>
        <w:t>Page 3 of Exhibit No._</w:t>
      </w:r>
      <w:r w:rsidR="000A6BBC" w:rsidRPr="005F4B1C">
        <w:rPr>
          <w:rFonts w:ascii="Times New Roman" w:hAnsi="Times New Roman" w:cs="Times New Roman"/>
        </w:rPr>
        <w:t>_</w:t>
      </w:r>
      <w:proofErr w:type="gramStart"/>
      <w:r w:rsidR="000A6BBC" w:rsidRPr="005F4B1C">
        <w:rPr>
          <w:rFonts w:ascii="Times New Roman" w:hAnsi="Times New Roman" w:cs="Times New Roman"/>
        </w:rPr>
        <w:t>_</w:t>
      </w:r>
      <w:r w:rsidRPr="005F4B1C">
        <w:rPr>
          <w:rFonts w:ascii="Times New Roman" w:hAnsi="Times New Roman" w:cs="Times New Roman"/>
        </w:rPr>
        <w:t>(</w:t>
      </w:r>
      <w:proofErr w:type="gramEnd"/>
      <w:r w:rsidR="00D8699E" w:rsidRPr="005F4B1C">
        <w:rPr>
          <w:rFonts w:ascii="Times New Roman" w:hAnsi="Times New Roman" w:cs="Times New Roman"/>
        </w:rPr>
        <w:t>PDE</w:t>
      </w:r>
      <w:r w:rsidRPr="005F4B1C">
        <w:rPr>
          <w:rFonts w:ascii="Times New Roman" w:hAnsi="Times New Roman" w:cs="Times New Roman"/>
        </w:rPr>
        <w:t xml:space="preserve">-4) shows a comparison of the present and proposed rates within each of the schedules, which I will describe below.  Column (a) shows the rate/billing components under each of the schedules, column (b) shows the base tariff rates within each of the schedules, column (c) shows the present rate adjustments applicable under each schedule, and column (d) shows the present billing rates.  Column (e) shows the proposed general rate increase to the rate components within </w:t>
      </w:r>
      <w:r w:rsidR="001020C1" w:rsidRPr="005F4B1C">
        <w:rPr>
          <w:rFonts w:ascii="Times New Roman" w:hAnsi="Times New Roman" w:cs="Times New Roman"/>
        </w:rPr>
        <w:t>each of the schedules</w:t>
      </w:r>
      <w:r w:rsidR="005F4B1C">
        <w:rPr>
          <w:rFonts w:ascii="Times New Roman" w:hAnsi="Times New Roman" w:cs="Times New Roman"/>
        </w:rPr>
        <w:t xml:space="preserve">.  Column </w:t>
      </w:r>
      <w:r w:rsidR="005F4B1C">
        <w:rPr>
          <w:rFonts w:ascii="Times New Roman" w:hAnsi="Times New Roman" w:cs="Times New Roman"/>
        </w:rPr>
        <w:lastRenderedPageBreak/>
        <w:t xml:space="preserve">(f) shows the proposed REC Revenue </w:t>
      </w:r>
      <w:r w:rsidR="008C2923">
        <w:rPr>
          <w:rFonts w:ascii="Times New Roman" w:hAnsi="Times New Roman" w:cs="Times New Roman"/>
        </w:rPr>
        <w:t xml:space="preserve">Mechanism </w:t>
      </w:r>
      <w:r w:rsidR="005F4B1C">
        <w:rPr>
          <w:rFonts w:ascii="Times New Roman" w:hAnsi="Times New Roman" w:cs="Times New Roman"/>
        </w:rPr>
        <w:t xml:space="preserve">rebate, and column (g) shows the expiration of the 2014 ERM and BPA credits.  Finally, </w:t>
      </w:r>
      <w:r w:rsidR="001020C1" w:rsidRPr="005F4B1C">
        <w:rPr>
          <w:rFonts w:ascii="Times New Roman" w:hAnsi="Times New Roman" w:cs="Times New Roman"/>
        </w:rPr>
        <w:t>column (</w:t>
      </w:r>
      <w:r w:rsidR="005F4B1C">
        <w:rPr>
          <w:rFonts w:ascii="Times New Roman" w:hAnsi="Times New Roman" w:cs="Times New Roman"/>
        </w:rPr>
        <w:t>h</w:t>
      </w:r>
      <w:r w:rsidRPr="005F4B1C">
        <w:rPr>
          <w:rFonts w:ascii="Times New Roman" w:hAnsi="Times New Roman" w:cs="Times New Roman"/>
        </w:rPr>
        <w:t xml:space="preserve">) shows the proposed </w:t>
      </w:r>
      <w:r w:rsidRPr="005F4B1C">
        <w:rPr>
          <w:rStyle w:val="T5"/>
          <w:rFonts w:ascii="Times New Roman" w:hAnsi="Times New Roman" w:cs="Times New Roman"/>
        </w:rPr>
        <w:t>billing</w:t>
      </w:r>
      <w:r w:rsidRPr="005F4B1C">
        <w:rPr>
          <w:rFonts w:ascii="Times New Roman" w:hAnsi="Times New Roman" w:cs="Times New Roman"/>
        </w:rPr>
        <w:t xml:space="preserve"> rates and </w:t>
      </w:r>
      <w:r w:rsidR="005F4B1C">
        <w:rPr>
          <w:rFonts w:ascii="Times New Roman" w:hAnsi="Times New Roman" w:cs="Times New Roman"/>
        </w:rPr>
        <w:t>column</w:t>
      </w:r>
      <w:r w:rsidRPr="005F4B1C">
        <w:rPr>
          <w:rFonts w:ascii="Times New Roman" w:hAnsi="Times New Roman" w:cs="Times New Roman"/>
        </w:rPr>
        <w:t xml:space="preserve"> (</w:t>
      </w:r>
      <w:proofErr w:type="spellStart"/>
      <w:r w:rsidR="005F4B1C">
        <w:rPr>
          <w:rFonts w:ascii="Times New Roman" w:hAnsi="Times New Roman" w:cs="Times New Roman"/>
        </w:rPr>
        <w:t>i</w:t>
      </w:r>
      <w:proofErr w:type="spellEnd"/>
      <w:r w:rsidRPr="005F4B1C">
        <w:rPr>
          <w:rFonts w:ascii="Times New Roman" w:hAnsi="Times New Roman" w:cs="Times New Roman"/>
        </w:rPr>
        <w:t xml:space="preserve">) shows the proposed </w:t>
      </w:r>
      <w:r w:rsidRPr="005F4B1C">
        <w:rPr>
          <w:rStyle w:val="T5"/>
          <w:rFonts w:ascii="Times New Roman" w:hAnsi="Times New Roman" w:cs="Times New Roman"/>
        </w:rPr>
        <w:t>base tariff</w:t>
      </w:r>
      <w:r w:rsidRPr="005F4B1C">
        <w:rPr>
          <w:rFonts w:ascii="Times New Roman" w:hAnsi="Times New Roman" w:cs="Times New Roman"/>
        </w:rPr>
        <w:t xml:space="preserve"> rates.</w:t>
      </w:r>
      <w:r w:rsidR="00BA66BC" w:rsidRPr="005F4B1C">
        <w:rPr>
          <w:rFonts w:ascii="Times New Roman" w:hAnsi="Times New Roman" w:cs="Times New Roman"/>
        </w:rPr>
        <w:t xml:space="preserve">  </w:t>
      </w:r>
    </w:p>
    <w:p w:rsidR="005540EB" w:rsidRPr="005540EB" w:rsidRDefault="00CA7EA4" w:rsidP="00CA7EA4">
      <w:pPr>
        <w:pStyle w:val="P134"/>
        <w:tabs>
          <w:tab w:val="clear" w:pos="720"/>
        </w:tabs>
        <w:ind w:left="0" w:firstLine="720"/>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r>
      <w:r w:rsidR="005540EB" w:rsidRPr="005540EB">
        <w:rPr>
          <w:rFonts w:ascii="Times New Roman" w:hAnsi="Times New Roman" w:cs="Times New Roman"/>
        </w:rPr>
        <w:t>Is the Company proposing any changes to the existing rate structures within its rate schedules?</w:t>
      </w:r>
    </w:p>
    <w:p w:rsidR="005540EB" w:rsidRPr="005540EB" w:rsidRDefault="00CA7EA4" w:rsidP="00CA7EA4">
      <w:pPr>
        <w:pStyle w:val="P177"/>
        <w:ind w:left="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No, it is not. </w:t>
      </w:r>
    </w:p>
    <w:p w:rsidR="005540EB" w:rsidRPr="005540EB" w:rsidRDefault="00CA7EA4" w:rsidP="00CA7EA4">
      <w:pPr>
        <w:pStyle w:val="P134"/>
        <w:tabs>
          <w:tab w:val="clear" w:pos="720"/>
        </w:tabs>
        <w:ind w:left="0" w:firstLine="720"/>
        <w:jc w:val="both"/>
        <w:rPr>
          <w:rFonts w:ascii="Times New Roman" w:hAnsi="Times New Roman" w:cs="Times New Roman"/>
        </w:rPr>
      </w:pPr>
      <w:r w:rsidRPr="00CA7EA4">
        <w:rPr>
          <w:rFonts w:ascii="Times New Roman" w:hAnsi="Times New Roman" w:cs="Times New Roman"/>
        </w:rPr>
        <w:t>Q.</w:t>
      </w:r>
      <w:r w:rsidRPr="00CA7EA4">
        <w:rPr>
          <w:rFonts w:ascii="Times New Roman" w:hAnsi="Times New Roman" w:cs="Times New Roman"/>
        </w:rPr>
        <w:tab/>
      </w:r>
      <w:r w:rsidR="005540EB" w:rsidRPr="005540EB">
        <w:rPr>
          <w:rFonts w:ascii="Times New Roman" w:hAnsi="Times New Roman" w:cs="Times New Roman"/>
        </w:rPr>
        <w:t>Turning to Residential Service Schedule 1, could you please describe the present rate structure under this schedule?</w:t>
      </w:r>
    </w:p>
    <w:p w:rsidR="005540EB" w:rsidRPr="005540EB" w:rsidRDefault="00CA7EA4" w:rsidP="00CA7EA4">
      <w:pPr>
        <w:pStyle w:val="P160"/>
        <w:tabs>
          <w:tab w:val="clear" w:pos="72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Yes.  Residential Schedule 1 has a present customer </w:t>
      </w:r>
      <w:r w:rsidR="00916D0F">
        <w:rPr>
          <w:rFonts w:ascii="Times New Roman" w:hAnsi="Times New Roman" w:cs="Times New Roman"/>
        </w:rPr>
        <w:t>or</w:t>
      </w:r>
      <w:r w:rsidR="005540EB" w:rsidRPr="005540EB">
        <w:rPr>
          <w:rFonts w:ascii="Times New Roman" w:hAnsi="Times New Roman" w:cs="Times New Roman"/>
        </w:rPr>
        <w:t xml:space="preserve"> basic charge of $</w:t>
      </w:r>
      <w:r w:rsidR="00BC4EEE">
        <w:rPr>
          <w:rFonts w:ascii="Times New Roman" w:hAnsi="Times New Roman" w:cs="Times New Roman"/>
        </w:rPr>
        <w:t>8</w:t>
      </w:r>
      <w:r w:rsidR="00D23716">
        <w:rPr>
          <w:rFonts w:ascii="Times New Roman" w:hAnsi="Times New Roman" w:cs="Times New Roman"/>
        </w:rPr>
        <w:t>.00</w:t>
      </w:r>
      <w:r w:rsidR="005540EB" w:rsidRPr="005540EB">
        <w:rPr>
          <w:rFonts w:ascii="Times New Roman" w:hAnsi="Times New Roman" w:cs="Times New Roman"/>
        </w:rPr>
        <w:t xml:space="preserve"> per month and three energy rate blocks:  0-</w:t>
      </w:r>
      <w:r w:rsidR="00BC4EEE">
        <w:rPr>
          <w:rFonts w:ascii="Times New Roman" w:hAnsi="Times New Roman" w:cs="Times New Roman"/>
        </w:rPr>
        <w:t>8</w:t>
      </w:r>
      <w:r w:rsidR="005540EB" w:rsidRPr="005540EB">
        <w:rPr>
          <w:rFonts w:ascii="Times New Roman" w:hAnsi="Times New Roman" w:cs="Times New Roman"/>
        </w:rPr>
        <w:t xml:space="preserve">00 kWhs, </w:t>
      </w:r>
      <w:r w:rsidR="00BC4EEE">
        <w:rPr>
          <w:rFonts w:ascii="Times New Roman" w:hAnsi="Times New Roman" w:cs="Times New Roman"/>
        </w:rPr>
        <w:t>8</w:t>
      </w:r>
      <w:r w:rsidR="005540EB" w:rsidRPr="005540EB">
        <w:rPr>
          <w:rFonts w:ascii="Times New Roman" w:hAnsi="Times New Roman" w:cs="Times New Roman"/>
        </w:rPr>
        <w:t>01-1,</w:t>
      </w:r>
      <w:r w:rsidR="00BC4EEE">
        <w:rPr>
          <w:rFonts w:ascii="Times New Roman" w:hAnsi="Times New Roman" w:cs="Times New Roman"/>
        </w:rPr>
        <w:t>5</w:t>
      </w:r>
      <w:r w:rsidR="005540EB" w:rsidRPr="005540EB">
        <w:rPr>
          <w:rFonts w:ascii="Times New Roman" w:hAnsi="Times New Roman" w:cs="Times New Roman"/>
        </w:rPr>
        <w:t>00 kWhs and over 1,</w:t>
      </w:r>
      <w:r w:rsidR="00BC4EEE">
        <w:rPr>
          <w:rFonts w:ascii="Times New Roman" w:hAnsi="Times New Roman" w:cs="Times New Roman"/>
        </w:rPr>
        <w:t>5</w:t>
      </w:r>
      <w:r w:rsidR="005540EB" w:rsidRPr="005540EB">
        <w:rPr>
          <w:rFonts w:ascii="Times New Roman" w:hAnsi="Times New Roman" w:cs="Times New Roman"/>
        </w:rPr>
        <w:t xml:space="preserve">00 kWhs.  The present base tariff rate for the first </w:t>
      </w:r>
      <w:r w:rsidR="005C4F7B">
        <w:rPr>
          <w:rFonts w:ascii="Times New Roman" w:hAnsi="Times New Roman" w:cs="Times New Roman"/>
        </w:rPr>
        <w:t>8</w:t>
      </w:r>
      <w:r w:rsidR="005540EB" w:rsidRPr="005540EB">
        <w:rPr>
          <w:rFonts w:ascii="Times New Roman" w:hAnsi="Times New Roman" w:cs="Times New Roman"/>
        </w:rPr>
        <w:t xml:space="preserve">00 kWhs per month is </w:t>
      </w:r>
      <w:r w:rsidR="005C4F7B">
        <w:rPr>
          <w:rFonts w:ascii="Times New Roman" w:hAnsi="Times New Roman" w:cs="Times New Roman"/>
        </w:rPr>
        <w:t>7.369</w:t>
      </w:r>
      <w:r w:rsidR="005540EB" w:rsidRPr="005540EB">
        <w:rPr>
          <w:rFonts w:ascii="Times New Roman" w:hAnsi="Times New Roman" w:cs="Times New Roman"/>
        </w:rPr>
        <w:t xml:space="preserve"> cents per kWh, </w:t>
      </w:r>
      <w:r w:rsidR="00C372CC">
        <w:rPr>
          <w:rFonts w:ascii="Times New Roman" w:hAnsi="Times New Roman" w:cs="Times New Roman"/>
        </w:rPr>
        <w:t>8.</w:t>
      </w:r>
      <w:r w:rsidR="005C4F7B">
        <w:rPr>
          <w:rFonts w:ascii="Times New Roman" w:hAnsi="Times New Roman" w:cs="Times New Roman"/>
        </w:rPr>
        <w:t>573</w:t>
      </w:r>
      <w:r w:rsidR="005540EB" w:rsidRPr="005540EB">
        <w:rPr>
          <w:rFonts w:ascii="Times New Roman" w:hAnsi="Times New Roman" w:cs="Times New Roman"/>
        </w:rPr>
        <w:t xml:space="preserve"> cents per kWh for the next 700 kWhs and </w:t>
      </w:r>
      <w:r w:rsidR="005C4F7B">
        <w:rPr>
          <w:rFonts w:ascii="Times New Roman" w:hAnsi="Times New Roman" w:cs="Times New Roman"/>
        </w:rPr>
        <w:t>10.050</w:t>
      </w:r>
      <w:r w:rsidR="005540EB" w:rsidRPr="005540EB">
        <w:rPr>
          <w:rFonts w:ascii="Times New Roman" w:hAnsi="Times New Roman" w:cs="Times New Roman"/>
        </w:rPr>
        <w:t xml:space="preserve"> cents for all kWhs over 1</w:t>
      </w:r>
      <w:r w:rsidR="005C4F7B">
        <w:rPr>
          <w:rFonts w:ascii="Times New Roman" w:hAnsi="Times New Roman" w:cs="Times New Roman"/>
        </w:rPr>
        <w:t>,5</w:t>
      </w:r>
      <w:r w:rsidR="005540EB" w:rsidRPr="005540EB">
        <w:rPr>
          <w:rFonts w:ascii="Times New Roman" w:hAnsi="Times New Roman" w:cs="Times New Roman"/>
        </w:rPr>
        <w:t xml:space="preserve">00.  </w:t>
      </w:r>
    </w:p>
    <w:p w:rsidR="005540EB" w:rsidRPr="00443386" w:rsidRDefault="00CA7EA4" w:rsidP="00CA7EA4">
      <w:pPr>
        <w:pStyle w:val="P134"/>
        <w:tabs>
          <w:tab w:val="clear" w:pos="720"/>
        </w:tabs>
        <w:ind w:left="0" w:firstLine="720"/>
        <w:jc w:val="both"/>
        <w:rPr>
          <w:rFonts w:ascii="Times New Roman" w:hAnsi="Times New Roman" w:cs="Times New Roman"/>
        </w:rPr>
      </w:pPr>
      <w:r w:rsidRPr="00D74916">
        <w:rPr>
          <w:rFonts w:ascii="Times New Roman" w:hAnsi="Times New Roman" w:cs="Times New Roman"/>
        </w:rPr>
        <w:t>Q.</w:t>
      </w:r>
      <w:r w:rsidRPr="00D74916">
        <w:rPr>
          <w:rFonts w:ascii="Times New Roman" w:hAnsi="Times New Roman" w:cs="Times New Roman"/>
        </w:rPr>
        <w:tab/>
      </w:r>
      <w:r w:rsidR="005540EB" w:rsidRPr="00D74916">
        <w:rPr>
          <w:rFonts w:ascii="Times New Roman" w:hAnsi="Times New Roman" w:cs="Times New Roman"/>
        </w:rPr>
        <w:t xml:space="preserve">How does the Company </w:t>
      </w:r>
      <w:proofErr w:type="gramStart"/>
      <w:r w:rsidR="005540EB" w:rsidRPr="00D74916">
        <w:rPr>
          <w:rFonts w:ascii="Times New Roman" w:hAnsi="Times New Roman" w:cs="Times New Roman"/>
        </w:rPr>
        <w:t>propose</w:t>
      </w:r>
      <w:proofErr w:type="gramEnd"/>
      <w:r w:rsidR="005540EB" w:rsidRPr="00D74916">
        <w:rPr>
          <w:rFonts w:ascii="Times New Roman" w:hAnsi="Times New Roman" w:cs="Times New Roman"/>
        </w:rPr>
        <w:t xml:space="preserve"> to spread the proposed revenue increase </w:t>
      </w:r>
      <w:r w:rsidR="005540EB" w:rsidRPr="00443386">
        <w:rPr>
          <w:rFonts w:ascii="Times New Roman" w:hAnsi="Times New Roman" w:cs="Times New Roman"/>
        </w:rPr>
        <w:t>of $</w:t>
      </w:r>
      <w:r w:rsidR="005F4B1C">
        <w:rPr>
          <w:rFonts w:ascii="Times New Roman" w:hAnsi="Times New Roman" w:cs="Times New Roman"/>
        </w:rPr>
        <w:t>7,844</w:t>
      </w:r>
      <w:r w:rsidR="006E11B2" w:rsidRPr="00443386">
        <w:rPr>
          <w:rFonts w:ascii="Times New Roman" w:hAnsi="Times New Roman" w:cs="Times New Roman"/>
        </w:rPr>
        <w:t>,000</w:t>
      </w:r>
      <w:r w:rsidR="005540EB" w:rsidRPr="00443386">
        <w:rPr>
          <w:rFonts w:ascii="Times New Roman" w:hAnsi="Times New Roman" w:cs="Times New Roman"/>
        </w:rPr>
        <w:t xml:space="preserve"> to Schedule 1?</w:t>
      </w:r>
    </w:p>
    <w:p w:rsidR="006A2F58" w:rsidRPr="006A2F58" w:rsidRDefault="006A2F58" w:rsidP="00CA7EA4">
      <w:pPr>
        <w:pStyle w:val="P161"/>
        <w:ind w:left="0" w:firstLine="720"/>
        <w:jc w:val="both"/>
        <w:rPr>
          <w:rFonts w:ascii="Times New Roman" w:hAnsi="Times New Roman" w:cs="Times New Roman"/>
          <w:b/>
        </w:rPr>
      </w:pPr>
      <w:r w:rsidRPr="00443386">
        <w:rPr>
          <w:rFonts w:ascii="Times New Roman" w:hAnsi="Times New Roman" w:cs="Times New Roman"/>
        </w:rPr>
        <w:t xml:space="preserve">A.  </w:t>
      </w:r>
      <w:r w:rsidRPr="00443386">
        <w:rPr>
          <w:rFonts w:ascii="Times New Roman" w:hAnsi="Times New Roman" w:cs="Times New Roman"/>
        </w:rPr>
        <w:tab/>
      </w:r>
      <w:r w:rsidR="00C372CC" w:rsidRPr="00443386">
        <w:rPr>
          <w:rFonts w:ascii="Times New Roman" w:hAnsi="Times New Roman" w:cs="Times New Roman"/>
        </w:rPr>
        <w:t>The Company is proposing to increase the basic charge from $</w:t>
      </w:r>
      <w:r w:rsidR="005C4F7B">
        <w:rPr>
          <w:rFonts w:ascii="Times New Roman" w:hAnsi="Times New Roman" w:cs="Times New Roman"/>
        </w:rPr>
        <w:t>8</w:t>
      </w:r>
      <w:r w:rsidR="00C372CC" w:rsidRPr="00443386">
        <w:rPr>
          <w:rFonts w:ascii="Times New Roman" w:hAnsi="Times New Roman" w:cs="Times New Roman"/>
        </w:rPr>
        <w:t>.00 to $1</w:t>
      </w:r>
      <w:r w:rsidR="005C4F7B">
        <w:rPr>
          <w:rFonts w:ascii="Times New Roman" w:hAnsi="Times New Roman" w:cs="Times New Roman"/>
        </w:rPr>
        <w:t>5</w:t>
      </w:r>
      <w:r w:rsidR="00C372CC" w:rsidRPr="00443386">
        <w:rPr>
          <w:rFonts w:ascii="Times New Roman" w:hAnsi="Times New Roman" w:cs="Times New Roman"/>
        </w:rPr>
        <w:t xml:space="preserve">.00 per month, and is </w:t>
      </w:r>
      <w:r w:rsidR="00C372CC" w:rsidRPr="005F4B1C">
        <w:rPr>
          <w:rFonts w:ascii="Times New Roman" w:hAnsi="Times New Roman" w:cs="Times New Roman"/>
        </w:rPr>
        <w:t>proposing to</w:t>
      </w:r>
      <w:r w:rsidR="005540EB" w:rsidRPr="005F4B1C">
        <w:rPr>
          <w:rFonts w:ascii="Times New Roman" w:hAnsi="Times New Roman" w:cs="Times New Roman"/>
        </w:rPr>
        <w:t xml:space="preserve"> </w:t>
      </w:r>
      <w:r w:rsidR="005F4B1C" w:rsidRPr="005F4B1C">
        <w:rPr>
          <w:rFonts w:ascii="Times New Roman" w:hAnsi="Times New Roman" w:cs="Times New Roman"/>
        </w:rPr>
        <w:t>dec</w:t>
      </w:r>
      <w:r w:rsidR="005540EB" w:rsidRPr="005F4B1C">
        <w:rPr>
          <w:rFonts w:ascii="Times New Roman" w:hAnsi="Times New Roman" w:cs="Times New Roman"/>
        </w:rPr>
        <w:t xml:space="preserve">rease the energy rate for </w:t>
      </w:r>
      <w:r w:rsidR="00C372CC" w:rsidRPr="005F4B1C">
        <w:rPr>
          <w:rFonts w:ascii="Times New Roman" w:hAnsi="Times New Roman" w:cs="Times New Roman"/>
        </w:rPr>
        <w:t xml:space="preserve">all three </w:t>
      </w:r>
      <w:r w:rsidR="005540EB" w:rsidRPr="005F4B1C">
        <w:rPr>
          <w:rFonts w:ascii="Times New Roman" w:hAnsi="Times New Roman" w:cs="Times New Roman"/>
        </w:rPr>
        <w:t>block</w:t>
      </w:r>
      <w:r w:rsidR="00C372CC" w:rsidRPr="005F4B1C">
        <w:rPr>
          <w:rFonts w:ascii="Times New Roman" w:hAnsi="Times New Roman" w:cs="Times New Roman"/>
        </w:rPr>
        <w:t>s</w:t>
      </w:r>
      <w:r w:rsidR="005540EB" w:rsidRPr="005F4B1C">
        <w:rPr>
          <w:rFonts w:ascii="Times New Roman" w:hAnsi="Times New Roman" w:cs="Times New Roman"/>
        </w:rPr>
        <w:t xml:space="preserve"> </w:t>
      </w:r>
      <w:r w:rsidR="00C372CC" w:rsidRPr="005F4B1C">
        <w:rPr>
          <w:rFonts w:ascii="Times New Roman" w:hAnsi="Times New Roman" w:cs="Times New Roman"/>
        </w:rPr>
        <w:t>by</w:t>
      </w:r>
      <w:r w:rsidR="005540EB" w:rsidRPr="005F4B1C">
        <w:rPr>
          <w:rFonts w:ascii="Times New Roman" w:hAnsi="Times New Roman" w:cs="Times New Roman"/>
        </w:rPr>
        <w:t xml:space="preserve"> </w:t>
      </w:r>
      <w:r w:rsidR="005F4B1C" w:rsidRPr="005F4B1C">
        <w:rPr>
          <w:rFonts w:ascii="Times New Roman" w:hAnsi="Times New Roman" w:cs="Times New Roman"/>
        </w:rPr>
        <w:t>approximately 4.9 percent</w:t>
      </w:r>
      <w:r w:rsidR="005540EB" w:rsidRPr="005F4B1C">
        <w:rPr>
          <w:rFonts w:ascii="Times New Roman" w:hAnsi="Times New Roman" w:cs="Times New Roman"/>
        </w:rPr>
        <w:t>.</w:t>
      </w:r>
      <w:r w:rsidR="005540EB" w:rsidRPr="005540EB">
        <w:rPr>
          <w:rFonts w:ascii="Times New Roman" w:hAnsi="Times New Roman" w:cs="Times New Roman"/>
        </w:rPr>
        <w:t xml:space="preserve">    </w:t>
      </w:r>
    </w:p>
    <w:p w:rsidR="006A2F58" w:rsidRPr="006A2F58" w:rsidRDefault="006A2F58" w:rsidP="00CA7EA4">
      <w:pPr>
        <w:pStyle w:val="P161"/>
        <w:tabs>
          <w:tab w:val="num" w:pos="1440"/>
        </w:tabs>
        <w:ind w:left="0" w:firstLine="720"/>
        <w:jc w:val="both"/>
        <w:rPr>
          <w:rFonts w:ascii="Times New Roman" w:hAnsi="Times New Roman" w:cs="Times New Roman"/>
          <w:b/>
        </w:rPr>
      </w:pPr>
      <w:r w:rsidRPr="006A2F58">
        <w:rPr>
          <w:rFonts w:ascii="Times New Roman" w:hAnsi="Times New Roman" w:cs="Times New Roman"/>
          <w:b/>
        </w:rPr>
        <w:t xml:space="preserve">Q. </w:t>
      </w:r>
      <w:r w:rsidRPr="006A2F58">
        <w:rPr>
          <w:rFonts w:ascii="Times New Roman" w:hAnsi="Times New Roman" w:cs="Times New Roman"/>
          <w:b/>
        </w:rPr>
        <w:tab/>
        <w:t xml:space="preserve">Why is the Company proposing to increase the monthly customer </w:t>
      </w:r>
      <w:proofErr w:type="gramStart"/>
      <w:r w:rsidRPr="006A2F58">
        <w:rPr>
          <w:rFonts w:ascii="Times New Roman" w:hAnsi="Times New Roman" w:cs="Times New Roman"/>
          <w:b/>
        </w:rPr>
        <w:t>charge</w:t>
      </w:r>
      <w:proofErr w:type="gramEnd"/>
      <w:r w:rsidRPr="006A2F58">
        <w:rPr>
          <w:rFonts w:ascii="Times New Roman" w:hAnsi="Times New Roman" w:cs="Times New Roman"/>
          <w:b/>
        </w:rPr>
        <w:t xml:space="preserve"> from $</w:t>
      </w:r>
      <w:r w:rsidR="005C4F7B">
        <w:rPr>
          <w:rFonts w:ascii="Times New Roman" w:hAnsi="Times New Roman" w:cs="Times New Roman"/>
          <w:b/>
        </w:rPr>
        <w:t>8</w:t>
      </w:r>
      <w:r w:rsidRPr="006A2F58">
        <w:rPr>
          <w:rFonts w:ascii="Times New Roman" w:hAnsi="Times New Roman" w:cs="Times New Roman"/>
          <w:b/>
        </w:rPr>
        <w:t>.00 to $</w:t>
      </w:r>
      <w:r w:rsidR="00C372CC">
        <w:rPr>
          <w:rFonts w:ascii="Times New Roman" w:hAnsi="Times New Roman" w:cs="Times New Roman"/>
          <w:b/>
        </w:rPr>
        <w:t>1</w:t>
      </w:r>
      <w:r w:rsidR="005C4F7B">
        <w:rPr>
          <w:rFonts w:ascii="Times New Roman" w:hAnsi="Times New Roman" w:cs="Times New Roman"/>
          <w:b/>
        </w:rPr>
        <w:t>5</w:t>
      </w:r>
      <w:r w:rsidRPr="006A2F58">
        <w:rPr>
          <w:rFonts w:ascii="Times New Roman" w:hAnsi="Times New Roman" w:cs="Times New Roman"/>
          <w:b/>
        </w:rPr>
        <w:t>.00 per month?</w:t>
      </w:r>
    </w:p>
    <w:p w:rsidR="00D34F06" w:rsidRDefault="006A2F58" w:rsidP="00D34F06">
      <w:pPr>
        <w:spacing w:line="480" w:lineRule="auto"/>
        <w:ind w:firstLine="720"/>
        <w:jc w:val="both"/>
        <w:rPr>
          <w:kern w:val="24"/>
        </w:rPr>
      </w:pPr>
      <w:r w:rsidRPr="005540EB">
        <w:rPr>
          <w:kern w:val="24"/>
        </w:rPr>
        <w:t xml:space="preserve">A. </w:t>
      </w:r>
      <w:r w:rsidRPr="005540EB">
        <w:rPr>
          <w:kern w:val="24"/>
        </w:rPr>
        <w:tab/>
        <w:t xml:space="preserve">A substantial portion of the Company's costs are fixed and do not vary with the amount of energy used by customers.  As reflected in this filing, the </w:t>
      </w:r>
      <w:r w:rsidR="004C3DE4">
        <w:rPr>
          <w:kern w:val="24"/>
        </w:rPr>
        <w:t xml:space="preserve">fixed </w:t>
      </w:r>
      <w:r w:rsidRPr="005540EB">
        <w:rPr>
          <w:kern w:val="24"/>
        </w:rPr>
        <w:t>cost</w:t>
      </w:r>
      <w:r w:rsidR="004C3DE4">
        <w:rPr>
          <w:kern w:val="24"/>
        </w:rPr>
        <w:t>s</w:t>
      </w:r>
      <w:r w:rsidRPr="005540EB">
        <w:rPr>
          <w:kern w:val="24"/>
        </w:rPr>
        <w:t xml:space="preserve"> of operating and maintaining our electric system </w:t>
      </w:r>
      <w:r w:rsidR="004C3DE4">
        <w:rPr>
          <w:kern w:val="24"/>
        </w:rPr>
        <w:t>are</w:t>
      </w:r>
      <w:r w:rsidRPr="005540EB">
        <w:rPr>
          <w:kern w:val="24"/>
        </w:rPr>
        <w:t xml:space="preserve"> increasing.  The Company believes it is important that rates </w:t>
      </w:r>
      <w:r>
        <w:rPr>
          <w:kern w:val="24"/>
        </w:rPr>
        <w:t xml:space="preserve">better </w:t>
      </w:r>
      <w:r w:rsidRPr="005540EB">
        <w:rPr>
          <w:kern w:val="24"/>
        </w:rPr>
        <w:t xml:space="preserve">reflect these increasing costs </w:t>
      </w:r>
      <w:r>
        <w:rPr>
          <w:kern w:val="24"/>
        </w:rPr>
        <w:t>to serve customers</w:t>
      </w:r>
      <w:r w:rsidRPr="005540EB">
        <w:rPr>
          <w:kern w:val="24"/>
        </w:rPr>
        <w:t xml:space="preserve">.  </w:t>
      </w:r>
      <w:r>
        <w:rPr>
          <w:kern w:val="24"/>
        </w:rPr>
        <w:t>Later</w:t>
      </w:r>
      <w:r w:rsidR="004C3DE4">
        <w:rPr>
          <w:kern w:val="24"/>
        </w:rPr>
        <w:t xml:space="preserve"> in Section </w:t>
      </w:r>
      <w:r w:rsidR="004C3DE4">
        <w:rPr>
          <w:kern w:val="24"/>
        </w:rPr>
        <w:lastRenderedPageBreak/>
        <w:t xml:space="preserve">V. of </w:t>
      </w:r>
      <w:r>
        <w:rPr>
          <w:kern w:val="24"/>
        </w:rPr>
        <w:t>my testimony I will provide greater detail as to why the Company believes the monthly customer charge should increase by $</w:t>
      </w:r>
      <w:r w:rsidR="005C4F7B">
        <w:rPr>
          <w:kern w:val="24"/>
        </w:rPr>
        <w:t>7</w:t>
      </w:r>
      <w:r>
        <w:rPr>
          <w:kern w:val="24"/>
        </w:rPr>
        <w:t>.00 per month.</w:t>
      </w:r>
    </w:p>
    <w:p w:rsidR="005540EB" w:rsidRPr="005540EB" w:rsidRDefault="005540EB" w:rsidP="00711833">
      <w:pPr>
        <w:pStyle w:val="P136"/>
        <w:numPr>
          <w:ilvl w:val="0"/>
          <w:numId w:val="17"/>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average monthly electric usage for a residential customer, and what is the effect of the proposed increase on a customer’s bill?</w:t>
      </w:r>
    </w:p>
    <w:p w:rsidR="005540EB" w:rsidRPr="006456F0" w:rsidRDefault="005F4B1C" w:rsidP="005F4B1C">
      <w:pPr>
        <w:pStyle w:val="P156"/>
        <w:tabs>
          <w:tab w:val="clear" w:pos="90"/>
          <w:tab w:val="clear" w:pos="720"/>
          <w:tab w:val="left" w:pos="144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443386">
        <w:rPr>
          <w:rFonts w:ascii="Times New Roman" w:hAnsi="Times New Roman" w:cs="Times New Roman"/>
        </w:rPr>
        <w:t xml:space="preserve">The average monthly usage for a residential customer is </w:t>
      </w:r>
      <w:r w:rsidR="000D7C83" w:rsidRPr="00443386">
        <w:rPr>
          <w:rFonts w:ascii="Times New Roman" w:hAnsi="Times New Roman" w:cs="Times New Roman"/>
        </w:rPr>
        <w:t xml:space="preserve">approximately </w:t>
      </w:r>
      <w:r w:rsidR="006456F0">
        <w:rPr>
          <w:rFonts w:ascii="Times New Roman" w:hAnsi="Times New Roman" w:cs="Times New Roman"/>
        </w:rPr>
        <w:t xml:space="preserve">965 </w:t>
      </w:r>
      <w:r w:rsidR="005540EB" w:rsidRPr="00443386">
        <w:rPr>
          <w:rFonts w:ascii="Times New Roman" w:hAnsi="Times New Roman" w:cs="Times New Roman"/>
        </w:rPr>
        <w:t xml:space="preserve">kWhs.  Based on the </w:t>
      </w:r>
      <w:r w:rsidR="005540EB" w:rsidRPr="006456F0">
        <w:rPr>
          <w:rFonts w:ascii="Times New Roman" w:hAnsi="Times New Roman" w:cs="Times New Roman"/>
        </w:rPr>
        <w:t xml:space="preserve">proposed </w:t>
      </w:r>
      <w:r w:rsidR="00221538" w:rsidRPr="006456F0">
        <w:rPr>
          <w:rFonts w:ascii="Times New Roman" w:hAnsi="Times New Roman" w:cs="Times New Roman"/>
        </w:rPr>
        <w:t xml:space="preserve">billing rate </w:t>
      </w:r>
      <w:r w:rsidR="005540EB" w:rsidRPr="006456F0">
        <w:rPr>
          <w:rFonts w:ascii="Times New Roman" w:hAnsi="Times New Roman" w:cs="Times New Roman"/>
        </w:rPr>
        <w:t>increase</w:t>
      </w:r>
      <w:r w:rsidR="00D74916" w:rsidRPr="006456F0">
        <w:rPr>
          <w:rFonts w:ascii="Times New Roman" w:hAnsi="Times New Roman" w:cs="Times New Roman"/>
        </w:rPr>
        <w:t xml:space="preserve">, including the </w:t>
      </w:r>
      <w:r w:rsidR="005369BB">
        <w:rPr>
          <w:rFonts w:ascii="Times New Roman" w:hAnsi="Times New Roman" w:cs="Times New Roman"/>
        </w:rPr>
        <w:t xml:space="preserve">proposed </w:t>
      </w:r>
      <w:r w:rsidR="005C4F7B" w:rsidRPr="006456F0">
        <w:rPr>
          <w:rFonts w:ascii="Times New Roman" w:hAnsi="Times New Roman" w:cs="Times New Roman"/>
        </w:rPr>
        <w:t xml:space="preserve">REC </w:t>
      </w:r>
      <w:r w:rsidR="005369BB">
        <w:rPr>
          <w:rFonts w:ascii="Times New Roman" w:hAnsi="Times New Roman" w:cs="Times New Roman"/>
        </w:rPr>
        <w:t>Revenue r</w:t>
      </w:r>
      <w:r w:rsidR="005C4F7B" w:rsidRPr="006456F0">
        <w:rPr>
          <w:rFonts w:ascii="Times New Roman" w:hAnsi="Times New Roman" w:cs="Times New Roman"/>
        </w:rPr>
        <w:t>eba</w:t>
      </w:r>
      <w:r w:rsidR="005369BB">
        <w:rPr>
          <w:rFonts w:ascii="Times New Roman" w:hAnsi="Times New Roman" w:cs="Times New Roman"/>
        </w:rPr>
        <w:t>t</w:t>
      </w:r>
      <w:r w:rsidR="005C4F7B" w:rsidRPr="006456F0">
        <w:rPr>
          <w:rFonts w:ascii="Times New Roman" w:hAnsi="Times New Roman" w:cs="Times New Roman"/>
        </w:rPr>
        <w:t>e</w:t>
      </w:r>
      <w:r w:rsidR="005540EB" w:rsidRPr="006456F0">
        <w:rPr>
          <w:rFonts w:ascii="Times New Roman" w:hAnsi="Times New Roman" w:cs="Times New Roman"/>
        </w:rPr>
        <w:t>, the average monthly increase would be $</w:t>
      </w:r>
      <w:r w:rsidR="006456F0" w:rsidRPr="006456F0">
        <w:rPr>
          <w:rFonts w:ascii="Times New Roman" w:hAnsi="Times New Roman" w:cs="Times New Roman"/>
        </w:rPr>
        <w:t>4.89</w:t>
      </w:r>
      <w:r w:rsidR="005540EB" w:rsidRPr="006456F0">
        <w:rPr>
          <w:rFonts w:ascii="Times New Roman" w:hAnsi="Times New Roman" w:cs="Times New Roman"/>
        </w:rPr>
        <w:t xml:space="preserve">, or </w:t>
      </w:r>
      <w:r w:rsidR="00443386" w:rsidRPr="006456F0">
        <w:rPr>
          <w:rFonts w:ascii="Times New Roman" w:hAnsi="Times New Roman" w:cs="Times New Roman"/>
        </w:rPr>
        <w:t>6.</w:t>
      </w:r>
      <w:r w:rsidR="006456F0" w:rsidRPr="006456F0">
        <w:rPr>
          <w:rFonts w:ascii="Times New Roman" w:hAnsi="Times New Roman" w:cs="Times New Roman"/>
        </w:rPr>
        <w:t>1</w:t>
      </w:r>
      <w:r w:rsidR="005540EB" w:rsidRPr="006456F0">
        <w:rPr>
          <w:rFonts w:ascii="Times New Roman" w:hAnsi="Times New Roman" w:cs="Times New Roman"/>
        </w:rPr>
        <w:t xml:space="preserve">%.  </w:t>
      </w:r>
      <w:r w:rsidR="006456F0" w:rsidRPr="006456F0">
        <w:rPr>
          <w:rFonts w:ascii="Times New Roman" w:hAnsi="Times New Roman" w:cs="Times New Roman"/>
        </w:rPr>
        <w:t>The present bill for 965 kWhs is $80.09 compared to the proposed level of $84.98,</w:t>
      </w:r>
      <w:r w:rsidR="006456F0" w:rsidRPr="00A47B5B">
        <w:rPr>
          <w:rFonts w:ascii="Times New Roman" w:hAnsi="Times New Roman" w:cs="Times New Roman"/>
        </w:rPr>
        <w:t xml:space="preserve"> including all rate adjustments. </w:t>
      </w:r>
    </w:p>
    <w:p w:rsidR="005540EB" w:rsidRPr="005540EB" w:rsidRDefault="005540EB" w:rsidP="00711833">
      <w:pPr>
        <w:pStyle w:val="P137"/>
        <w:numPr>
          <w:ilvl w:val="1"/>
          <w:numId w:val="22"/>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Turning to General Service Schedule 11, </w:t>
      </w:r>
      <w:r w:rsidR="004C3DE4">
        <w:rPr>
          <w:rFonts w:ascii="Times New Roman" w:hAnsi="Times New Roman" w:cs="Times New Roman"/>
        </w:rPr>
        <w:t>w</w:t>
      </w:r>
      <w:r w:rsidRPr="005540EB">
        <w:rPr>
          <w:rFonts w:ascii="Times New Roman" w:hAnsi="Times New Roman" w:cs="Times New Roman"/>
        </w:rPr>
        <w:t xml:space="preserve">ould you please describe the present rate structure and rates under that </w:t>
      </w:r>
      <w:r w:rsidR="001020C1">
        <w:rPr>
          <w:rFonts w:ascii="Times New Roman" w:hAnsi="Times New Roman" w:cs="Times New Roman"/>
        </w:rPr>
        <w:t>s</w:t>
      </w:r>
      <w:r w:rsidRPr="005540EB">
        <w:rPr>
          <w:rFonts w:ascii="Times New Roman" w:hAnsi="Times New Roman" w:cs="Times New Roman"/>
        </w:rPr>
        <w:t>chedule?</w:t>
      </w:r>
    </w:p>
    <w:p w:rsidR="005540EB" w:rsidRPr="005540EB" w:rsidRDefault="005540EB" w:rsidP="00711833">
      <w:pPr>
        <w:pStyle w:val="P162"/>
        <w:numPr>
          <w:ilvl w:val="0"/>
          <w:numId w:val="25"/>
        </w:numPr>
        <w:tabs>
          <w:tab w:val="num" w:pos="1440"/>
        </w:tabs>
        <w:ind w:left="0" w:firstLine="720"/>
        <w:jc w:val="both"/>
        <w:rPr>
          <w:rFonts w:ascii="Times New Roman" w:hAnsi="Times New Roman" w:cs="Times New Roman"/>
        </w:rPr>
      </w:pPr>
      <w:r w:rsidRPr="005540EB">
        <w:rPr>
          <w:rFonts w:ascii="Times New Roman" w:hAnsi="Times New Roman" w:cs="Times New Roman"/>
        </w:rPr>
        <w:t>Yes.  The present rate structure under the schedule includes a monthly customer charge of $</w:t>
      </w:r>
      <w:r w:rsidR="00830886">
        <w:rPr>
          <w:rFonts w:ascii="Times New Roman" w:hAnsi="Times New Roman" w:cs="Times New Roman"/>
        </w:rPr>
        <w:t>1</w:t>
      </w:r>
      <w:r w:rsidR="005C4F7B">
        <w:rPr>
          <w:rFonts w:ascii="Times New Roman" w:hAnsi="Times New Roman" w:cs="Times New Roman"/>
        </w:rPr>
        <w:t>5</w:t>
      </w:r>
      <w:r w:rsidR="00830886">
        <w:rPr>
          <w:rFonts w:ascii="Times New Roman" w:hAnsi="Times New Roman" w:cs="Times New Roman"/>
        </w:rPr>
        <w:t>.00</w:t>
      </w:r>
      <w:r w:rsidRPr="005540EB">
        <w:rPr>
          <w:rFonts w:ascii="Times New Roman" w:hAnsi="Times New Roman" w:cs="Times New Roman"/>
        </w:rPr>
        <w:t xml:space="preserve">, an energy rate of </w:t>
      </w:r>
      <w:r w:rsidR="00221538">
        <w:rPr>
          <w:rFonts w:ascii="Times New Roman" w:hAnsi="Times New Roman" w:cs="Times New Roman"/>
        </w:rPr>
        <w:t>1</w:t>
      </w:r>
      <w:r w:rsidR="005C4F7B">
        <w:rPr>
          <w:rFonts w:ascii="Times New Roman" w:hAnsi="Times New Roman" w:cs="Times New Roman"/>
        </w:rPr>
        <w:t>1.391</w:t>
      </w:r>
      <w:r w:rsidRPr="005540EB">
        <w:rPr>
          <w:rFonts w:ascii="Times New Roman" w:hAnsi="Times New Roman" w:cs="Times New Roman"/>
        </w:rPr>
        <w:t xml:space="preserve"> cents per kWh for all usage </w:t>
      </w:r>
      <w:r w:rsidR="00FE07FB">
        <w:rPr>
          <w:rFonts w:ascii="Times New Roman" w:hAnsi="Times New Roman" w:cs="Times New Roman"/>
        </w:rPr>
        <w:t>up to</w:t>
      </w:r>
      <w:r w:rsidRPr="005540EB">
        <w:rPr>
          <w:rFonts w:ascii="Times New Roman" w:hAnsi="Times New Roman" w:cs="Times New Roman"/>
        </w:rPr>
        <w:t xml:space="preserve"> 3,650 kWhs per month, and an energy rate of </w:t>
      </w:r>
      <w:r w:rsidR="005C4F7B">
        <w:rPr>
          <w:rFonts w:ascii="Times New Roman" w:hAnsi="Times New Roman" w:cs="Times New Roman"/>
        </w:rPr>
        <w:t>8.370</w:t>
      </w:r>
      <w:r w:rsidRPr="005540EB">
        <w:rPr>
          <w:rFonts w:ascii="Times New Roman" w:hAnsi="Times New Roman" w:cs="Times New Roman"/>
        </w:rPr>
        <w:t xml:space="preserve"> cents per kWh for usage over 3,650 kWhs per month.  There is also a demand charge of $</w:t>
      </w:r>
      <w:r w:rsidR="005C4F7B">
        <w:rPr>
          <w:rFonts w:ascii="Times New Roman" w:hAnsi="Times New Roman" w:cs="Times New Roman"/>
        </w:rPr>
        <w:t>6.00</w:t>
      </w:r>
      <w:r w:rsidRPr="005540EB">
        <w:rPr>
          <w:rFonts w:ascii="Times New Roman" w:hAnsi="Times New Roman" w:cs="Times New Roman"/>
        </w:rPr>
        <w:t xml:space="preserve"> per kW for all demand in excess of 20 kW per month.  There is no charge for the first 20 kW of demand.   </w:t>
      </w:r>
    </w:p>
    <w:p w:rsidR="005540EB" w:rsidRPr="005540EB" w:rsidRDefault="00CA7EA4" w:rsidP="00CA7EA4">
      <w:pPr>
        <w:pStyle w:val="P138"/>
        <w:tabs>
          <w:tab w:val="left" w:pos="180"/>
        </w:tabs>
        <w:ind w:left="0" w:firstLine="720"/>
        <w:jc w:val="both"/>
        <w:rPr>
          <w:rFonts w:ascii="Times New Roman" w:hAnsi="Times New Roman" w:cs="Times New Roman"/>
        </w:rPr>
      </w:pPr>
      <w:r>
        <w:rPr>
          <w:rFonts w:ascii="Times New Roman" w:hAnsi="Times New Roman" w:cs="Times New Roman"/>
        </w:rPr>
        <w:t>Q.</w:t>
      </w:r>
      <w:r w:rsidR="00F04603">
        <w:rPr>
          <w:rFonts w:ascii="Times New Roman" w:hAnsi="Times New Roman" w:cs="Times New Roman"/>
        </w:rPr>
        <w:tab/>
      </w:r>
      <w:r w:rsidR="005540EB" w:rsidRPr="00C86EB1">
        <w:rPr>
          <w:rFonts w:ascii="Times New Roman" w:hAnsi="Times New Roman" w:cs="Times New Roman"/>
        </w:rPr>
        <w:t xml:space="preserve">How is the Company proposing to apply the proposed general revenue </w:t>
      </w:r>
      <w:proofErr w:type="gramStart"/>
      <w:r w:rsidR="005540EB" w:rsidRPr="00D74916">
        <w:rPr>
          <w:rFonts w:ascii="Times New Roman" w:hAnsi="Times New Roman" w:cs="Times New Roman"/>
        </w:rPr>
        <w:t>increase</w:t>
      </w:r>
      <w:proofErr w:type="gramEnd"/>
      <w:r w:rsidR="005540EB" w:rsidRPr="00D74916">
        <w:rPr>
          <w:rFonts w:ascii="Times New Roman" w:hAnsi="Times New Roman" w:cs="Times New Roman"/>
        </w:rPr>
        <w:t xml:space="preserve"> of $</w:t>
      </w:r>
      <w:r w:rsidR="003956A9">
        <w:rPr>
          <w:rFonts w:ascii="Times New Roman" w:hAnsi="Times New Roman" w:cs="Times New Roman"/>
        </w:rPr>
        <w:t>2,500,000</w:t>
      </w:r>
      <w:r w:rsidR="005540EB" w:rsidRPr="00D74916">
        <w:rPr>
          <w:rFonts w:ascii="Times New Roman" w:hAnsi="Times New Roman" w:cs="Times New Roman"/>
        </w:rPr>
        <w:t xml:space="preserve"> to the</w:t>
      </w:r>
      <w:r w:rsidR="005540EB" w:rsidRPr="005540EB">
        <w:rPr>
          <w:rFonts w:ascii="Times New Roman" w:hAnsi="Times New Roman" w:cs="Times New Roman"/>
        </w:rPr>
        <w:t xml:space="preserve"> rates under Schedule 11? </w:t>
      </w:r>
    </w:p>
    <w:p w:rsidR="00D34F06" w:rsidRPr="00D34F06" w:rsidRDefault="00F04603" w:rsidP="00D34F06">
      <w:pPr>
        <w:pStyle w:val="P163"/>
        <w:tabs>
          <w:tab w:val="left" w:pos="18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E42AAE">
        <w:rPr>
          <w:rFonts w:ascii="Times New Roman" w:hAnsi="Times New Roman" w:cs="Times New Roman"/>
        </w:rPr>
        <w:t>The Company is proposing that the customer charge be increased by $</w:t>
      </w:r>
      <w:r w:rsidR="00221538">
        <w:rPr>
          <w:rFonts w:ascii="Times New Roman" w:hAnsi="Times New Roman" w:cs="Times New Roman"/>
        </w:rPr>
        <w:t>3</w:t>
      </w:r>
      <w:r w:rsidR="006A2F58" w:rsidRPr="00E42AAE">
        <w:rPr>
          <w:rFonts w:ascii="Times New Roman" w:hAnsi="Times New Roman" w:cs="Times New Roman"/>
        </w:rPr>
        <w:t>.00</w:t>
      </w:r>
      <w:r w:rsidR="005540EB" w:rsidRPr="00E42AAE">
        <w:rPr>
          <w:rFonts w:ascii="Times New Roman" w:hAnsi="Times New Roman" w:cs="Times New Roman"/>
        </w:rPr>
        <w:t>, from $</w:t>
      </w:r>
      <w:r w:rsidR="005C4F7B">
        <w:rPr>
          <w:rFonts w:ascii="Times New Roman" w:hAnsi="Times New Roman" w:cs="Times New Roman"/>
        </w:rPr>
        <w:t>15</w:t>
      </w:r>
      <w:r w:rsidR="00830886" w:rsidRPr="00E42AAE">
        <w:rPr>
          <w:rFonts w:ascii="Times New Roman" w:hAnsi="Times New Roman" w:cs="Times New Roman"/>
        </w:rPr>
        <w:t>.00</w:t>
      </w:r>
      <w:r w:rsidR="005540EB" w:rsidRPr="00E42AAE">
        <w:rPr>
          <w:rFonts w:ascii="Times New Roman" w:hAnsi="Times New Roman" w:cs="Times New Roman"/>
        </w:rPr>
        <w:t xml:space="preserve"> to $</w:t>
      </w:r>
      <w:r w:rsidR="005C4F7B">
        <w:rPr>
          <w:rFonts w:ascii="Times New Roman" w:hAnsi="Times New Roman" w:cs="Times New Roman"/>
        </w:rPr>
        <w:t>18</w:t>
      </w:r>
      <w:r w:rsidR="00AC3ADC" w:rsidRPr="00E42AAE">
        <w:rPr>
          <w:rFonts w:ascii="Times New Roman" w:hAnsi="Times New Roman" w:cs="Times New Roman"/>
        </w:rPr>
        <w:t>.00</w:t>
      </w:r>
      <w:r w:rsidR="005540EB" w:rsidRPr="00E42AAE">
        <w:rPr>
          <w:rFonts w:ascii="Times New Roman" w:hAnsi="Times New Roman" w:cs="Times New Roman"/>
        </w:rPr>
        <w:t xml:space="preserve"> per month</w:t>
      </w:r>
      <w:r w:rsidR="00AC3ADC" w:rsidRPr="00E42AAE">
        <w:rPr>
          <w:rFonts w:ascii="Times New Roman" w:hAnsi="Times New Roman" w:cs="Times New Roman"/>
        </w:rPr>
        <w:t xml:space="preserve">.  In addition, the Company is proposing </w:t>
      </w:r>
      <w:r w:rsidR="005540EB" w:rsidRPr="00E42AAE">
        <w:rPr>
          <w:rFonts w:ascii="Times New Roman" w:hAnsi="Times New Roman" w:cs="Times New Roman"/>
        </w:rPr>
        <w:t>that the demand charge (over 20 kW) be increased $0.</w:t>
      </w:r>
      <w:r w:rsidR="00D74916">
        <w:rPr>
          <w:rFonts w:ascii="Times New Roman" w:hAnsi="Times New Roman" w:cs="Times New Roman"/>
        </w:rPr>
        <w:t>50</w:t>
      </w:r>
      <w:r w:rsidR="005540EB" w:rsidRPr="00E42AAE">
        <w:rPr>
          <w:rFonts w:ascii="Times New Roman" w:hAnsi="Times New Roman" w:cs="Times New Roman"/>
        </w:rPr>
        <w:t xml:space="preserve"> per kW, from $</w:t>
      </w:r>
      <w:r w:rsidR="005C4F7B">
        <w:rPr>
          <w:rFonts w:ascii="Times New Roman" w:hAnsi="Times New Roman" w:cs="Times New Roman"/>
        </w:rPr>
        <w:t>6.00</w:t>
      </w:r>
      <w:r w:rsidR="005540EB" w:rsidRPr="00E42AAE">
        <w:rPr>
          <w:rFonts w:ascii="Times New Roman" w:hAnsi="Times New Roman" w:cs="Times New Roman"/>
        </w:rPr>
        <w:t xml:space="preserve"> to $</w:t>
      </w:r>
      <w:r w:rsidR="00221538">
        <w:rPr>
          <w:rFonts w:ascii="Times New Roman" w:hAnsi="Times New Roman" w:cs="Times New Roman"/>
        </w:rPr>
        <w:t>6.</w:t>
      </w:r>
      <w:r w:rsidR="005C4F7B">
        <w:rPr>
          <w:rFonts w:ascii="Times New Roman" w:hAnsi="Times New Roman" w:cs="Times New Roman"/>
        </w:rPr>
        <w:t>50</w:t>
      </w:r>
      <w:r w:rsidR="005540EB" w:rsidRPr="00E42AAE">
        <w:rPr>
          <w:rFonts w:ascii="Times New Roman" w:hAnsi="Times New Roman" w:cs="Times New Roman"/>
        </w:rPr>
        <w:t xml:space="preserve">. </w:t>
      </w:r>
      <w:r w:rsidR="00E42AAE">
        <w:rPr>
          <w:rFonts w:ascii="Times New Roman" w:hAnsi="Times New Roman" w:cs="Times New Roman"/>
        </w:rPr>
        <w:t xml:space="preserve"> </w:t>
      </w:r>
      <w:r w:rsidR="00221538" w:rsidRPr="005540EB">
        <w:rPr>
          <w:rFonts w:ascii="Times New Roman" w:hAnsi="Times New Roman" w:cs="Times New Roman"/>
        </w:rPr>
        <w:t xml:space="preserve">The remaining revenue increase for the </w:t>
      </w:r>
      <w:r w:rsidR="00221538">
        <w:rPr>
          <w:rFonts w:ascii="Times New Roman" w:hAnsi="Times New Roman" w:cs="Times New Roman"/>
        </w:rPr>
        <w:t>s</w:t>
      </w:r>
      <w:r w:rsidR="00221538" w:rsidRPr="005540EB">
        <w:rPr>
          <w:rFonts w:ascii="Times New Roman" w:hAnsi="Times New Roman" w:cs="Times New Roman"/>
        </w:rPr>
        <w:t xml:space="preserve">chedule is proposed to be recovered through a uniform percentage increase </w:t>
      </w:r>
      <w:r w:rsidR="00221538" w:rsidRPr="003956A9">
        <w:rPr>
          <w:rFonts w:ascii="Times New Roman" w:hAnsi="Times New Roman" w:cs="Times New Roman"/>
        </w:rPr>
        <w:t xml:space="preserve">of approximately </w:t>
      </w:r>
      <w:r w:rsidR="003956A9" w:rsidRPr="003956A9">
        <w:rPr>
          <w:rFonts w:ascii="Times New Roman" w:hAnsi="Times New Roman" w:cs="Times New Roman"/>
        </w:rPr>
        <w:t>2.2</w:t>
      </w:r>
      <w:r w:rsidR="00221538" w:rsidRPr="003956A9">
        <w:rPr>
          <w:rFonts w:ascii="Times New Roman" w:hAnsi="Times New Roman" w:cs="Times New Roman"/>
        </w:rPr>
        <w:t>% applied to the two (block) energy rates.  The increase in the first block rate is 0.</w:t>
      </w:r>
      <w:r w:rsidR="003956A9" w:rsidRPr="003956A9">
        <w:rPr>
          <w:rFonts w:ascii="Times New Roman" w:hAnsi="Times New Roman" w:cs="Times New Roman"/>
        </w:rPr>
        <w:t>247</w:t>
      </w:r>
      <w:r w:rsidR="00221538" w:rsidRPr="003956A9">
        <w:rPr>
          <w:rFonts w:ascii="Times New Roman" w:hAnsi="Times New Roman" w:cs="Times New Roman"/>
        </w:rPr>
        <w:t xml:space="preserve"> cents per kWh, and 0.</w:t>
      </w:r>
      <w:r w:rsidR="003956A9" w:rsidRPr="003956A9">
        <w:rPr>
          <w:rFonts w:ascii="Times New Roman" w:hAnsi="Times New Roman" w:cs="Times New Roman"/>
        </w:rPr>
        <w:t>182</w:t>
      </w:r>
      <w:r w:rsidR="00221538" w:rsidRPr="003956A9">
        <w:rPr>
          <w:rFonts w:ascii="Times New Roman" w:hAnsi="Times New Roman" w:cs="Times New Roman"/>
        </w:rPr>
        <w:t xml:space="preserve"> cents per kWh for the second block rate.  </w:t>
      </w:r>
      <w:r w:rsidR="005540EB" w:rsidRPr="003956A9">
        <w:rPr>
          <w:rFonts w:ascii="Times New Roman" w:hAnsi="Times New Roman" w:cs="Times New Roman"/>
        </w:rPr>
        <w:t xml:space="preserve"> </w:t>
      </w:r>
      <w:r w:rsidR="005D0943" w:rsidRPr="003956A9">
        <w:rPr>
          <w:rFonts w:ascii="Times New Roman" w:hAnsi="Times New Roman" w:cs="Times New Roman"/>
        </w:rPr>
        <w:t xml:space="preserve">  </w:t>
      </w:r>
      <w:r w:rsidR="005D0943" w:rsidRPr="003956A9">
        <w:rPr>
          <w:rFonts w:ascii="Times New Roman" w:hAnsi="Times New Roman" w:cs="Times New Roman"/>
        </w:rPr>
        <w:lastRenderedPageBreak/>
        <w:t>Finally, the Company is proposing to increase the minimum charge for 3-phase service from $</w:t>
      </w:r>
      <w:r w:rsidR="005C4F7B" w:rsidRPr="003956A9">
        <w:rPr>
          <w:rFonts w:ascii="Times New Roman" w:hAnsi="Times New Roman" w:cs="Times New Roman"/>
        </w:rPr>
        <w:t>22.35</w:t>
      </w:r>
      <w:r w:rsidR="005D0943" w:rsidRPr="003956A9">
        <w:rPr>
          <w:rFonts w:ascii="Times New Roman" w:hAnsi="Times New Roman" w:cs="Times New Roman"/>
        </w:rPr>
        <w:t xml:space="preserve"> to $</w:t>
      </w:r>
      <w:r w:rsidR="00221538" w:rsidRPr="003956A9">
        <w:rPr>
          <w:rFonts w:ascii="Times New Roman" w:hAnsi="Times New Roman" w:cs="Times New Roman"/>
        </w:rPr>
        <w:t>2</w:t>
      </w:r>
      <w:r w:rsidR="005C4F7B" w:rsidRPr="003956A9">
        <w:rPr>
          <w:rFonts w:ascii="Times New Roman" w:hAnsi="Times New Roman" w:cs="Times New Roman"/>
        </w:rPr>
        <w:t>5</w:t>
      </w:r>
      <w:r w:rsidR="00221538" w:rsidRPr="003956A9">
        <w:rPr>
          <w:rFonts w:ascii="Times New Roman" w:hAnsi="Times New Roman" w:cs="Times New Roman"/>
        </w:rPr>
        <w:t>.35</w:t>
      </w:r>
      <w:r w:rsidR="004C3DE4">
        <w:rPr>
          <w:rFonts w:ascii="Times New Roman" w:hAnsi="Times New Roman" w:cs="Times New Roman"/>
        </w:rPr>
        <w:t xml:space="preserve"> per month</w:t>
      </w:r>
      <w:r w:rsidR="005D0943" w:rsidRPr="003956A9">
        <w:rPr>
          <w:rFonts w:ascii="Times New Roman" w:hAnsi="Times New Roman" w:cs="Times New Roman"/>
        </w:rPr>
        <w:t>.</w:t>
      </w:r>
      <w:r w:rsidR="005D0943">
        <w:rPr>
          <w:rFonts w:ascii="Times New Roman" w:hAnsi="Times New Roman" w:cs="Times New Roman"/>
        </w:rPr>
        <w:t xml:space="preserve">  </w:t>
      </w:r>
    </w:p>
    <w:p w:rsidR="00F04603" w:rsidRPr="00DD0A5E" w:rsidRDefault="00F04603" w:rsidP="00CA7EA4">
      <w:pPr>
        <w:pStyle w:val="P163"/>
        <w:tabs>
          <w:tab w:val="left" w:pos="180"/>
        </w:tabs>
        <w:ind w:left="0" w:firstLine="720"/>
        <w:jc w:val="both"/>
        <w:rPr>
          <w:rFonts w:ascii="Times New Roman" w:hAnsi="Times New Roman" w:cs="Times New Roman"/>
          <w:b/>
        </w:rPr>
      </w:pPr>
      <w:r w:rsidRPr="00E42AAE">
        <w:rPr>
          <w:rFonts w:ascii="Times New Roman" w:hAnsi="Times New Roman" w:cs="Times New Roman"/>
          <w:b/>
        </w:rPr>
        <w:t xml:space="preserve">Q. </w:t>
      </w:r>
      <w:r w:rsidRPr="00E42AAE">
        <w:rPr>
          <w:rFonts w:ascii="Times New Roman" w:hAnsi="Times New Roman" w:cs="Times New Roman"/>
          <w:b/>
        </w:rPr>
        <w:tab/>
        <w:t>Why is</w:t>
      </w:r>
      <w:r w:rsidRPr="00DD0A5E">
        <w:rPr>
          <w:rFonts w:ascii="Times New Roman" w:hAnsi="Times New Roman" w:cs="Times New Roman"/>
          <w:b/>
        </w:rPr>
        <w:t xml:space="preserve"> the Company proposing </w:t>
      </w:r>
      <w:r w:rsidR="00CF6646" w:rsidRPr="00DD0A5E">
        <w:rPr>
          <w:rFonts w:ascii="Times New Roman" w:hAnsi="Times New Roman" w:cs="Times New Roman"/>
          <w:b/>
        </w:rPr>
        <w:t xml:space="preserve">a </w:t>
      </w:r>
      <w:r w:rsidR="001A786F">
        <w:rPr>
          <w:rFonts w:ascii="Times New Roman" w:hAnsi="Times New Roman" w:cs="Times New Roman"/>
          <w:b/>
        </w:rPr>
        <w:t>$0.</w:t>
      </w:r>
      <w:r w:rsidR="00D74916">
        <w:rPr>
          <w:rFonts w:ascii="Times New Roman" w:hAnsi="Times New Roman" w:cs="Times New Roman"/>
          <w:b/>
        </w:rPr>
        <w:t>50</w:t>
      </w:r>
      <w:r w:rsidR="00CF6646" w:rsidRPr="00DD0A5E">
        <w:rPr>
          <w:rFonts w:ascii="Times New Roman" w:hAnsi="Times New Roman" w:cs="Times New Roman"/>
          <w:b/>
        </w:rPr>
        <w:t xml:space="preserve"> </w:t>
      </w:r>
      <w:r w:rsidR="001A786F">
        <w:rPr>
          <w:rFonts w:ascii="Times New Roman" w:hAnsi="Times New Roman" w:cs="Times New Roman"/>
          <w:b/>
        </w:rPr>
        <w:t xml:space="preserve">or </w:t>
      </w:r>
      <w:r w:rsidR="005C4F7B">
        <w:rPr>
          <w:rFonts w:ascii="Times New Roman" w:hAnsi="Times New Roman" w:cs="Times New Roman"/>
          <w:b/>
        </w:rPr>
        <w:t>8.3</w:t>
      </w:r>
      <w:r w:rsidR="001A786F">
        <w:rPr>
          <w:rFonts w:ascii="Times New Roman" w:hAnsi="Times New Roman" w:cs="Times New Roman"/>
          <w:b/>
        </w:rPr>
        <w:t xml:space="preserve">% </w:t>
      </w:r>
      <w:r w:rsidR="00CF6646" w:rsidRPr="00DD0A5E">
        <w:rPr>
          <w:rFonts w:ascii="Times New Roman" w:hAnsi="Times New Roman" w:cs="Times New Roman"/>
          <w:b/>
        </w:rPr>
        <w:t>increase</w:t>
      </w:r>
      <w:r w:rsidR="00416D8E">
        <w:rPr>
          <w:rFonts w:ascii="Times New Roman" w:hAnsi="Times New Roman" w:cs="Times New Roman"/>
          <w:b/>
        </w:rPr>
        <w:t xml:space="preserve"> to the </w:t>
      </w:r>
      <w:r w:rsidR="00416D8E" w:rsidRPr="00DD0A5E">
        <w:rPr>
          <w:rFonts w:ascii="Times New Roman" w:hAnsi="Times New Roman" w:cs="Times New Roman"/>
          <w:b/>
        </w:rPr>
        <w:t xml:space="preserve">demand charge </w:t>
      </w:r>
      <w:r w:rsidR="00416D8E">
        <w:rPr>
          <w:rFonts w:ascii="Times New Roman" w:hAnsi="Times New Roman" w:cs="Times New Roman"/>
          <w:b/>
        </w:rPr>
        <w:t>for Schedule 11</w:t>
      </w:r>
      <w:r w:rsidRPr="00DD0A5E">
        <w:rPr>
          <w:rFonts w:ascii="Times New Roman" w:hAnsi="Times New Roman" w:cs="Times New Roman"/>
          <w:b/>
        </w:rPr>
        <w:t xml:space="preserve">? </w:t>
      </w:r>
    </w:p>
    <w:p w:rsidR="002C0C2F" w:rsidRPr="00171B4C" w:rsidRDefault="002C0C2F" w:rsidP="002C0C2F">
      <w:pPr>
        <w:pStyle w:val="BodyText2"/>
        <w:ind w:firstLine="720"/>
        <w:rPr>
          <w:bCs/>
        </w:rPr>
      </w:pPr>
      <w:r w:rsidRPr="00E65A4C">
        <w:rPr>
          <w:bCs/>
        </w:rPr>
        <w:t>A.</w:t>
      </w:r>
      <w:r w:rsidRPr="00E65A4C">
        <w:rPr>
          <w:bCs/>
        </w:rPr>
        <w:tab/>
        <w:t>The system allocated demand cost fr</w:t>
      </w:r>
      <w:r w:rsidR="00287B1F">
        <w:rPr>
          <w:bCs/>
        </w:rPr>
        <w:t xml:space="preserve">om the cost of service </w:t>
      </w:r>
      <w:r w:rsidR="00287B1F" w:rsidRPr="00642E83">
        <w:rPr>
          <w:bCs/>
        </w:rPr>
        <w:t>study is $17</w:t>
      </w:r>
      <w:r w:rsidR="00642E83">
        <w:rPr>
          <w:bCs/>
        </w:rPr>
        <w:t>.</w:t>
      </w:r>
      <w:r w:rsidR="00642E83" w:rsidRPr="00642E83">
        <w:rPr>
          <w:bCs/>
        </w:rPr>
        <w:t xml:space="preserve">46 </w:t>
      </w:r>
      <w:r w:rsidRPr="00642E83">
        <w:rPr>
          <w:bCs/>
        </w:rPr>
        <w:t>per</w:t>
      </w:r>
      <w:r w:rsidRPr="00E65A4C">
        <w:rPr>
          <w:bCs/>
        </w:rPr>
        <w:t xml:space="preserve"> kilowatt (kW) month</w:t>
      </w:r>
      <w:r w:rsidRPr="00E65A4C">
        <w:rPr>
          <w:rStyle w:val="FootnoteReference"/>
          <w:bCs/>
        </w:rPr>
        <w:footnoteReference w:id="5"/>
      </w:r>
      <w:r w:rsidRPr="00E65A4C">
        <w:rPr>
          <w:bCs/>
        </w:rPr>
        <w:t>.  The Company’s present monthly demand charges range from $</w:t>
      </w:r>
      <w:r w:rsidR="005C4F7B">
        <w:rPr>
          <w:bCs/>
        </w:rPr>
        <w:t>5.25</w:t>
      </w:r>
      <w:r w:rsidRPr="00E65A4C">
        <w:rPr>
          <w:bCs/>
        </w:rPr>
        <w:t>–$</w:t>
      </w:r>
      <w:r w:rsidR="005C4F7B">
        <w:rPr>
          <w:bCs/>
        </w:rPr>
        <w:t>6.00</w:t>
      </w:r>
      <w:r w:rsidRPr="00E65A4C">
        <w:rPr>
          <w:bCs/>
        </w:rPr>
        <w:t>/kW, depending on service schedule.  While the exact level of costs classified as demand-related can be debated, clearly the levels of demand charges will continue to be well below demand-related costs.</w:t>
      </w:r>
      <w:r>
        <w:rPr>
          <w:bCs/>
        </w:rPr>
        <w:t xml:space="preserve">   </w:t>
      </w:r>
    </w:p>
    <w:p w:rsidR="002C0C2F" w:rsidRDefault="002C0C2F" w:rsidP="002C0C2F">
      <w:pPr>
        <w:pStyle w:val="BodyText2"/>
        <w:ind w:firstLine="720"/>
        <w:rPr>
          <w:bCs/>
        </w:rPr>
      </w:pPr>
      <w:r>
        <w:rPr>
          <w:bCs/>
        </w:rPr>
        <w:t>In addition, t</w:t>
      </w:r>
      <w:r w:rsidRPr="005141FE">
        <w:rPr>
          <w:bCs/>
        </w:rPr>
        <w:t>he Company’s transmission and distribution system is constructed to meet the collective peak demand of its customers</w:t>
      </w:r>
      <w:r>
        <w:rPr>
          <w:bCs/>
        </w:rPr>
        <w:t>.  Further</w:t>
      </w:r>
      <w:r w:rsidRPr="005141FE">
        <w:rPr>
          <w:bCs/>
        </w:rPr>
        <w:t xml:space="preserve">, the Company must have adequate resources available to meet peak demand.  If customers reduce their peak demand, it will reduce the need for additional investment in these facilities and resources.  </w:t>
      </w:r>
      <w:r>
        <w:rPr>
          <w:bCs/>
        </w:rPr>
        <w:t>C</w:t>
      </w:r>
      <w:r w:rsidRPr="005141FE">
        <w:rPr>
          <w:bCs/>
        </w:rPr>
        <w:t>ustomers need to receive the proper price signal to encourage a reduction in their peak demand, i.e., higher demand charges.</w:t>
      </w:r>
    </w:p>
    <w:p w:rsidR="00D34F06" w:rsidRDefault="002C0C2F" w:rsidP="00D34F06">
      <w:pPr>
        <w:pStyle w:val="BodyText2"/>
        <w:ind w:firstLine="720"/>
        <w:rPr>
          <w:bCs/>
        </w:rPr>
      </w:pPr>
      <w:r w:rsidRPr="00C647CD">
        <w:rPr>
          <w:bCs/>
        </w:rPr>
        <w:t>For these reasons, t</w:t>
      </w:r>
      <w:r w:rsidR="00F04603" w:rsidRPr="00C647CD">
        <w:rPr>
          <w:bCs/>
        </w:rPr>
        <w:t xml:space="preserve">he </w:t>
      </w:r>
      <w:r w:rsidR="005141FE" w:rsidRPr="00C647CD">
        <w:rPr>
          <w:bCs/>
        </w:rPr>
        <w:t xml:space="preserve">Company </w:t>
      </w:r>
      <w:r w:rsidR="00F04603" w:rsidRPr="00C647CD">
        <w:rPr>
          <w:bCs/>
        </w:rPr>
        <w:t>believes that it is importan</w:t>
      </w:r>
      <w:r w:rsidR="00CF6646" w:rsidRPr="00C647CD">
        <w:rPr>
          <w:bCs/>
        </w:rPr>
        <w:t>t to increase the demand charge</w:t>
      </w:r>
      <w:r w:rsidR="00F04603" w:rsidRPr="00C647CD">
        <w:rPr>
          <w:bCs/>
        </w:rPr>
        <w:t xml:space="preserve"> in this </w:t>
      </w:r>
      <w:r w:rsidR="00916D0F" w:rsidRPr="00C647CD">
        <w:rPr>
          <w:bCs/>
        </w:rPr>
        <w:t>c</w:t>
      </w:r>
      <w:r w:rsidR="00F04603" w:rsidRPr="00C647CD">
        <w:rPr>
          <w:bCs/>
        </w:rPr>
        <w:t>ase</w:t>
      </w:r>
      <w:r w:rsidR="00C73089" w:rsidRPr="00C647CD">
        <w:rPr>
          <w:bCs/>
        </w:rPr>
        <w:t xml:space="preserve"> for Schedule 11</w:t>
      </w:r>
      <w:r w:rsidR="00614DB9" w:rsidRPr="00C647CD">
        <w:rPr>
          <w:bCs/>
        </w:rPr>
        <w:t xml:space="preserve">, </w:t>
      </w:r>
      <w:r w:rsidR="00614DB9" w:rsidRPr="00C647CD">
        <w:rPr>
          <w:bCs/>
          <w:u w:val="single"/>
        </w:rPr>
        <w:t>as well as</w:t>
      </w:r>
      <w:r w:rsidR="00614DB9" w:rsidRPr="00C647CD">
        <w:rPr>
          <w:bCs/>
        </w:rPr>
        <w:t xml:space="preserve"> for Schedules</w:t>
      </w:r>
      <w:r w:rsidR="00C73089" w:rsidRPr="00C647CD">
        <w:rPr>
          <w:bCs/>
        </w:rPr>
        <w:t xml:space="preserve"> 21 and 25</w:t>
      </w:r>
      <w:r w:rsidR="00C86EA5" w:rsidRPr="00C647CD">
        <w:rPr>
          <w:bCs/>
        </w:rPr>
        <w:t>, by a percentage</w:t>
      </w:r>
      <w:r w:rsidR="00D74916" w:rsidRPr="00C647CD">
        <w:rPr>
          <w:bCs/>
        </w:rPr>
        <w:t xml:space="preserve"> equal to or</w:t>
      </w:r>
      <w:r w:rsidR="00C86EA5" w:rsidRPr="00C647CD">
        <w:rPr>
          <w:bCs/>
        </w:rPr>
        <w:t xml:space="preserve"> greater than that </w:t>
      </w:r>
      <w:r w:rsidR="00CF6646" w:rsidRPr="00C647CD">
        <w:rPr>
          <w:bCs/>
        </w:rPr>
        <w:t xml:space="preserve">applied </w:t>
      </w:r>
      <w:r w:rsidR="00C86EA5" w:rsidRPr="00C647CD">
        <w:rPr>
          <w:bCs/>
        </w:rPr>
        <w:t xml:space="preserve">to the </w:t>
      </w:r>
      <w:r w:rsidR="00CF6646" w:rsidRPr="00C647CD">
        <w:rPr>
          <w:bCs/>
        </w:rPr>
        <w:t>energy</w:t>
      </w:r>
      <w:r w:rsidR="00C86EA5" w:rsidRPr="00C647CD">
        <w:rPr>
          <w:bCs/>
        </w:rPr>
        <w:t xml:space="preserve"> rates</w:t>
      </w:r>
      <w:r w:rsidR="00C73089" w:rsidRPr="00C647CD">
        <w:rPr>
          <w:bCs/>
        </w:rPr>
        <w:t xml:space="preserve">.  </w:t>
      </w:r>
      <w:r w:rsidR="00F04603" w:rsidRPr="00C647CD">
        <w:rPr>
          <w:bCs/>
        </w:rPr>
        <w:t xml:space="preserve">If demand charges are not increased </w:t>
      </w:r>
      <w:r w:rsidR="00F04603" w:rsidRPr="00C647CD">
        <w:rPr>
          <w:bCs/>
          <w:u w:val="single"/>
        </w:rPr>
        <w:t>at least</w:t>
      </w:r>
      <w:r w:rsidR="00F04603" w:rsidRPr="00C647CD">
        <w:rPr>
          <w:bCs/>
        </w:rPr>
        <w:t xml:space="preserve"> proportionately</w:t>
      </w:r>
      <w:r w:rsidR="00F04603" w:rsidRPr="005141FE">
        <w:rPr>
          <w:bCs/>
        </w:rPr>
        <w:t xml:space="preserve"> with energy charges, customers who have a poor load factor (high peak demand compared to average energy use) would see a </w:t>
      </w:r>
      <w:r w:rsidR="00F04603" w:rsidRPr="005141FE">
        <w:rPr>
          <w:bCs/>
          <w:u w:val="single"/>
        </w:rPr>
        <w:t>lower</w:t>
      </w:r>
      <w:r w:rsidR="00F04603" w:rsidRPr="005141FE">
        <w:rPr>
          <w:bCs/>
        </w:rPr>
        <w:t xml:space="preserve"> percentage increase in their bill than a comparable customer with a good load factor (low peak demand compared to average energy use).  </w:t>
      </w:r>
      <w:r w:rsidR="00F04603" w:rsidRPr="00C86EA5">
        <w:rPr>
          <w:bCs/>
        </w:rPr>
        <w:t xml:space="preserve">This result would not send the appropriate price signal to </w:t>
      </w:r>
      <w:r w:rsidR="00F04603" w:rsidRPr="00C86EA5">
        <w:rPr>
          <w:bCs/>
        </w:rPr>
        <w:lastRenderedPageBreak/>
        <w:t>commercial and industrial customers</w:t>
      </w:r>
      <w:r w:rsidR="00C86EA5">
        <w:rPr>
          <w:bCs/>
        </w:rPr>
        <w:t>, n</w:t>
      </w:r>
      <w:r w:rsidR="00F04603" w:rsidRPr="00C86EA5">
        <w:rPr>
          <w:bCs/>
        </w:rPr>
        <w:t>or would it reflect the fact that the Company’s demand charges are well below the costs associated with meeting customers</w:t>
      </w:r>
      <w:r w:rsidR="00CF6646">
        <w:rPr>
          <w:bCs/>
        </w:rPr>
        <w:t>’</w:t>
      </w:r>
      <w:r w:rsidR="00F04603" w:rsidRPr="00C86EA5">
        <w:rPr>
          <w:bCs/>
        </w:rPr>
        <w:t xml:space="preserve"> peak demand. </w:t>
      </w:r>
    </w:p>
    <w:p w:rsidR="005540EB" w:rsidRPr="00645683" w:rsidRDefault="005540EB" w:rsidP="00711833">
      <w:pPr>
        <w:pStyle w:val="P117"/>
        <w:tabs>
          <w:tab w:val="left" w:pos="180"/>
          <w:tab w:val="num" w:pos="1440"/>
        </w:tabs>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Turning to Larg</w:t>
      </w:r>
      <w:r w:rsidR="00FE07FB">
        <w:rPr>
          <w:rStyle w:val="T11"/>
          <w:rFonts w:ascii="Times New Roman" w:hAnsi="Times New Roman" w:cs="Times New Roman"/>
        </w:rPr>
        <w:t>e General Service Schedule 21, w</w:t>
      </w:r>
      <w:r w:rsidRPr="005540EB">
        <w:rPr>
          <w:rStyle w:val="T11"/>
          <w:rFonts w:ascii="Times New Roman" w:hAnsi="Times New Roman" w:cs="Times New Roman"/>
        </w:rPr>
        <w:t xml:space="preserve">ould you please describe the present rate </w:t>
      </w:r>
      <w:r w:rsidRPr="00645683">
        <w:rPr>
          <w:rStyle w:val="T11"/>
          <w:rFonts w:ascii="Times New Roman" w:hAnsi="Times New Roman" w:cs="Times New Roman"/>
        </w:rPr>
        <w:t xml:space="preserve">structure under that </w:t>
      </w:r>
      <w:r w:rsidR="001020C1" w:rsidRPr="00645683">
        <w:rPr>
          <w:rStyle w:val="T11"/>
          <w:rFonts w:ascii="Times New Roman" w:hAnsi="Times New Roman" w:cs="Times New Roman"/>
        </w:rPr>
        <w:t>s</w:t>
      </w:r>
      <w:r w:rsidRPr="00645683">
        <w:rPr>
          <w:rStyle w:val="T11"/>
          <w:rFonts w:ascii="Times New Roman" w:hAnsi="Times New Roman" w:cs="Times New Roman"/>
        </w:rPr>
        <w:t xml:space="preserve">chedule and how the Company is proposing to apply </w:t>
      </w:r>
      <w:r w:rsidRPr="005A6FE5">
        <w:rPr>
          <w:rStyle w:val="T11"/>
          <w:rFonts w:ascii="Times New Roman" w:hAnsi="Times New Roman" w:cs="Times New Roman"/>
        </w:rPr>
        <w:t xml:space="preserve">the </w:t>
      </w:r>
      <w:r w:rsidRPr="00CF74E0">
        <w:rPr>
          <w:rStyle w:val="T11"/>
          <w:rFonts w:ascii="Times New Roman" w:hAnsi="Times New Roman" w:cs="Times New Roman"/>
        </w:rPr>
        <w:t>increase of $</w:t>
      </w:r>
      <w:r w:rsidR="00CF74E0" w:rsidRPr="00CF74E0">
        <w:rPr>
          <w:rStyle w:val="T11"/>
          <w:rFonts w:ascii="Times New Roman" w:hAnsi="Times New Roman" w:cs="Times New Roman"/>
        </w:rPr>
        <w:t>4,830</w:t>
      </w:r>
      <w:r w:rsidR="00614DB9" w:rsidRPr="00CF74E0">
        <w:rPr>
          <w:rStyle w:val="T11"/>
          <w:rFonts w:ascii="Times New Roman" w:hAnsi="Times New Roman" w:cs="Times New Roman"/>
        </w:rPr>
        <w:t>,000</w:t>
      </w:r>
      <w:r w:rsidRPr="00CF74E0">
        <w:rPr>
          <w:rStyle w:val="T11"/>
          <w:rFonts w:ascii="Times New Roman" w:hAnsi="Times New Roman" w:cs="Times New Roman"/>
        </w:rPr>
        <w:t xml:space="preserve"> to the rates</w:t>
      </w:r>
      <w:r w:rsidRPr="00645683">
        <w:rPr>
          <w:rStyle w:val="T11"/>
          <w:rFonts w:ascii="Times New Roman" w:hAnsi="Times New Roman" w:cs="Times New Roman"/>
        </w:rPr>
        <w:t xml:space="preserve"> within the schedule?</w:t>
      </w:r>
    </w:p>
    <w:p w:rsidR="005540EB" w:rsidRPr="00645683" w:rsidRDefault="005540EB" w:rsidP="00711833">
      <w:pPr>
        <w:pStyle w:val="P106"/>
        <w:tabs>
          <w:tab w:val="left" w:pos="180"/>
          <w:tab w:val="num" w:pos="1440"/>
        </w:tabs>
        <w:jc w:val="both"/>
        <w:rPr>
          <w:rFonts w:ascii="Times New Roman" w:hAnsi="Times New Roman" w:cs="Times New Roman"/>
        </w:rPr>
      </w:pPr>
      <w:r w:rsidRPr="00645683">
        <w:rPr>
          <w:rFonts w:ascii="Times New Roman" w:hAnsi="Times New Roman" w:cs="Times New Roman"/>
        </w:rPr>
        <w:t>A.</w:t>
      </w:r>
      <w:r w:rsidRPr="00645683">
        <w:rPr>
          <w:rFonts w:ascii="Times New Roman" w:hAnsi="Times New Roman" w:cs="Times New Roman"/>
        </w:rPr>
        <w:tab/>
      </w:r>
      <w:r w:rsidR="00FE07FB" w:rsidRPr="00645683">
        <w:rPr>
          <w:rFonts w:ascii="Times New Roman" w:hAnsi="Times New Roman" w:cs="Times New Roman"/>
        </w:rPr>
        <w:t xml:space="preserve">Yes.  </w:t>
      </w:r>
      <w:r w:rsidRPr="00645683">
        <w:rPr>
          <w:rFonts w:ascii="Times New Roman" w:hAnsi="Times New Roman" w:cs="Times New Roman"/>
        </w:rPr>
        <w:t>Large General Service Schedule 21 consists of a minimum monthly charge of $</w:t>
      </w:r>
      <w:r w:rsidR="000B2F0A">
        <w:rPr>
          <w:rFonts w:ascii="Times New Roman" w:hAnsi="Times New Roman" w:cs="Times New Roman"/>
        </w:rPr>
        <w:t>450.</w:t>
      </w:r>
      <w:r w:rsidR="001A786F">
        <w:rPr>
          <w:rFonts w:ascii="Times New Roman" w:hAnsi="Times New Roman" w:cs="Times New Roman"/>
        </w:rPr>
        <w:t>00</w:t>
      </w:r>
      <w:r w:rsidRPr="00645683">
        <w:rPr>
          <w:rFonts w:ascii="Times New Roman" w:hAnsi="Times New Roman" w:cs="Times New Roman"/>
        </w:rPr>
        <w:t xml:space="preserve"> for the first 50 </w:t>
      </w:r>
      <w:r w:rsidR="00704982" w:rsidRPr="00645683">
        <w:rPr>
          <w:rFonts w:ascii="Times New Roman" w:hAnsi="Times New Roman" w:cs="Times New Roman"/>
        </w:rPr>
        <w:t>kW or less, a demand charge of $</w:t>
      </w:r>
      <w:r w:rsidR="000B2F0A">
        <w:rPr>
          <w:rFonts w:ascii="Times New Roman" w:hAnsi="Times New Roman" w:cs="Times New Roman"/>
        </w:rPr>
        <w:t>6.00</w:t>
      </w:r>
      <w:r w:rsidRPr="00645683">
        <w:rPr>
          <w:rFonts w:ascii="Times New Roman" w:hAnsi="Times New Roman" w:cs="Times New Roman"/>
        </w:rPr>
        <w:t xml:space="preserve"> per kW for monthly demand in excess of 50 kW, and </w:t>
      </w:r>
      <w:r w:rsidR="00FE07FB" w:rsidRPr="00645683">
        <w:rPr>
          <w:rFonts w:ascii="Times New Roman" w:hAnsi="Times New Roman" w:cs="Times New Roman"/>
        </w:rPr>
        <w:t>t</w:t>
      </w:r>
      <w:r w:rsidRPr="00645683">
        <w:rPr>
          <w:rFonts w:ascii="Times New Roman" w:hAnsi="Times New Roman" w:cs="Times New Roman"/>
        </w:rPr>
        <w:t>wo energy</w:t>
      </w:r>
      <w:r w:rsidR="008B4398" w:rsidRPr="00645683">
        <w:rPr>
          <w:rFonts w:ascii="Times New Roman" w:hAnsi="Times New Roman" w:cs="Times New Roman"/>
        </w:rPr>
        <w:t xml:space="preserve"> block</w:t>
      </w:r>
      <w:r w:rsidRPr="00645683">
        <w:rPr>
          <w:rFonts w:ascii="Times New Roman" w:hAnsi="Times New Roman" w:cs="Times New Roman"/>
        </w:rPr>
        <w:t xml:space="preserve"> rates:  </w:t>
      </w:r>
      <w:r w:rsidR="000B2F0A">
        <w:rPr>
          <w:rFonts w:ascii="Times New Roman" w:hAnsi="Times New Roman" w:cs="Times New Roman"/>
        </w:rPr>
        <w:t>7.099</w:t>
      </w:r>
      <w:r w:rsidRPr="00645683">
        <w:rPr>
          <w:rFonts w:ascii="Times New Roman" w:hAnsi="Times New Roman" w:cs="Times New Roman"/>
        </w:rPr>
        <w:t xml:space="preserve"> cents per kWh for the first 250,000 kWhs per month</w:t>
      </w:r>
      <w:r w:rsidR="008B4398" w:rsidRPr="00645683">
        <w:rPr>
          <w:rFonts w:ascii="Times New Roman" w:hAnsi="Times New Roman" w:cs="Times New Roman"/>
        </w:rPr>
        <w:t>,</w:t>
      </w:r>
      <w:r w:rsidRPr="00645683">
        <w:rPr>
          <w:rFonts w:ascii="Times New Roman" w:hAnsi="Times New Roman" w:cs="Times New Roman"/>
        </w:rPr>
        <w:t xml:space="preserve"> and </w:t>
      </w:r>
      <w:r w:rsidR="000B2F0A">
        <w:rPr>
          <w:rFonts w:ascii="Times New Roman" w:hAnsi="Times New Roman" w:cs="Times New Roman"/>
        </w:rPr>
        <w:t>6.349</w:t>
      </w:r>
      <w:r w:rsidRPr="00645683">
        <w:rPr>
          <w:rFonts w:ascii="Times New Roman" w:hAnsi="Times New Roman" w:cs="Times New Roman"/>
        </w:rPr>
        <w:t xml:space="preserve"> cents per kWh for all usage in excess of 250,000 kWhs.</w:t>
      </w:r>
    </w:p>
    <w:p w:rsidR="005540EB" w:rsidRPr="005540EB" w:rsidRDefault="005540EB" w:rsidP="00711833">
      <w:pPr>
        <w:pStyle w:val="P106"/>
        <w:jc w:val="both"/>
        <w:rPr>
          <w:rFonts w:ascii="Times New Roman" w:hAnsi="Times New Roman" w:cs="Times New Roman"/>
        </w:rPr>
      </w:pPr>
      <w:r w:rsidRPr="00645683">
        <w:rPr>
          <w:rFonts w:ascii="Times New Roman" w:hAnsi="Times New Roman" w:cs="Times New Roman"/>
        </w:rPr>
        <w:t>The Company is proposing that the present minimum demand charge (for the first 50 kW or less) be increased by $</w:t>
      </w:r>
      <w:r w:rsidR="00614DB9" w:rsidRPr="00645683">
        <w:rPr>
          <w:rFonts w:ascii="Times New Roman" w:hAnsi="Times New Roman" w:cs="Times New Roman"/>
        </w:rPr>
        <w:t>50</w:t>
      </w:r>
      <w:r w:rsidRPr="00645683">
        <w:rPr>
          <w:rFonts w:ascii="Times New Roman" w:hAnsi="Times New Roman" w:cs="Times New Roman"/>
        </w:rPr>
        <w:t xml:space="preserve"> per month, from $</w:t>
      </w:r>
      <w:r w:rsidR="001A786F">
        <w:rPr>
          <w:rFonts w:ascii="Times New Roman" w:hAnsi="Times New Roman" w:cs="Times New Roman"/>
        </w:rPr>
        <w:t>4</w:t>
      </w:r>
      <w:r w:rsidR="000B2F0A">
        <w:rPr>
          <w:rFonts w:ascii="Times New Roman" w:hAnsi="Times New Roman" w:cs="Times New Roman"/>
        </w:rPr>
        <w:t>5</w:t>
      </w:r>
      <w:r w:rsidR="001A786F">
        <w:rPr>
          <w:rFonts w:ascii="Times New Roman" w:hAnsi="Times New Roman" w:cs="Times New Roman"/>
        </w:rPr>
        <w:t>0</w:t>
      </w:r>
      <w:r w:rsidRPr="00645683">
        <w:rPr>
          <w:rFonts w:ascii="Times New Roman" w:hAnsi="Times New Roman" w:cs="Times New Roman"/>
        </w:rPr>
        <w:t>.00 to $</w:t>
      </w:r>
      <w:r w:rsidR="000B2F0A">
        <w:rPr>
          <w:rFonts w:ascii="Times New Roman" w:hAnsi="Times New Roman" w:cs="Times New Roman"/>
        </w:rPr>
        <w:t>50</w:t>
      </w:r>
      <w:r w:rsidR="006E11B2" w:rsidRPr="00645683">
        <w:rPr>
          <w:rFonts w:ascii="Times New Roman" w:hAnsi="Times New Roman" w:cs="Times New Roman"/>
        </w:rPr>
        <w:t>0.00</w:t>
      </w:r>
      <w:r w:rsidRPr="00645683">
        <w:rPr>
          <w:rFonts w:ascii="Times New Roman" w:hAnsi="Times New Roman" w:cs="Times New Roman"/>
        </w:rPr>
        <w:t>, and the demand charge for kW over 50 per month be increased by $</w:t>
      </w:r>
      <w:r w:rsidR="00614DB9" w:rsidRPr="00645683">
        <w:rPr>
          <w:rFonts w:ascii="Times New Roman" w:hAnsi="Times New Roman" w:cs="Times New Roman"/>
        </w:rPr>
        <w:t>0.</w:t>
      </w:r>
      <w:r w:rsidR="006E11B2" w:rsidRPr="00645683">
        <w:rPr>
          <w:rFonts w:ascii="Times New Roman" w:hAnsi="Times New Roman" w:cs="Times New Roman"/>
        </w:rPr>
        <w:t>50</w:t>
      </w:r>
      <w:r w:rsidRPr="00645683">
        <w:rPr>
          <w:rFonts w:ascii="Times New Roman" w:hAnsi="Times New Roman" w:cs="Times New Roman"/>
        </w:rPr>
        <w:t xml:space="preserve"> per kW, from $</w:t>
      </w:r>
      <w:r w:rsidR="000B2F0A">
        <w:rPr>
          <w:rFonts w:ascii="Times New Roman" w:hAnsi="Times New Roman" w:cs="Times New Roman"/>
        </w:rPr>
        <w:t>6.00</w:t>
      </w:r>
      <w:r w:rsidRPr="00645683">
        <w:rPr>
          <w:rFonts w:ascii="Times New Roman" w:hAnsi="Times New Roman" w:cs="Times New Roman"/>
        </w:rPr>
        <w:t xml:space="preserve"> to $</w:t>
      </w:r>
      <w:r w:rsidR="000B2F0A">
        <w:rPr>
          <w:rFonts w:ascii="Times New Roman" w:hAnsi="Times New Roman" w:cs="Times New Roman"/>
        </w:rPr>
        <w:t>6.50</w:t>
      </w:r>
      <w:r w:rsidR="00614DB9" w:rsidRPr="00645683">
        <w:rPr>
          <w:rFonts w:ascii="Times New Roman" w:hAnsi="Times New Roman" w:cs="Times New Roman"/>
        </w:rPr>
        <w:t xml:space="preserve">, for </w:t>
      </w:r>
      <w:r w:rsidR="00D32A7D">
        <w:rPr>
          <w:rFonts w:ascii="Times New Roman" w:hAnsi="Times New Roman" w:cs="Times New Roman"/>
        </w:rPr>
        <w:t xml:space="preserve">the </w:t>
      </w:r>
      <w:r w:rsidR="00614DB9" w:rsidRPr="00645683">
        <w:rPr>
          <w:rFonts w:ascii="Times New Roman" w:hAnsi="Times New Roman" w:cs="Times New Roman"/>
        </w:rPr>
        <w:t>reasons provided previously in my testimony</w:t>
      </w:r>
      <w:r w:rsidRPr="00645683">
        <w:rPr>
          <w:rFonts w:ascii="Times New Roman" w:hAnsi="Times New Roman" w:cs="Times New Roman"/>
        </w:rPr>
        <w:t xml:space="preserve">.  The remaining revenue increase for the </w:t>
      </w:r>
      <w:r w:rsidR="001020C1" w:rsidRPr="00645683">
        <w:rPr>
          <w:rFonts w:ascii="Times New Roman" w:hAnsi="Times New Roman" w:cs="Times New Roman"/>
        </w:rPr>
        <w:t>s</w:t>
      </w:r>
      <w:r w:rsidRPr="00645683">
        <w:rPr>
          <w:rFonts w:ascii="Times New Roman" w:hAnsi="Times New Roman" w:cs="Times New Roman"/>
        </w:rPr>
        <w:t xml:space="preserve">chedule is proposed to be recovered through a uniform percentage increase of </w:t>
      </w:r>
      <w:r w:rsidR="00614DB9" w:rsidRPr="00443386">
        <w:rPr>
          <w:rFonts w:ascii="Times New Roman" w:hAnsi="Times New Roman" w:cs="Times New Roman"/>
        </w:rPr>
        <w:t xml:space="preserve">approximately </w:t>
      </w:r>
      <w:r w:rsidR="00CF74E0">
        <w:rPr>
          <w:rFonts w:ascii="Times New Roman" w:hAnsi="Times New Roman" w:cs="Times New Roman"/>
        </w:rPr>
        <w:t>2.2</w:t>
      </w:r>
      <w:r w:rsidRPr="00443386">
        <w:rPr>
          <w:rFonts w:ascii="Times New Roman" w:hAnsi="Times New Roman" w:cs="Times New Roman"/>
        </w:rPr>
        <w:t xml:space="preserve">% applied to the two 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w:t>
      </w:r>
      <w:r w:rsidRPr="00CF74E0">
        <w:rPr>
          <w:rFonts w:ascii="Times New Roman" w:hAnsi="Times New Roman" w:cs="Times New Roman"/>
        </w:rPr>
        <w:t xml:space="preserve">proposed increase for the first 250,000 kWhs used per month under the schedule is </w:t>
      </w:r>
      <w:r w:rsidR="00614DB9" w:rsidRPr="00CF74E0">
        <w:rPr>
          <w:rFonts w:ascii="Times New Roman" w:hAnsi="Times New Roman" w:cs="Times New Roman"/>
        </w:rPr>
        <w:t>0.</w:t>
      </w:r>
      <w:r w:rsidR="00CF74E0" w:rsidRPr="00CF74E0">
        <w:rPr>
          <w:rFonts w:ascii="Times New Roman" w:hAnsi="Times New Roman" w:cs="Times New Roman"/>
        </w:rPr>
        <w:t>156</w:t>
      </w:r>
      <w:r w:rsidRPr="00CF74E0">
        <w:rPr>
          <w:rFonts w:ascii="Times New Roman" w:hAnsi="Times New Roman" w:cs="Times New Roman"/>
        </w:rPr>
        <w:t xml:space="preserve"> cents per kWh, and an increase of </w:t>
      </w:r>
      <w:r w:rsidR="00614DB9" w:rsidRPr="00CF74E0">
        <w:rPr>
          <w:rFonts w:ascii="Times New Roman" w:hAnsi="Times New Roman" w:cs="Times New Roman"/>
        </w:rPr>
        <w:t>0</w:t>
      </w:r>
      <w:r w:rsidR="00CF74E0" w:rsidRPr="00CF74E0">
        <w:rPr>
          <w:rFonts w:ascii="Times New Roman" w:hAnsi="Times New Roman" w:cs="Times New Roman"/>
        </w:rPr>
        <w:t>.140</w:t>
      </w:r>
      <w:r w:rsidR="005A6FE5" w:rsidRPr="00CF74E0">
        <w:rPr>
          <w:rFonts w:ascii="Times New Roman" w:hAnsi="Times New Roman" w:cs="Times New Roman"/>
        </w:rPr>
        <w:t xml:space="preserve"> </w:t>
      </w:r>
      <w:r w:rsidRPr="00CF74E0">
        <w:rPr>
          <w:rFonts w:ascii="Times New Roman" w:hAnsi="Times New Roman" w:cs="Times New Roman"/>
        </w:rPr>
        <w:t>cents per kWh for usage over 250,000 kWhs per</w:t>
      </w:r>
      <w:r w:rsidRPr="00F820B5">
        <w:rPr>
          <w:rFonts w:ascii="Times New Roman" w:hAnsi="Times New Roman" w:cs="Times New Roman"/>
        </w:rPr>
        <w:t xml:space="preserve"> month.</w:t>
      </w:r>
      <w:r w:rsidRPr="005540EB">
        <w:rPr>
          <w:rFonts w:ascii="Times New Roman" w:hAnsi="Times New Roman" w:cs="Times New Roman"/>
        </w:rPr>
        <w:t xml:space="preserve">  </w:t>
      </w:r>
    </w:p>
    <w:p w:rsidR="005540EB" w:rsidRPr="005540EB" w:rsidRDefault="005540EB" w:rsidP="00711833">
      <w:pPr>
        <w:pStyle w:val="P106"/>
        <w:jc w:val="both"/>
        <w:rPr>
          <w:rFonts w:ascii="Times New Roman" w:hAnsi="Times New Roman" w:cs="Times New Roman"/>
        </w:rPr>
      </w:pPr>
      <w:r w:rsidRPr="005540EB">
        <w:rPr>
          <w:rStyle w:val="T11"/>
          <w:rFonts w:ascii="Times New Roman" w:hAnsi="Times New Roman" w:cs="Times New Roman"/>
        </w:rPr>
        <w:t xml:space="preserve">Q.  </w:t>
      </w:r>
      <w:r w:rsidR="005E25D7">
        <w:rPr>
          <w:rStyle w:val="T11"/>
          <w:rFonts w:ascii="Times New Roman" w:hAnsi="Times New Roman" w:cs="Times New Roman"/>
        </w:rPr>
        <w:tab/>
      </w:r>
      <w:r w:rsidRPr="005540EB">
        <w:rPr>
          <w:rStyle w:val="T11"/>
          <w:rFonts w:ascii="Times New Roman" w:hAnsi="Times New Roman" w:cs="Times New Roman"/>
        </w:rPr>
        <w:t xml:space="preserve">Turning to Extra Large General Service Schedule 25, </w:t>
      </w:r>
      <w:r w:rsidR="008B4398">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 xml:space="preserve">chedule and how the Company is proposing to apply the </w:t>
      </w:r>
      <w:r w:rsidRPr="00443386">
        <w:rPr>
          <w:rStyle w:val="T11"/>
          <w:rFonts w:ascii="Times New Roman" w:hAnsi="Times New Roman" w:cs="Times New Roman"/>
        </w:rPr>
        <w:t xml:space="preserve">increase of </w:t>
      </w:r>
      <w:r w:rsidR="00CF74E0">
        <w:rPr>
          <w:rStyle w:val="T11"/>
          <w:rFonts w:ascii="Times New Roman" w:hAnsi="Times New Roman" w:cs="Times New Roman"/>
        </w:rPr>
        <w:t>$2,358,000</w:t>
      </w:r>
      <w:r w:rsidRPr="00443386">
        <w:rPr>
          <w:rStyle w:val="T11"/>
          <w:rFonts w:ascii="Times New Roman" w:hAnsi="Times New Roman" w:cs="Times New Roman"/>
        </w:rPr>
        <w:t xml:space="preserve"> to the</w:t>
      </w:r>
      <w:r w:rsidRPr="00672D65">
        <w:rPr>
          <w:rStyle w:val="T11"/>
          <w:rFonts w:ascii="Times New Roman" w:hAnsi="Times New Roman" w:cs="Times New Roman"/>
        </w:rPr>
        <w:t xml:space="preserve"> rates</w:t>
      </w:r>
      <w:r w:rsidRPr="005540EB">
        <w:rPr>
          <w:rStyle w:val="T11"/>
          <w:rFonts w:ascii="Times New Roman" w:hAnsi="Times New Roman" w:cs="Times New Roman"/>
        </w:rPr>
        <w:t xml:space="preserve"> within the </w:t>
      </w:r>
      <w:r w:rsidR="001020C1">
        <w:rPr>
          <w:rStyle w:val="T11"/>
          <w:rFonts w:ascii="Times New Roman" w:hAnsi="Times New Roman" w:cs="Times New Roman"/>
        </w:rPr>
        <w:t>s</w:t>
      </w:r>
      <w:r w:rsidRPr="005540EB">
        <w:rPr>
          <w:rStyle w:val="T11"/>
          <w:rFonts w:ascii="Times New Roman" w:hAnsi="Times New Roman" w:cs="Times New Roman"/>
        </w:rPr>
        <w:t xml:space="preserve">chedule? </w:t>
      </w:r>
    </w:p>
    <w:p w:rsidR="005540EB" w:rsidRP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A.  </w:t>
      </w:r>
      <w:r w:rsidR="005E25D7">
        <w:rPr>
          <w:rFonts w:ascii="Times New Roman" w:hAnsi="Times New Roman" w:cs="Times New Roman"/>
        </w:rPr>
        <w:tab/>
      </w:r>
      <w:r w:rsidR="008B4398">
        <w:rPr>
          <w:rFonts w:ascii="Times New Roman" w:hAnsi="Times New Roman" w:cs="Times New Roman"/>
        </w:rPr>
        <w:t xml:space="preserve">Yes.  </w:t>
      </w:r>
      <w:r w:rsidRPr="005540EB">
        <w:rPr>
          <w:rFonts w:ascii="Times New Roman" w:hAnsi="Times New Roman" w:cs="Times New Roman"/>
        </w:rPr>
        <w:t>Extra Large General Service Schedule 25 consists of a minimum monthly charge of $</w:t>
      </w:r>
      <w:r w:rsidR="001A786F">
        <w:rPr>
          <w:rFonts w:ascii="Times New Roman" w:hAnsi="Times New Roman" w:cs="Times New Roman"/>
        </w:rPr>
        <w:t>1</w:t>
      </w:r>
      <w:r w:rsidR="000B2F0A">
        <w:rPr>
          <w:rFonts w:ascii="Times New Roman" w:hAnsi="Times New Roman" w:cs="Times New Roman"/>
        </w:rPr>
        <w:t>5</w:t>
      </w:r>
      <w:r w:rsidR="001A786F">
        <w:rPr>
          <w:rFonts w:ascii="Times New Roman" w:hAnsi="Times New Roman" w:cs="Times New Roman"/>
        </w:rPr>
        <w:t>,000</w:t>
      </w:r>
      <w:r w:rsidRPr="005540EB">
        <w:rPr>
          <w:rFonts w:ascii="Times New Roman" w:hAnsi="Times New Roman" w:cs="Times New Roman"/>
        </w:rPr>
        <w:t>.00 for the first 3,000 kVa or less, a demand charge of $</w:t>
      </w:r>
      <w:r w:rsidR="000B2F0A">
        <w:rPr>
          <w:rFonts w:ascii="Times New Roman" w:hAnsi="Times New Roman" w:cs="Times New Roman"/>
        </w:rPr>
        <w:t>5</w:t>
      </w:r>
      <w:r w:rsidR="00830886">
        <w:rPr>
          <w:rFonts w:ascii="Times New Roman" w:hAnsi="Times New Roman" w:cs="Times New Roman"/>
        </w:rPr>
        <w:t>.</w:t>
      </w:r>
      <w:r w:rsidR="001A786F">
        <w:rPr>
          <w:rFonts w:ascii="Times New Roman" w:hAnsi="Times New Roman" w:cs="Times New Roman"/>
        </w:rPr>
        <w:t>25</w:t>
      </w:r>
      <w:r w:rsidRPr="005540EB">
        <w:rPr>
          <w:rFonts w:ascii="Times New Roman" w:hAnsi="Times New Roman" w:cs="Times New Roman"/>
        </w:rPr>
        <w:t xml:space="preserve"> per kVa for monthly demand in excess of 3,000 kVa, and three energy </w:t>
      </w:r>
      <w:r w:rsidR="008B4398">
        <w:rPr>
          <w:rFonts w:ascii="Times New Roman" w:hAnsi="Times New Roman" w:cs="Times New Roman"/>
        </w:rPr>
        <w:t xml:space="preserve">block </w:t>
      </w:r>
      <w:r w:rsidRPr="005540EB">
        <w:rPr>
          <w:rFonts w:ascii="Times New Roman" w:hAnsi="Times New Roman" w:cs="Times New Roman"/>
        </w:rPr>
        <w:t xml:space="preserve">rates:  </w:t>
      </w:r>
      <w:r w:rsidR="000B2F0A">
        <w:rPr>
          <w:rFonts w:ascii="Times New Roman" w:hAnsi="Times New Roman" w:cs="Times New Roman"/>
        </w:rPr>
        <w:t>5.708</w:t>
      </w:r>
      <w:r w:rsidRPr="005540EB">
        <w:rPr>
          <w:rFonts w:ascii="Times New Roman" w:hAnsi="Times New Roman" w:cs="Times New Roman"/>
        </w:rPr>
        <w:t xml:space="preserve"> cents </w:t>
      </w:r>
      <w:r w:rsidRPr="005540EB">
        <w:rPr>
          <w:rFonts w:ascii="Times New Roman" w:hAnsi="Times New Roman" w:cs="Times New Roman"/>
        </w:rPr>
        <w:lastRenderedPageBreak/>
        <w:t xml:space="preserve">per kWh for the first 500,000 kWhs per month, </w:t>
      </w:r>
      <w:r w:rsidR="000B2F0A">
        <w:rPr>
          <w:rFonts w:ascii="Times New Roman" w:hAnsi="Times New Roman" w:cs="Times New Roman"/>
        </w:rPr>
        <w:t>5.135</w:t>
      </w:r>
      <w:r w:rsidRPr="005540EB">
        <w:rPr>
          <w:rFonts w:ascii="Times New Roman" w:hAnsi="Times New Roman" w:cs="Times New Roman"/>
        </w:rPr>
        <w:t xml:space="preserve"> cents per kWh for the next 5.5 million kWhs and </w:t>
      </w:r>
      <w:r w:rsidR="00830886">
        <w:rPr>
          <w:rFonts w:ascii="Times New Roman" w:hAnsi="Times New Roman" w:cs="Times New Roman"/>
        </w:rPr>
        <w:t>4.3</w:t>
      </w:r>
      <w:r w:rsidR="001A786F">
        <w:rPr>
          <w:rFonts w:ascii="Times New Roman" w:hAnsi="Times New Roman" w:cs="Times New Roman"/>
        </w:rPr>
        <w:t>91</w:t>
      </w:r>
      <w:r w:rsidRPr="005540EB">
        <w:rPr>
          <w:rFonts w:ascii="Times New Roman" w:hAnsi="Times New Roman" w:cs="Times New Roman"/>
        </w:rPr>
        <w:t xml:space="preserve"> cents per kWh for all usage in excess of 6 million kWhs.</w:t>
      </w:r>
    </w:p>
    <w:p w:rsid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The Company is proposing that the present minimum demand charge under the schedule be </w:t>
      </w:r>
      <w:r w:rsidRPr="00C62791">
        <w:rPr>
          <w:rFonts w:ascii="Times New Roman" w:hAnsi="Times New Roman" w:cs="Times New Roman"/>
        </w:rPr>
        <w:t>increased by $</w:t>
      </w:r>
      <w:r w:rsidR="00CF74E0">
        <w:rPr>
          <w:rFonts w:ascii="Times New Roman" w:hAnsi="Times New Roman" w:cs="Times New Roman"/>
        </w:rPr>
        <w:t>1</w:t>
      </w:r>
      <w:r w:rsidR="00520565">
        <w:rPr>
          <w:rFonts w:ascii="Times New Roman" w:hAnsi="Times New Roman" w:cs="Times New Roman"/>
        </w:rPr>
        <w:t>,500</w:t>
      </w:r>
      <w:r w:rsidRPr="00C62791">
        <w:rPr>
          <w:rFonts w:ascii="Times New Roman" w:hAnsi="Times New Roman" w:cs="Times New Roman"/>
        </w:rPr>
        <w:t xml:space="preserve"> per month, from $</w:t>
      </w:r>
      <w:r w:rsidR="001A786F">
        <w:rPr>
          <w:rFonts w:ascii="Times New Roman" w:hAnsi="Times New Roman" w:cs="Times New Roman"/>
        </w:rPr>
        <w:t>1</w:t>
      </w:r>
      <w:r w:rsidR="000B2F0A">
        <w:rPr>
          <w:rFonts w:ascii="Times New Roman" w:hAnsi="Times New Roman" w:cs="Times New Roman"/>
        </w:rPr>
        <w:t>5</w:t>
      </w:r>
      <w:r w:rsidR="001A786F">
        <w:rPr>
          <w:rFonts w:ascii="Times New Roman" w:hAnsi="Times New Roman" w:cs="Times New Roman"/>
        </w:rPr>
        <w:t>,000</w:t>
      </w:r>
      <w:r w:rsidRPr="00C62791">
        <w:rPr>
          <w:rFonts w:ascii="Times New Roman" w:hAnsi="Times New Roman" w:cs="Times New Roman"/>
        </w:rPr>
        <w:t xml:space="preserve"> to $</w:t>
      </w:r>
      <w:r w:rsidR="00520565">
        <w:rPr>
          <w:rFonts w:ascii="Times New Roman" w:hAnsi="Times New Roman" w:cs="Times New Roman"/>
        </w:rPr>
        <w:t>1</w:t>
      </w:r>
      <w:r w:rsidR="00381013">
        <w:rPr>
          <w:rFonts w:ascii="Times New Roman" w:hAnsi="Times New Roman" w:cs="Times New Roman"/>
        </w:rPr>
        <w:t>6,</w:t>
      </w:r>
      <w:r w:rsidR="00520565">
        <w:rPr>
          <w:rFonts w:ascii="Times New Roman" w:hAnsi="Times New Roman" w:cs="Times New Roman"/>
        </w:rPr>
        <w:t>50</w:t>
      </w:r>
      <w:r w:rsidR="00C62791" w:rsidRPr="00C62791">
        <w:rPr>
          <w:rFonts w:ascii="Times New Roman" w:hAnsi="Times New Roman" w:cs="Times New Roman"/>
        </w:rPr>
        <w:t>0</w:t>
      </w:r>
      <w:r w:rsidRPr="00C62791">
        <w:rPr>
          <w:rFonts w:ascii="Times New Roman" w:hAnsi="Times New Roman" w:cs="Times New Roman"/>
        </w:rPr>
        <w:t>, and</w:t>
      </w:r>
      <w:r w:rsidRPr="005540EB">
        <w:rPr>
          <w:rFonts w:ascii="Times New Roman" w:hAnsi="Times New Roman" w:cs="Times New Roman"/>
        </w:rPr>
        <w:t xml:space="preserve"> the demand charge for kVa over 3,000 per month be increased </w:t>
      </w:r>
      <w:r w:rsidRPr="00C62791">
        <w:rPr>
          <w:rFonts w:ascii="Times New Roman" w:hAnsi="Times New Roman" w:cs="Times New Roman"/>
        </w:rPr>
        <w:t>by $0.</w:t>
      </w:r>
      <w:r w:rsidR="001A786F">
        <w:rPr>
          <w:rFonts w:ascii="Times New Roman" w:hAnsi="Times New Roman" w:cs="Times New Roman"/>
        </w:rPr>
        <w:t>50</w:t>
      </w:r>
      <w:r w:rsidR="00C62791" w:rsidRPr="00C62791">
        <w:rPr>
          <w:rFonts w:ascii="Times New Roman" w:hAnsi="Times New Roman" w:cs="Times New Roman"/>
        </w:rPr>
        <w:t xml:space="preserve"> </w:t>
      </w:r>
      <w:r w:rsidRPr="00C62791">
        <w:rPr>
          <w:rFonts w:ascii="Times New Roman" w:hAnsi="Times New Roman" w:cs="Times New Roman"/>
        </w:rPr>
        <w:t>per kVa, from $</w:t>
      </w:r>
      <w:r w:rsidR="000B2F0A">
        <w:rPr>
          <w:rFonts w:ascii="Times New Roman" w:hAnsi="Times New Roman" w:cs="Times New Roman"/>
        </w:rPr>
        <w:t>5</w:t>
      </w:r>
      <w:r w:rsidR="00830886" w:rsidRPr="00C62791">
        <w:rPr>
          <w:rFonts w:ascii="Times New Roman" w:hAnsi="Times New Roman" w:cs="Times New Roman"/>
        </w:rPr>
        <w:t>.</w:t>
      </w:r>
      <w:r w:rsidR="001A786F">
        <w:rPr>
          <w:rFonts w:ascii="Times New Roman" w:hAnsi="Times New Roman" w:cs="Times New Roman"/>
        </w:rPr>
        <w:t>25</w:t>
      </w:r>
      <w:r w:rsidRPr="00C62791">
        <w:rPr>
          <w:rFonts w:ascii="Times New Roman" w:hAnsi="Times New Roman" w:cs="Times New Roman"/>
        </w:rPr>
        <w:t xml:space="preserve"> to $</w:t>
      </w:r>
      <w:r w:rsidR="000B2F0A">
        <w:rPr>
          <w:rFonts w:ascii="Times New Roman" w:hAnsi="Times New Roman" w:cs="Times New Roman"/>
        </w:rPr>
        <w:t>5</w:t>
      </w:r>
      <w:r w:rsidR="00100091" w:rsidRPr="00C62791">
        <w:rPr>
          <w:rFonts w:ascii="Times New Roman" w:hAnsi="Times New Roman" w:cs="Times New Roman"/>
        </w:rPr>
        <w:t>.</w:t>
      </w:r>
      <w:r w:rsidR="00C62791" w:rsidRPr="00C62791">
        <w:rPr>
          <w:rFonts w:ascii="Times New Roman" w:hAnsi="Times New Roman" w:cs="Times New Roman"/>
        </w:rPr>
        <w:t>75</w:t>
      </w:r>
      <w:r w:rsidRPr="00C62791">
        <w:rPr>
          <w:rFonts w:ascii="Times New Roman" w:hAnsi="Times New Roman" w:cs="Times New Roman"/>
        </w:rPr>
        <w:t>.</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uniform percentage </w:t>
      </w:r>
      <w:r w:rsidRPr="00443386">
        <w:rPr>
          <w:rFonts w:ascii="Times New Roman" w:hAnsi="Times New Roman" w:cs="Times New Roman"/>
        </w:rPr>
        <w:t xml:space="preserve">increase of </w:t>
      </w:r>
      <w:r w:rsidR="00100091" w:rsidRPr="00443386">
        <w:rPr>
          <w:rFonts w:ascii="Times New Roman" w:hAnsi="Times New Roman" w:cs="Times New Roman"/>
        </w:rPr>
        <w:t xml:space="preserve">approximately </w:t>
      </w:r>
      <w:r w:rsidR="00CF74E0">
        <w:rPr>
          <w:rFonts w:ascii="Times New Roman" w:hAnsi="Times New Roman" w:cs="Times New Roman"/>
        </w:rPr>
        <w:t>2.6</w:t>
      </w:r>
      <w:r w:rsidR="00443386" w:rsidRPr="00443386">
        <w:rPr>
          <w:rFonts w:ascii="Times New Roman" w:hAnsi="Times New Roman" w:cs="Times New Roman"/>
        </w:rPr>
        <w:t>%</w:t>
      </w:r>
      <w:r w:rsidR="008B4398" w:rsidRPr="00443386">
        <w:rPr>
          <w:rFonts w:ascii="Times New Roman" w:hAnsi="Times New Roman" w:cs="Times New Roman"/>
        </w:rPr>
        <w:t xml:space="preserve"> applied to the three </w:t>
      </w:r>
      <w:r w:rsidRPr="00443386">
        <w:rPr>
          <w:rFonts w:ascii="Times New Roman" w:hAnsi="Times New Roman" w:cs="Times New Roman"/>
        </w:rPr>
        <w:t xml:space="preserve">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proposed energy rate increase for </w:t>
      </w:r>
      <w:r w:rsidRPr="00CF74E0">
        <w:rPr>
          <w:rFonts w:ascii="Times New Roman" w:hAnsi="Times New Roman" w:cs="Times New Roman"/>
        </w:rPr>
        <w:t>the first 500,000 kWhs used per month is 0.</w:t>
      </w:r>
      <w:r w:rsidR="00CF74E0" w:rsidRPr="00CF74E0">
        <w:rPr>
          <w:rFonts w:ascii="Times New Roman" w:hAnsi="Times New Roman" w:cs="Times New Roman"/>
        </w:rPr>
        <w:t>145</w:t>
      </w:r>
      <w:r w:rsidRPr="00CF74E0">
        <w:rPr>
          <w:rFonts w:ascii="Times New Roman" w:hAnsi="Times New Roman" w:cs="Times New Roman"/>
        </w:rPr>
        <w:t xml:space="preserve"> cents per kWh, 0.</w:t>
      </w:r>
      <w:r w:rsidR="00CF74E0" w:rsidRPr="00CF74E0">
        <w:rPr>
          <w:rFonts w:ascii="Times New Roman" w:hAnsi="Times New Roman" w:cs="Times New Roman"/>
        </w:rPr>
        <w:t>131</w:t>
      </w:r>
      <w:r w:rsidRPr="00CF74E0">
        <w:rPr>
          <w:rFonts w:ascii="Times New Roman" w:hAnsi="Times New Roman" w:cs="Times New Roman"/>
        </w:rPr>
        <w:t xml:space="preserve"> cents per kWh for the next 5.5 million, and 0.</w:t>
      </w:r>
      <w:r w:rsidR="00CF74E0" w:rsidRPr="00CF74E0">
        <w:rPr>
          <w:rFonts w:ascii="Times New Roman" w:hAnsi="Times New Roman" w:cs="Times New Roman"/>
        </w:rPr>
        <w:t>112</w:t>
      </w:r>
      <w:r w:rsidRPr="00CF74E0">
        <w:rPr>
          <w:rFonts w:ascii="Times New Roman" w:hAnsi="Times New Roman" w:cs="Times New Roman"/>
        </w:rPr>
        <w:t xml:space="preserve"> cents per kWh for all usage over 6 million kWhs per month.</w:t>
      </w:r>
      <w:r w:rsidRPr="005540EB">
        <w:rPr>
          <w:rFonts w:ascii="Times New Roman" w:hAnsi="Times New Roman" w:cs="Times New Roman"/>
        </w:rPr>
        <w:t xml:space="preserve">  </w:t>
      </w:r>
    </w:p>
    <w:p w:rsidR="00D66BCF" w:rsidRPr="005A6FE5" w:rsidRDefault="00D66BCF" w:rsidP="00D66BCF">
      <w:pPr>
        <w:pStyle w:val="P117"/>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changes is the Company proposing to the rates under Pumping Schedule 31 to recover the proposed general revenue </w:t>
      </w:r>
      <w:proofErr w:type="gramStart"/>
      <w:r w:rsidRPr="00CF74E0">
        <w:rPr>
          <w:rStyle w:val="T11"/>
          <w:rFonts w:ascii="Times New Roman" w:hAnsi="Times New Roman" w:cs="Times New Roman"/>
        </w:rPr>
        <w:t>increase</w:t>
      </w:r>
      <w:proofErr w:type="gramEnd"/>
      <w:r w:rsidRPr="00CF74E0">
        <w:rPr>
          <w:rStyle w:val="T11"/>
          <w:rFonts w:ascii="Times New Roman" w:hAnsi="Times New Roman" w:cs="Times New Roman"/>
        </w:rPr>
        <w:t xml:space="preserve"> of $</w:t>
      </w:r>
      <w:r w:rsidR="00CF74E0" w:rsidRPr="00CF74E0">
        <w:rPr>
          <w:rStyle w:val="T11"/>
          <w:rFonts w:ascii="Times New Roman" w:hAnsi="Times New Roman" w:cs="Times New Roman"/>
        </w:rPr>
        <w:t>409</w:t>
      </w:r>
      <w:r w:rsidRPr="00CF74E0">
        <w:rPr>
          <w:rStyle w:val="T11"/>
          <w:rFonts w:ascii="Times New Roman" w:hAnsi="Times New Roman" w:cs="Times New Roman"/>
        </w:rPr>
        <w:t>,000?</w:t>
      </w:r>
    </w:p>
    <w:p w:rsidR="00D66BCF" w:rsidRPr="005A6FE5" w:rsidRDefault="00D66BCF" w:rsidP="00D66BCF">
      <w:pPr>
        <w:pStyle w:val="P176"/>
        <w:numPr>
          <w:ilvl w:val="0"/>
          <w:numId w:val="7"/>
        </w:numPr>
        <w:tabs>
          <w:tab w:val="clear" w:pos="1590"/>
          <w:tab w:val="num" w:pos="1440"/>
        </w:tabs>
        <w:ind w:left="0" w:firstLine="720"/>
        <w:jc w:val="both"/>
        <w:rPr>
          <w:rFonts w:ascii="Times New Roman" w:hAnsi="Times New Roman" w:cs="Times New Roman"/>
        </w:rPr>
      </w:pPr>
      <w:r w:rsidRPr="005A6FE5">
        <w:rPr>
          <w:rFonts w:ascii="Times New Roman" w:hAnsi="Times New Roman" w:cs="Times New Roman"/>
        </w:rPr>
        <w:t>The Company is proposing that the customer charge be increased by $</w:t>
      </w:r>
      <w:r w:rsidR="00B346E1">
        <w:rPr>
          <w:rFonts w:ascii="Times New Roman" w:hAnsi="Times New Roman" w:cs="Times New Roman"/>
        </w:rPr>
        <w:t>3</w:t>
      </w:r>
      <w:r w:rsidRPr="005A6FE5">
        <w:rPr>
          <w:rFonts w:ascii="Times New Roman" w:hAnsi="Times New Roman" w:cs="Times New Roman"/>
        </w:rPr>
        <w:t>.00, from $1</w:t>
      </w:r>
      <w:r w:rsidR="00B346E1">
        <w:rPr>
          <w:rFonts w:ascii="Times New Roman" w:hAnsi="Times New Roman" w:cs="Times New Roman"/>
        </w:rPr>
        <w:t>5</w:t>
      </w:r>
      <w:r w:rsidRPr="005A6FE5">
        <w:rPr>
          <w:rFonts w:ascii="Times New Roman" w:hAnsi="Times New Roman" w:cs="Times New Roman"/>
        </w:rPr>
        <w:t>.</w:t>
      </w:r>
      <w:r w:rsidRPr="00443386">
        <w:rPr>
          <w:rFonts w:ascii="Times New Roman" w:hAnsi="Times New Roman" w:cs="Times New Roman"/>
        </w:rPr>
        <w:t xml:space="preserve">00 </w:t>
      </w:r>
      <w:r w:rsidRPr="00CF74E0">
        <w:rPr>
          <w:rFonts w:ascii="Times New Roman" w:hAnsi="Times New Roman" w:cs="Times New Roman"/>
        </w:rPr>
        <w:t>to $</w:t>
      </w:r>
      <w:r w:rsidR="00B346E1" w:rsidRPr="00CF74E0">
        <w:rPr>
          <w:rFonts w:ascii="Times New Roman" w:hAnsi="Times New Roman" w:cs="Times New Roman"/>
        </w:rPr>
        <w:t>18</w:t>
      </w:r>
      <w:r w:rsidRPr="00CF74E0">
        <w:rPr>
          <w:rFonts w:ascii="Times New Roman" w:hAnsi="Times New Roman" w:cs="Times New Roman"/>
        </w:rPr>
        <w:t xml:space="preserve">.00 per month, with the remaining revenue increase spread on a uniform percentage increase of </w:t>
      </w:r>
      <w:r w:rsidR="00CF74E0">
        <w:rPr>
          <w:rFonts w:ascii="Times New Roman" w:hAnsi="Times New Roman" w:cs="Times New Roman"/>
        </w:rPr>
        <w:t>3.1</w:t>
      </w:r>
      <w:r w:rsidRPr="00CF74E0">
        <w:rPr>
          <w:rFonts w:ascii="Times New Roman" w:hAnsi="Times New Roman" w:cs="Times New Roman"/>
        </w:rPr>
        <w:t>% to the two energy rate blocks under the schedule.  The proposed increase in the first block rate is 0.</w:t>
      </w:r>
      <w:r w:rsidR="00CF74E0" w:rsidRPr="00CF74E0">
        <w:rPr>
          <w:rFonts w:ascii="Times New Roman" w:hAnsi="Times New Roman" w:cs="Times New Roman"/>
        </w:rPr>
        <w:t>296</w:t>
      </w:r>
      <w:r w:rsidR="00CF74E0">
        <w:rPr>
          <w:rFonts w:ascii="Times New Roman" w:hAnsi="Times New Roman" w:cs="Times New Roman"/>
        </w:rPr>
        <w:t xml:space="preserve"> c</w:t>
      </w:r>
      <w:r w:rsidRPr="00CF74E0">
        <w:rPr>
          <w:rFonts w:ascii="Times New Roman" w:hAnsi="Times New Roman" w:cs="Times New Roman"/>
        </w:rPr>
        <w:t>ents per kWh and the increase in the second block rate is 0.</w:t>
      </w:r>
      <w:r w:rsidR="00CF74E0" w:rsidRPr="00CF74E0">
        <w:rPr>
          <w:rFonts w:ascii="Times New Roman" w:hAnsi="Times New Roman" w:cs="Times New Roman"/>
        </w:rPr>
        <w:t>212</w:t>
      </w:r>
      <w:r w:rsidRPr="00CF74E0">
        <w:rPr>
          <w:rFonts w:ascii="Times New Roman" w:hAnsi="Times New Roman" w:cs="Times New Roman"/>
        </w:rPr>
        <w:t xml:space="preserve"> cents per kWh.</w:t>
      </w:r>
      <w:r w:rsidRPr="005A6FE5">
        <w:rPr>
          <w:rFonts w:ascii="Times New Roman" w:hAnsi="Times New Roman" w:cs="Times New Roman"/>
        </w:rPr>
        <w:t xml:space="preserve">  </w:t>
      </w:r>
    </w:p>
    <w:p w:rsidR="00D66BCF" w:rsidRPr="00443386" w:rsidRDefault="00D66BCF" w:rsidP="00D66BCF">
      <w:pPr>
        <w:pStyle w:val="P130"/>
        <w:numPr>
          <w:ilvl w:val="0"/>
          <w:numId w:val="21"/>
        </w:numPr>
        <w:tabs>
          <w:tab w:val="num" w:pos="1440"/>
        </w:tabs>
        <w:ind w:left="0" w:firstLine="720"/>
        <w:jc w:val="both"/>
        <w:rPr>
          <w:rFonts w:ascii="Times New Roman" w:hAnsi="Times New Roman" w:cs="Times New Roman"/>
        </w:rPr>
      </w:pPr>
      <w:r w:rsidRPr="00443386">
        <w:rPr>
          <w:rFonts w:ascii="Times New Roman" w:hAnsi="Times New Roman" w:cs="Times New Roman"/>
        </w:rPr>
        <w:t>How is the Company proposing to spread the proposed revenue increase of $</w:t>
      </w:r>
      <w:r w:rsidR="00CF74E0">
        <w:rPr>
          <w:rFonts w:ascii="Times New Roman" w:hAnsi="Times New Roman" w:cs="Times New Roman"/>
        </w:rPr>
        <w:t>260,000</w:t>
      </w:r>
      <w:r w:rsidRPr="00443386">
        <w:rPr>
          <w:rFonts w:ascii="Times New Roman" w:hAnsi="Times New Roman" w:cs="Times New Roman"/>
        </w:rPr>
        <w:t xml:space="preserve"> applicable to Street and Area Light schedules to the rates contained in those schedules (Schedules 41-48)?</w:t>
      </w:r>
    </w:p>
    <w:p w:rsidR="00D34F06" w:rsidRPr="00D34F06" w:rsidRDefault="00D66BCF" w:rsidP="00D34F06">
      <w:pPr>
        <w:pStyle w:val="P164"/>
        <w:numPr>
          <w:ilvl w:val="0"/>
          <w:numId w:val="30"/>
        </w:numPr>
        <w:tabs>
          <w:tab w:val="clear" w:pos="1590"/>
          <w:tab w:val="num" w:pos="1440"/>
        </w:tabs>
        <w:ind w:left="0" w:firstLine="720"/>
        <w:jc w:val="both"/>
        <w:rPr>
          <w:rFonts w:ascii="Times New Roman" w:hAnsi="Times New Roman" w:cs="Times New Roman"/>
        </w:rPr>
      </w:pPr>
      <w:r w:rsidRPr="00443386">
        <w:rPr>
          <w:rFonts w:ascii="Times New Roman" w:hAnsi="Times New Roman" w:cs="Times New Roman"/>
        </w:rPr>
        <w:t xml:space="preserve">The Company proposes to increase present street and area light (base) rates on a uniform percentage basis.  The proposed increase for all lighting rates is </w:t>
      </w:r>
      <w:r w:rsidR="002B68A1">
        <w:rPr>
          <w:rFonts w:ascii="Times New Roman" w:hAnsi="Times New Roman" w:cs="Times New Roman"/>
        </w:rPr>
        <w:t>3.8</w:t>
      </w:r>
      <w:r w:rsidRPr="00443386">
        <w:rPr>
          <w:rFonts w:ascii="Times New Roman" w:hAnsi="Times New Roman" w:cs="Times New Roman"/>
        </w:rPr>
        <w:t xml:space="preserve">%.  The (base tariff) rates are shown in the tariffs for those schedules, contained in Exhibit </w:t>
      </w:r>
      <w:r w:rsidRPr="00443386">
        <w:rPr>
          <w:rFonts w:ascii="Times New Roman" w:hAnsi="Times New Roman" w:cs="Times New Roman"/>
        </w:rPr>
        <w:lastRenderedPageBreak/>
        <w:t>No.__</w:t>
      </w:r>
      <w:proofErr w:type="gramStart"/>
      <w:r w:rsidRPr="00443386">
        <w:rPr>
          <w:rFonts w:ascii="Times New Roman" w:hAnsi="Times New Roman" w:cs="Times New Roman"/>
        </w:rPr>
        <w:t>_(</w:t>
      </w:r>
      <w:proofErr w:type="gramEnd"/>
      <w:r w:rsidRPr="00443386">
        <w:rPr>
          <w:rFonts w:ascii="Times New Roman" w:hAnsi="Times New Roman" w:cs="Times New Roman"/>
        </w:rPr>
        <w:t>PDE-3).</w:t>
      </w:r>
    </w:p>
    <w:p w:rsidR="0008235E" w:rsidRPr="00B346E1" w:rsidRDefault="00D34F06" w:rsidP="00791C2B">
      <w:pPr>
        <w:pStyle w:val="P106"/>
        <w:tabs>
          <w:tab w:val="clear" w:pos="810"/>
          <w:tab w:val="left" w:pos="720"/>
        </w:tabs>
        <w:ind w:firstLine="0"/>
        <w:jc w:val="both"/>
        <w:rPr>
          <w:rFonts w:ascii="Times New Roman" w:hAnsi="Times New Roman" w:cs="Times New Roman"/>
          <w:b/>
        </w:rPr>
      </w:pPr>
      <w:r>
        <w:rPr>
          <w:rFonts w:ascii="Times New Roman" w:hAnsi="Times New Roman" w:cs="Times New Roman"/>
          <w:b/>
        </w:rPr>
        <w:tab/>
      </w:r>
      <w:r w:rsidR="0008235E" w:rsidRPr="00B346E1">
        <w:rPr>
          <w:rFonts w:ascii="Times New Roman" w:hAnsi="Times New Roman" w:cs="Times New Roman"/>
          <w:b/>
        </w:rPr>
        <w:t>Q.</w:t>
      </w:r>
      <w:r w:rsidR="0008235E" w:rsidRPr="00B346E1">
        <w:rPr>
          <w:rFonts w:ascii="Times New Roman" w:hAnsi="Times New Roman" w:cs="Times New Roman"/>
          <w:b/>
        </w:rPr>
        <w:tab/>
        <w:t>Is the Company proposing any other changes to its Street and Area Light schedules?</w:t>
      </w:r>
    </w:p>
    <w:p w:rsidR="0008235E" w:rsidRDefault="0008235E" w:rsidP="0008235E">
      <w:pPr>
        <w:pStyle w:val="P31"/>
        <w:jc w:val="both"/>
        <w:rPr>
          <w:rFonts w:ascii="Times New Roman" w:eastAsia="Calibri" w:hAnsi="Times New Roman" w:cs="Times New Roman"/>
          <w:szCs w:val="24"/>
        </w:rPr>
      </w:pPr>
      <w:r>
        <w:rPr>
          <w:rFonts w:ascii="Times New Roman" w:hAnsi="Times New Roman" w:cs="Times New Roman"/>
        </w:rPr>
        <w:t>A.</w:t>
      </w:r>
      <w:r>
        <w:rPr>
          <w:rFonts w:ascii="Times New Roman" w:hAnsi="Times New Roman" w:cs="Times New Roman"/>
        </w:rPr>
        <w:tab/>
      </w:r>
      <w:r w:rsidRPr="0078116B">
        <w:rPr>
          <w:rFonts w:ascii="Times New Roman" w:eastAsia="Calibri" w:hAnsi="Times New Roman" w:cs="Times New Roman"/>
          <w:szCs w:val="24"/>
        </w:rPr>
        <w:t xml:space="preserve">Yes, it is.  For Schedule 42 (Company-owned street lights), the Company is </w:t>
      </w:r>
      <w:r w:rsidR="002A7002">
        <w:rPr>
          <w:rFonts w:ascii="Times New Roman" w:eastAsia="Calibri" w:hAnsi="Times New Roman" w:cs="Times New Roman"/>
          <w:szCs w:val="24"/>
        </w:rPr>
        <w:t>proposing</w:t>
      </w:r>
      <w:r w:rsidRPr="0078116B">
        <w:rPr>
          <w:rFonts w:ascii="Times New Roman" w:eastAsia="Calibri" w:hAnsi="Times New Roman" w:cs="Times New Roman"/>
          <w:szCs w:val="24"/>
        </w:rPr>
        <w:t xml:space="preserve"> two changes.  First, the Company has added additional lighting codes for 100 watt and 200 watt LED equivalent street lights.  These rates will be applicable for those lights converted to LED technology.  </w:t>
      </w:r>
    </w:p>
    <w:p w:rsidR="0008235E" w:rsidRDefault="0008235E" w:rsidP="0008235E">
      <w:pPr>
        <w:pStyle w:val="P31"/>
        <w:jc w:val="both"/>
        <w:rPr>
          <w:rFonts w:ascii="Times New Roman" w:hAnsi="Times New Roman" w:cs="Times New Roman"/>
        </w:rPr>
      </w:pPr>
      <w:r w:rsidRPr="0078116B">
        <w:rPr>
          <w:rFonts w:ascii="Times New Roman" w:eastAsia="Calibri" w:hAnsi="Times New Roman" w:cs="Times New Roman"/>
          <w:szCs w:val="24"/>
        </w:rPr>
        <w:t xml:space="preserve">Second, </w:t>
      </w:r>
      <w:r>
        <w:rPr>
          <w:rFonts w:ascii="Times New Roman" w:hAnsi="Times New Roman" w:cs="Times New Roman"/>
        </w:rPr>
        <w:t>the Company is proposing a methodology for calculating new Street and Area Light rates for customer</w:t>
      </w:r>
      <w:r w:rsidR="00D32A7D">
        <w:rPr>
          <w:rFonts w:ascii="Times New Roman" w:hAnsi="Times New Roman" w:cs="Times New Roman"/>
        </w:rPr>
        <w:t>-</w:t>
      </w:r>
      <w:r>
        <w:rPr>
          <w:rFonts w:ascii="Times New Roman" w:hAnsi="Times New Roman" w:cs="Times New Roman"/>
        </w:rPr>
        <w:t xml:space="preserve">requested lighting </w:t>
      </w:r>
      <w:r w:rsidR="00D32A7D">
        <w:rPr>
          <w:rFonts w:ascii="Times New Roman" w:hAnsi="Times New Roman" w:cs="Times New Roman"/>
        </w:rPr>
        <w:t>in between general rate cases</w:t>
      </w:r>
      <w:r>
        <w:rPr>
          <w:rFonts w:ascii="Times New Roman" w:hAnsi="Times New Roman" w:cs="Times New Roman"/>
        </w:rPr>
        <w:t xml:space="preserve">.  </w:t>
      </w:r>
      <w:r w:rsidR="000D4B96">
        <w:rPr>
          <w:rFonts w:ascii="Times New Roman" w:hAnsi="Times New Roman" w:cs="Times New Roman"/>
        </w:rPr>
        <w:t xml:space="preserve">In some instances customers may request that the Company install a particular street light; however, that street light may be different than the lights included in the tariff.  </w:t>
      </w:r>
      <w:r>
        <w:rPr>
          <w:rFonts w:ascii="Times New Roman" w:hAnsi="Times New Roman" w:cs="Times New Roman"/>
        </w:rPr>
        <w:t>The Company is proposing to use the methodology summarized below and described more fully in Schedule 42 to update new lighting standards outside of the context of a general rate case</w:t>
      </w:r>
      <w:r>
        <w:rPr>
          <w:rStyle w:val="FootnoteReference"/>
          <w:rFonts w:ascii="Times New Roman" w:hAnsi="Times New Roman"/>
        </w:rPr>
        <w:footnoteReference w:id="6"/>
      </w:r>
      <w:r>
        <w:rPr>
          <w:rFonts w:ascii="Times New Roman" w:hAnsi="Times New Roman" w:cs="Times New Roman"/>
        </w:rPr>
        <w:t xml:space="preserve">.   </w:t>
      </w:r>
    </w:p>
    <w:p w:rsidR="0008235E" w:rsidRPr="005540EB" w:rsidRDefault="0008235E" w:rsidP="0008235E">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w:t>
      </w:r>
      <w:r>
        <w:rPr>
          <w:rFonts w:ascii="Times New Roman" w:hAnsi="Times New Roman" w:cs="Times New Roman"/>
        </w:rPr>
        <w:t xml:space="preserve"> describe the basic methodology for calculating the capital component of a new street or area light rate</w:t>
      </w:r>
      <w:r w:rsidRPr="005540EB">
        <w:rPr>
          <w:rFonts w:ascii="Times New Roman" w:hAnsi="Times New Roman" w:cs="Times New Roman"/>
        </w:rPr>
        <w:t>?</w:t>
      </w:r>
    </w:p>
    <w:p w:rsidR="0008235E" w:rsidRDefault="0008235E" w:rsidP="0008235E">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The basic methodology for calculating any new rate for Schedule 42 is to determine the capital, maintenance, and energy components to develop a monthly rate.  For the </w:t>
      </w:r>
      <w:r w:rsidRPr="007579AD">
        <w:rPr>
          <w:rFonts w:ascii="Times New Roman" w:hAnsi="Times New Roman" w:cs="Times New Roman"/>
          <w:u w:val="single"/>
        </w:rPr>
        <w:t>capital component</w:t>
      </w:r>
      <w:proofErr w:type="gramStart"/>
      <w:r>
        <w:rPr>
          <w:rFonts w:ascii="Times New Roman" w:hAnsi="Times New Roman" w:cs="Times New Roman"/>
        </w:rPr>
        <w:t>,  an</w:t>
      </w:r>
      <w:proofErr w:type="gramEnd"/>
      <w:r>
        <w:rPr>
          <w:rFonts w:ascii="Times New Roman" w:hAnsi="Times New Roman" w:cs="Times New Roman"/>
        </w:rPr>
        <w:t xml:space="preserve"> engineering estimate of the installed cost for a new Street Light component would be multiplied by a Capital Recovery Factor</w:t>
      </w:r>
      <w:r>
        <w:rPr>
          <w:rStyle w:val="FootnoteReference"/>
          <w:rFonts w:ascii="Times New Roman" w:hAnsi="Times New Roman"/>
        </w:rPr>
        <w:footnoteReference w:id="7"/>
      </w:r>
      <w:r>
        <w:rPr>
          <w:rFonts w:ascii="Times New Roman" w:hAnsi="Times New Roman" w:cs="Times New Roman"/>
        </w:rPr>
        <w:t xml:space="preserve"> to determine the annual revenue requirement.  </w:t>
      </w:r>
      <w:r w:rsidR="002E7F3A">
        <w:rPr>
          <w:rFonts w:ascii="Times New Roman" w:hAnsi="Times New Roman" w:cs="Times New Roman"/>
        </w:rPr>
        <w:t>Illustration No. 2</w:t>
      </w:r>
      <w:r>
        <w:rPr>
          <w:rFonts w:ascii="Times New Roman" w:hAnsi="Times New Roman" w:cs="Times New Roman"/>
        </w:rPr>
        <w:t xml:space="preserve"> below shows an example of the annual and monthly rate calculation methodology:</w:t>
      </w:r>
    </w:p>
    <w:p w:rsidR="0008235E" w:rsidRDefault="002A7002" w:rsidP="0008235E">
      <w:pPr>
        <w:spacing w:line="480" w:lineRule="auto"/>
      </w:pPr>
      <w:r>
        <w:rPr>
          <w:b/>
          <w:bCs/>
          <w:noProof/>
          <w:u w:val="single"/>
        </w:rPr>
        <w:lastRenderedPageBreak/>
        <w:drawing>
          <wp:anchor distT="0" distB="0" distL="114300" distR="114300" simplePos="0" relativeHeight="251903488" behindDoc="1" locked="0" layoutInCell="1" allowOverlap="1">
            <wp:simplePos x="0" y="0"/>
            <wp:positionH relativeFrom="column">
              <wp:posOffset>1202055</wp:posOffset>
            </wp:positionH>
            <wp:positionV relativeFrom="paragraph">
              <wp:posOffset>295275</wp:posOffset>
            </wp:positionV>
            <wp:extent cx="3124200" cy="2038350"/>
            <wp:effectExtent l="1905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3124200" cy="2038350"/>
                    </a:xfrm>
                    <a:prstGeom prst="rect">
                      <a:avLst/>
                    </a:prstGeom>
                    <a:noFill/>
                    <a:ln w="9525">
                      <a:noFill/>
                      <a:miter lim="800000"/>
                      <a:headEnd/>
                      <a:tailEnd/>
                    </a:ln>
                  </pic:spPr>
                </pic:pic>
              </a:graphicData>
            </a:graphic>
          </wp:anchor>
        </w:drawing>
      </w:r>
      <w:r w:rsidR="002E7F3A">
        <w:rPr>
          <w:b/>
          <w:bCs/>
          <w:u w:val="single"/>
        </w:rPr>
        <w:t>Illustration No. 2</w:t>
      </w:r>
      <w:r w:rsidR="0008235E" w:rsidRPr="00AD0CFD">
        <w:rPr>
          <w:b/>
          <w:bCs/>
          <w:u w:val="single"/>
        </w:rPr>
        <w:t xml:space="preserve"> – </w:t>
      </w:r>
      <w:r w:rsidR="0008235E">
        <w:rPr>
          <w:b/>
          <w:bCs/>
          <w:u w:val="single"/>
        </w:rPr>
        <w:t>Calculation of Monthly Capital Recovery</w:t>
      </w:r>
      <w:r w:rsidR="0008235E" w:rsidRPr="00AD0CFD">
        <w:t xml:space="preserve"> </w:t>
      </w:r>
    </w:p>
    <w:p w:rsidR="0008235E" w:rsidRDefault="0008235E"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08235E" w:rsidRPr="00AD0CFD" w:rsidRDefault="0008235E" w:rsidP="0008235E">
      <w:pPr>
        <w:pStyle w:val="P106"/>
        <w:ind w:firstLine="0"/>
        <w:jc w:val="both"/>
      </w:pPr>
      <w:r>
        <w:rPr>
          <w:rFonts w:ascii="Times New Roman" w:hAnsi="Times New Roman" w:cs="Times New Roman"/>
        </w:rPr>
        <w:t xml:space="preserve">The </w:t>
      </w:r>
      <w:r w:rsidRPr="007579AD">
        <w:rPr>
          <w:rFonts w:ascii="Times New Roman" w:hAnsi="Times New Roman" w:cs="Times New Roman"/>
          <w:u w:val="single"/>
        </w:rPr>
        <w:t>maintenance component</w:t>
      </w:r>
      <w:r>
        <w:rPr>
          <w:rFonts w:ascii="Times New Roman" w:hAnsi="Times New Roman" w:cs="Times New Roman"/>
        </w:rPr>
        <w:t xml:space="preserve"> for an existing light offering will be the same rate that is embedded in present rates today</w:t>
      </w:r>
      <w:r>
        <w:rPr>
          <w:rStyle w:val="FootnoteReference"/>
          <w:rFonts w:ascii="Times New Roman" w:hAnsi="Times New Roman"/>
        </w:rPr>
        <w:footnoteReference w:id="8"/>
      </w:r>
      <w:r>
        <w:rPr>
          <w:rFonts w:ascii="Times New Roman" w:hAnsi="Times New Roman" w:cs="Times New Roman"/>
        </w:rPr>
        <w:t xml:space="preserve">.  For the </w:t>
      </w:r>
      <w:r w:rsidRPr="007579AD">
        <w:rPr>
          <w:rFonts w:ascii="Times New Roman" w:hAnsi="Times New Roman" w:cs="Times New Roman"/>
          <w:u w:val="single"/>
        </w:rPr>
        <w:t>energy component</w:t>
      </w:r>
      <w:r>
        <w:rPr>
          <w:rFonts w:ascii="Times New Roman" w:hAnsi="Times New Roman" w:cs="Times New Roman"/>
        </w:rPr>
        <w:t>, the energy rate for a similar wattage light under Schedule 46 would be used.  The energy component of any</w:t>
      </w:r>
      <w:r w:rsidRPr="0008235E">
        <w:rPr>
          <w:rFonts w:ascii="Times New Roman" w:hAnsi="Times New Roman" w:cs="Times New Roman"/>
        </w:rPr>
        <w:t xml:space="preserve"> new light offering will be derived in the same manner as described in t</w:t>
      </w:r>
      <w:r>
        <w:rPr>
          <w:rFonts w:ascii="Times New Roman" w:hAnsi="Times New Roman" w:cs="Times New Roman"/>
        </w:rPr>
        <w:t>he changes to Schedule 46 below.</w:t>
      </w:r>
      <w:r w:rsidR="002A7002">
        <w:rPr>
          <w:rFonts w:ascii="Times New Roman" w:hAnsi="Times New Roman" w:cs="Times New Roman"/>
        </w:rPr>
        <w:t xml:space="preserve">  Any new rates developed would be included in the Company’s next rate case fi</w:t>
      </w:r>
      <w:r w:rsidR="00822621">
        <w:rPr>
          <w:rFonts w:ascii="Times New Roman" w:hAnsi="Times New Roman" w:cs="Times New Roman"/>
        </w:rPr>
        <w:t>l</w:t>
      </w:r>
      <w:r w:rsidR="002A7002">
        <w:rPr>
          <w:rFonts w:ascii="Times New Roman" w:hAnsi="Times New Roman" w:cs="Times New Roman"/>
        </w:rPr>
        <w:t>ing.</w:t>
      </w:r>
    </w:p>
    <w:p w:rsidR="0008235E" w:rsidRPr="00AD0CFD" w:rsidRDefault="0008235E" w:rsidP="0008235E">
      <w:pPr>
        <w:spacing w:line="480" w:lineRule="auto"/>
        <w:ind w:firstLine="720"/>
        <w:jc w:val="both"/>
        <w:rPr>
          <w:b/>
        </w:rPr>
      </w:pPr>
      <w:r w:rsidRPr="00AD0CFD">
        <w:rPr>
          <w:b/>
        </w:rPr>
        <w:t>Q.</w:t>
      </w:r>
      <w:r w:rsidRPr="00AD0CFD">
        <w:rPr>
          <w:b/>
        </w:rPr>
        <w:tab/>
        <w:t xml:space="preserve">What </w:t>
      </w:r>
      <w:r>
        <w:rPr>
          <w:b/>
        </w:rPr>
        <w:t xml:space="preserve">other </w:t>
      </w:r>
      <w:r w:rsidRPr="00AD0CFD">
        <w:rPr>
          <w:b/>
        </w:rPr>
        <w:t>change</w:t>
      </w:r>
      <w:r>
        <w:rPr>
          <w:b/>
        </w:rPr>
        <w:t xml:space="preserve">s are being proposed to the Street and Area Light </w:t>
      </w:r>
      <w:proofErr w:type="gramStart"/>
      <w:r>
        <w:rPr>
          <w:b/>
        </w:rPr>
        <w:t>Schedules.</w:t>
      </w:r>
      <w:r w:rsidRPr="00AD0CFD">
        <w:rPr>
          <w:b/>
        </w:rPr>
        <w:t>?</w:t>
      </w:r>
      <w:proofErr w:type="gramEnd"/>
    </w:p>
    <w:p w:rsidR="004A0973" w:rsidRDefault="0008235E" w:rsidP="00791C2B">
      <w:pPr>
        <w:pStyle w:val="P106"/>
        <w:tabs>
          <w:tab w:val="clear" w:pos="810"/>
          <w:tab w:val="left" w:pos="720"/>
        </w:tabs>
        <w:ind w:firstLine="0"/>
        <w:jc w:val="both"/>
        <w:rPr>
          <w:rFonts w:ascii="Times New Roman" w:hAnsi="Times New Roman" w:cs="Times New Roman"/>
          <w:szCs w:val="24"/>
        </w:rPr>
      </w:pPr>
      <w:r>
        <w:rPr>
          <w:rFonts w:ascii="Times New Roman" w:hAnsi="Times New Roman" w:cs="Times New Roman"/>
          <w:szCs w:val="24"/>
        </w:rPr>
        <w:tab/>
      </w:r>
      <w:r w:rsidRPr="0008235E">
        <w:rPr>
          <w:rFonts w:ascii="Times New Roman" w:hAnsi="Times New Roman" w:cs="Times New Roman"/>
          <w:szCs w:val="24"/>
        </w:rPr>
        <w:t>A.</w:t>
      </w:r>
      <w:r w:rsidRPr="0008235E">
        <w:rPr>
          <w:rFonts w:ascii="Times New Roman" w:hAnsi="Times New Roman" w:cs="Times New Roman"/>
          <w:szCs w:val="24"/>
        </w:rPr>
        <w:tab/>
        <w:t xml:space="preserve">Under Schedule 44, the Company provides energy and O&amp;M services to customer-owned street lights. </w:t>
      </w:r>
      <w:r w:rsidR="00D32A7D" w:rsidRPr="00D32A7D">
        <w:rPr>
          <w:rFonts w:ascii="Times New Roman" w:hAnsi="Times New Roman" w:cs="Times New Roman"/>
          <w:szCs w:val="24"/>
        </w:rPr>
        <w:t xml:space="preserve">Customer-owned lights are governed, electrically, by the National Electric Code (“NEC”).  Utility owned property, however, is governed by the National Electric Safety Code (“NESC”).  While the Company traditionally works on customer-owned street lights, adoption </w:t>
      </w:r>
      <w:proofErr w:type="gramStart"/>
      <w:r w:rsidR="00D32A7D" w:rsidRPr="00D32A7D">
        <w:rPr>
          <w:rFonts w:ascii="Times New Roman" w:hAnsi="Times New Roman" w:cs="Times New Roman"/>
          <w:szCs w:val="24"/>
        </w:rPr>
        <w:t>of  the</w:t>
      </w:r>
      <w:proofErr w:type="gramEnd"/>
      <w:r w:rsidR="00D32A7D" w:rsidRPr="00D32A7D">
        <w:rPr>
          <w:rFonts w:ascii="Times New Roman" w:hAnsi="Times New Roman" w:cs="Times New Roman"/>
          <w:szCs w:val="24"/>
        </w:rPr>
        <w:t xml:space="preserve"> NESC 2012 Edition has created a conflict between the Company’s tariff and the NESC.  </w:t>
      </w:r>
      <w:proofErr w:type="gramStart"/>
      <w:r w:rsidR="00D32A7D" w:rsidRPr="00D32A7D">
        <w:rPr>
          <w:rFonts w:ascii="Times New Roman" w:hAnsi="Times New Roman" w:cs="Times New Roman"/>
          <w:szCs w:val="24"/>
        </w:rPr>
        <w:t xml:space="preserve">Specifically, Section 1.011.A.2 states that street lights maintained by a utility must be under the exclusive control of the utility, i.e., </w:t>
      </w:r>
      <w:r w:rsidR="00D32A7D" w:rsidRPr="00D32A7D">
        <w:rPr>
          <w:rFonts w:ascii="Times New Roman" w:hAnsi="Times New Roman" w:cs="Times New Roman"/>
          <w:szCs w:val="24"/>
        </w:rPr>
        <w:lastRenderedPageBreak/>
        <w:t>Company-owned lights.</w:t>
      </w:r>
      <w:proofErr w:type="gramEnd"/>
      <w:r w:rsidR="00D32A7D" w:rsidRPr="00D32A7D">
        <w:rPr>
          <w:rFonts w:ascii="Times New Roman" w:hAnsi="Times New Roman" w:cs="Times New Roman"/>
          <w:szCs w:val="24"/>
        </w:rPr>
        <w:t xml:space="preserve">  Under Schedule 44, Avista provides maintenance on customer-owned lights, thus creating the conflict between the schedule and the rule.  Closing the schedule to new customers will help to resolve this conflict.</w:t>
      </w:r>
      <w:r w:rsidR="00D32A7D">
        <w:rPr>
          <w:rFonts w:ascii="Times New Roman" w:hAnsi="Times New Roman" w:cs="Times New Roman"/>
          <w:szCs w:val="24"/>
        </w:rPr>
        <w:t xml:space="preserve">  T</w:t>
      </w:r>
      <w:r w:rsidRPr="0008235E">
        <w:rPr>
          <w:rFonts w:ascii="Times New Roman" w:hAnsi="Times New Roman" w:cs="Times New Roman"/>
          <w:szCs w:val="24"/>
        </w:rPr>
        <w:t xml:space="preserve">he Company is proposing close Schedule 44 to new customers effective January 1, 2015, with existing customers being allowed to continue to take service.  </w:t>
      </w:r>
    </w:p>
    <w:p w:rsidR="0008235E" w:rsidRPr="00AD0CFD" w:rsidRDefault="004A0973" w:rsidP="0008235E">
      <w:pPr>
        <w:pStyle w:val="P106"/>
        <w:ind w:firstLine="0"/>
        <w:jc w:val="both"/>
        <w:rPr>
          <w:rFonts w:ascii="Times New Roman" w:hAnsi="Times New Roman" w:cs="Times New Roman"/>
          <w:szCs w:val="24"/>
        </w:rPr>
      </w:pPr>
      <w:r>
        <w:rPr>
          <w:rFonts w:ascii="Times New Roman" w:hAnsi="Times New Roman" w:cs="Times New Roman"/>
          <w:szCs w:val="24"/>
        </w:rPr>
        <w:tab/>
      </w:r>
      <w:r w:rsidR="0008235E" w:rsidRPr="0008235E">
        <w:rPr>
          <w:rFonts w:ascii="Times New Roman" w:hAnsi="Times New Roman" w:cs="Times New Roman"/>
          <w:szCs w:val="24"/>
        </w:rPr>
        <w:t>F</w:t>
      </w:r>
      <w:r w:rsidR="0008235E" w:rsidRPr="00AD0CFD">
        <w:rPr>
          <w:rFonts w:ascii="Times New Roman" w:hAnsi="Times New Roman" w:cs="Times New Roman"/>
          <w:szCs w:val="24"/>
        </w:rPr>
        <w:t>or Schedule 46</w:t>
      </w:r>
      <w:r w:rsidR="0008235E">
        <w:rPr>
          <w:rFonts w:ascii="Times New Roman" w:hAnsi="Times New Roman" w:cs="Times New Roman"/>
          <w:szCs w:val="24"/>
        </w:rPr>
        <w:t xml:space="preserve">, </w:t>
      </w:r>
      <w:r w:rsidR="0008235E" w:rsidRPr="00AD0CFD">
        <w:rPr>
          <w:rFonts w:ascii="Times New Roman" w:hAnsi="Times New Roman" w:cs="Times New Roman"/>
          <w:szCs w:val="24"/>
        </w:rPr>
        <w:t xml:space="preserve">the Company is </w:t>
      </w:r>
      <w:r w:rsidR="00D32A7D">
        <w:rPr>
          <w:rFonts w:ascii="Times New Roman" w:hAnsi="Times New Roman" w:cs="Times New Roman"/>
          <w:szCs w:val="24"/>
        </w:rPr>
        <w:t xml:space="preserve">proposing to </w:t>
      </w:r>
      <w:r w:rsidR="0008235E" w:rsidRPr="00AD0CFD">
        <w:rPr>
          <w:rFonts w:ascii="Times New Roman" w:hAnsi="Times New Roman" w:cs="Times New Roman"/>
          <w:szCs w:val="24"/>
        </w:rPr>
        <w:t>modify its tariff to reflect a new prescriptive energy rate calculation</w:t>
      </w:r>
      <w:r w:rsidR="0008235E">
        <w:rPr>
          <w:rFonts w:ascii="Times New Roman" w:hAnsi="Times New Roman" w:cs="Times New Roman"/>
          <w:szCs w:val="24"/>
        </w:rPr>
        <w:t xml:space="preserve"> for lights where an existing code does not exist</w:t>
      </w:r>
      <w:r w:rsidR="0008235E" w:rsidRPr="00AD0CFD">
        <w:rPr>
          <w:rFonts w:ascii="Times New Roman" w:hAnsi="Times New Roman" w:cs="Times New Roman"/>
          <w:szCs w:val="24"/>
        </w:rPr>
        <w:t>.  The rate would be determined using the following formula:</w:t>
      </w:r>
    </w:p>
    <w:p w:rsidR="0008235E" w:rsidRPr="00F02962" w:rsidRDefault="0008235E" w:rsidP="0008235E">
      <w:pPr>
        <w:pStyle w:val="P106"/>
        <w:jc w:val="both"/>
        <w:rPr>
          <w:rFonts w:ascii="Times New Roman" w:hAnsi="Times New Roman" w:cs="Times New Roman"/>
          <w:b/>
          <w:szCs w:val="24"/>
        </w:rPr>
      </w:pPr>
      <w:r w:rsidRPr="00F02962">
        <w:rPr>
          <w:rFonts w:ascii="Times New Roman" w:hAnsi="Times New Roman" w:cs="Times New Roman"/>
          <w:b/>
          <w:szCs w:val="24"/>
        </w:rPr>
        <w:t>Custom Rate = Wattage of Customers Street Light * 365 Hours * Energy Rate</w:t>
      </w:r>
    </w:p>
    <w:p w:rsidR="0008235E" w:rsidRDefault="0008235E" w:rsidP="0008235E">
      <w:pPr>
        <w:pStyle w:val="P106"/>
        <w:ind w:firstLine="0"/>
        <w:jc w:val="both"/>
        <w:rPr>
          <w:rFonts w:ascii="Times New Roman" w:hAnsi="Times New Roman" w:cs="Times New Roman"/>
          <w:szCs w:val="24"/>
        </w:rPr>
      </w:pPr>
      <w:r w:rsidRPr="00AD0CFD">
        <w:rPr>
          <w:rFonts w:ascii="Times New Roman" w:hAnsi="Times New Roman" w:cs="Times New Roman"/>
          <w:szCs w:val="24"/>
        </w:rPr>
        <w:t xml:space="preserve">The wattage of the street light would be provided by the Customer and verified by the Company.  As for the hours of operation, the Company is basing that on dusk-to-dawn service (4,380 annual hours, or 365 hours per month). Finally, the energy rate was determined by dividing the proposed revenue for Schedule 46 by total kWh usage for Schedule 46.  </w:t>
      </w:r>
    </w:p>
    <w:p w:rsidR="006A4CE9" w:rsidRDefault="006A4CE9" w:rsidP="006A4CE9">
      <w:pPr>
        <w:pStyle w:val="P106"/>
        <w:ind w:firstLine="0"/>
        <w:jc w:val="both"/>
        <w:rPr>
          <w:rFonts w:ascii="Times New Roman" w:hAnsi="Times New Roman" w:cs="Times New Roman"/>
        </w:rPr>
      </w:pPr>
    </w:p>
    <w:p w:rsidR="005540EB" w:rsidRPr="005540EB" w:rsidRDefault="005540EB" w:rsidP="005540EB">
      <w:pPr>
        <w:pStyle w:val="P246"/>
        <w:ind w:firstLine="0"/>
        <w:jc w:val="center"/>
        <w:rPr>
          <w:rFonts w:ascii="Times New Roman" w:hAnsi="Times New Roman" w:cs="Times New Roman"/>
        </w:rPr>
      </w:pPr>
      <w:r w:rsidRPr="005540EB">
        <w:rPr>
          <w:rFonts w:ascii="Times New Roman" w:hAnsi="Times New Roman" w:cs="Times New Roman"/>
        </w:rPr>
        <w:t>IV</w:t>
      </w:r>
      <w:proofErr w:type="gramStart"/>
      <w:r w:rsidRPr="005540EB">
        <w:rPr>
          <w:rFonts w:ascii="Times New Roman" w:hAnsi="Times New Roman" w:cs="Times New Roman"/>
        </w:rPr>
        <w:t>.  PROPOSED</w:t>
      </w:r>
      <w:proofErr w:type="gramEnd"/>
      <w:r w:rsidRPr="005540EB">
        <w:rPr>
          <w:rFonts w:ascii="Times New Roman" w:hAnsi="Times New Roman" w:cs="Times New Roman"/>
        </w:rPr>
        <w:t xml:space="preserve"> NATURAL GAS REVENUE INCREASE</w:t>
      </w:r>
    </w:p>
    <w:p w:rsidR="0021578E" w:rsidRPr="005540EB" w:rsidRDefault="0021578E" w:rsidP="0021578E">
      <w:pPr>
        <w:pStyle w:val="P253"/>
        <w:jc w:val="both"/>
        <w:outlineLvl w:val="0"/>
        <w:rPr>
          <w:rFonts w:ascii="Times New Roman" w:hAnsi="Times New Roman" w:cs="Times New Roman"/>
        </w:rPr>
      </w:pPr>
      <w:r w:rsidRPr="005540EB">
        <w:rPr>
          <w:rFonts w:ascii="Times New Roman" w:hAnsi="Times New Roman" w:cs="Times New Roman"/>
        </w:rPr>
        <w:t>Summary of Natural Gas Rate Schedules and Tariffs</w:t>
      </w:r>
    </w:p>
    <w:p w:rsidR="005540EB" w:rsidRPr="005540EB" w:rsidRDefault="005540EB" w:rsidP="005540E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D32A7D">
        <w:rPr>
          <w:rFonts w:ascii="Times New Roman" w:hAnsi="Times New Roman" w:cs="Times New Roman"/>
        </w:rPr>
        <w:t>Would</w:t>
      </w:r>
      <w:r w:rsidR="00147D24">
        <w:rPr>
          <w:rFonts w:ascii="Times New Roman" w:hAnsi="Times New Roman" w:cs="Times New Roman"/>
        </w:rPr>
        <w:t xml:space="preserve"> you p</w:t>
      </w:r>
      <w:r w:rsidRPr="005540EB">
        <w:rPr>
          <w:rFonts w:ascii="Times New Roman" w:hAnsi="Times New Roman" w:cs="Times New Roman"/>
        </w:rPr>
        <w:t>lease explain what is contained in 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-5)?</w:t>
      </w:r>
    </w:p>
    <w:p w:rsidR="005540EB" w:rsidRPr="005540EB" w:rsidRDefault="005540EB" w:rsidP="005540EB">
      <w:pPr>
        <w:pStyle w:val="P203"/>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-5) contains a copy of the Company’s present natural gas tariffs presently on file with the Commission.</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describe what is contained in Exhibit No._</w:t>
      </w:r>
      <w:r w:rsidR="00667220">
        <w:rPr>
          <w:rStyle w:val="T11"/>
          <w:rFonts w:ascii="Times New Roman" w:hAnsi="Times New Roman" w:cs="Times New Roman"/>
        </w:rPr>
        <w:t>_</w:t>
      </w:r>
      <w:proofErr w:type="gramStart"/>
      <w:r w:rsidR="00667220">
        <w:rPr>
          <w:rStyle w:val="T11"/>
          <w:rFonts w:ascii="Times New Roman" w:hAnsi="Times New Roman" w:cs="Times New Roman"/>
        </w:rPr>
        <w:t>_</w:t>
      </w:r>
      <w:r w:rsidRPr="005540EB">
        <w:rPr>
          <w:rStyle w:val="T11"/>
          <w:rFonts w:ascii="Times New Roman" w:hAnsi="Times New Roman" w:cs="Times New Roman"/>
        </w:rPr>
        <w:t>(</w:t>
      </w:r>
      <w:proofErr w:type="gramEnd"/>
      <w:r w:rsidR="00D8699E">
        <w:rPr>
          <w:rStyle w:val="T11"/>
          <w:rFonts w:ascii="Times New Roman" w:hAnsi="Times New Roman" w:cs="Times New Roman"/>
        </w:rPr>
        <w:t>PDE</w:t>
      </w:r>
      <w:r w:rsidRPr="005540EB">
        <w:rPr>
          <w:rStyle w:val="T11"/>
          <w:rFonts w:ascii="Times New Roman" w:hAnsi="Times New Roman" w:cs="Times New Roman"/>
        </w:rPr>
        <w:t xml:space="preserve">-6)?  </w:t>
      </w:r>
    </w:p>
    <w:p w:rsidR="005540EB" w:rsidRPr="005540EB" w:rsidRDefault="005540EB" w:rsidP="005540EB">
      <w:pPr>
        <w:pStyle w:val="P4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 xml:space="preserve">-6) contains the proposed natural gas tariff sheets incorporating the proposed changes included in this filing. </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lastRenderedPageBreak/>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explain what is contained in Exhibit No._</w:t>
      </w:r>
      <w:r w:rsidR="00667220">
        <w:rPr>
          <w:rStyle w:val="T11"/>
          <w:rFonts w:ascii="Times New Roman" w:hAnsi="Times New Roman" w:cs="Times New Roman"/>
        </w:rPr>
        <w:t>_</w:t>
      </w:r>
      <w:proofErr w:type="gramStart"/>
      <w:r w:rsidR="00667220">
        <w:rPr>
          <w:rStyle w:val="T11"/>
          <w:rFonts w:ascii="Times New Roman" w:hAnsi="Times New Roman" w:cs="Times New Roman"/>
        </w:rPr>
        <w:t>_</w:t>
      </w:r>
      <w:r w:rsidRPr="005540EB">
        <w:rPr>
          <w:rStyle w:val="T11"/>
          <w:rFonts w:ascii="Times New Roman" w:hAnsi="Times New Roman" w:cs="Times New Roman"/>
        </w:rPr>
        <w:t>(</w:t>
      </w:r>
      <w:proofErr w:type="gramEnd"/>
      <w:r w:rsidR="00D8699E">
        <w:rPr>
          <w:rStyle w:val="T11"/>
          <w:rFonts w:ascii="Times New Roman" w:hAnsi="Times New Roman" w:cs="Times New Roman"/>
        </w:rPr>
        <w:t>PDE</w:t>
      </w:r>
      <w:r w:rsidRPr="005540EB">
        <w:rPr>
          <w:rStyle w:val="T11"/>
          <w:rFonts w:ascii="Times New Roman" w:hAnsi="Times New Roman" w:cs="Times New Roman"/>
        </w:rPr>
        <w:t>-7)?</w:t>
      </w:r>
    </w:p>
    <w:p w:rsidR="001279B7" w:rsidRPr="001279B7" w:rsidRDefault="005540EB" w:rsidP="001279B7">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-7) contains information regarding the proposed spread of the natural gas revenue increase among the service schedules and the proposed changes to the rates within the schedules.  Page 1 shows the proposed revenue and percentage increase by rate schedule.  Page 2 shows the rates of return and the relative rates of return for each of the schedules before and after the proposed increases.  Page 3 shows the present rates under each of the rate schedules, the proposed changes to the rates within the schedules, and the proposed rates after application of the changes.  These pages will be referred to later in my testimony.</w:t>
      </w:r>
    </w:p>
    <w:p w:rsidR="005540EB" w:rsidRPr="005540EB" w:rsidRDefault="005540EB" w:rsidP="005540EB">
      <w:pPr>
        <w:pStyle w:val="P72"/>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Would you please review the Company's present rate schedules and the types of </w:t>
      </w:r>
      <w:r w:rsidR="00580834">
        <w:rPr>
          <w:rFonts w:ascii="Times New Roman" w:hAnsi="Times New Roman" w:cs="Times New Roman"/>
        </w:rPr>
        <w:t xml:space="preserve">natural </w:t>
      </w:r>
      <w:r w:rsidRPr="005540EB">
        <w:rPr>
          <w:rFonts w:ascii="Times New Roman" w:hAnsi="Times New Roman" w:cs="Times New Roman"/>
        </w:rPr>
        <w:t>gas service offered under each?</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Company's present Schedules 101</w:t>
      </w:r>
      <w:r w:rsidR="00CF6646">
        <w:rPr>
          <w:rFonts w:ascii="Times New Roman" w:hAnsi="Times New Roman" w:cs="Times New Roman"/>
        </w:rPr>
        <w:t>, 111</w:t>
      </w:r>
      <w:r w:rsidRPr="005540EB">
        <w:rPr>
          <w:rFonts w:ascii="Times New Roman" w:hAnsi="Times New Roman" w:cs="Times New Roman"/>
        </w:rPr>
        <w:t xml:space="preserve"> and 1</w:t>
      </w:r>
      <w:r w:rsidR="00CF6646">
        <w:rPr>
          <w:rFonts w:ascii="Times New Roman" w:hAnsi="Times New Roman" w:cs="Times New Roman"/>
        </w:rPr>
        <w:t>2</w:t>
      </w:r>
      <w:r w:rsidRPr="005540EB">
        <w:rPr>
          <w:rFonts w:ascii="Times New Roman" w:hAnsi="Times New Roman" w:cs="Times New Roman"/>
        </w:rPr>
        <w:t xml:space="preserve">1 offer firm sales service.  Schedule 101 generally applies to residential and small commercial customers who use </w:t>
      </w:r>
      <w:proofErr w:type="gramStart"/>
      <w:r w:rsidRPr="005540EB">
        <w:rPr>
          <w:rFonts w:ascii="Times New Roman" w:hAnsi="Times New Roman" w:cs="Times New Roman"/>
        </w:rPr>
        <w:t>less than 200 therms/month</w:t>
      </w:r>
      <w:proofErr w:type="gramEnd"/>
      <w:r w:rsidRPr="005540EB">
        <w:rPr>
          <w:rFonts w:ascii="Times New Roman" w:hAnsi="Times New Roman" w:cs="Times New Roman"/>
        </w:rPr>
        <w:t xml:space="preserve">.  Schedule 111 is generally for customers who consistently use </w:t>
      </w:r>
      <w:proofErr w:type="gramStart"/>
      <w:r w:rsidRPr="005540EB">
        <w:rPr>
          <w:rFonts w:ascii="Times New Roman" w:hAnsi="Times New Roman" w:cs="Times New Roman"/>
        </w:rPr>
        <w:t>over 200 therms/month</w:t>
      </w:r>
      <w:r w:rsidR="00D32A7D">
        <w:rPr>
          <w:rFonts w:ascii="Times New Roman" w:hAnsi="Times New Roman" w:cs="Times New Roman"/>
        </w:rPr>
        <w:t>,</w:t>
      </w:r>
      <w:proofErr w:type="gramEnd"/>
      <w:r w:rsidRPr="005540EB">
        <w:rPr>
          <w:rFonts w:ascii="Times New Roman" w:hAnsi="Times New Roman" w:cs="Times New Roman"/>
        </w:rPr>
        <w:t xml:space="preserve"> and Schedule 121 is generally for customers who use over 10,000 therms/month and have a high annual load factor.  Schedule 131 provides interruptible sales service to customers whose annual requirements exceed 250,000 therms.  Schedule 146 provides transportation/distribution service for customer-owned </w:t>
      </w:r>
      <w:r w:rsidR="0021578E">
        <w:rPr>
          <w:rFonts w:ascii="Times New Roman" w:hAnsi="Times New Roman" w:cs="Times New Roman"/>
        </w:rPr>
        <w:t xml:space="preserve">natural </w:t>
      </w:r>
      <w:r w:rsidRPr="005540EB">
        <w:rPr>
          <w:rFonts w:ascii="Times New Roman" w:hAnsi="Times New Roman" w:cs="Times New Roman"/>
        </w:rPr>
        <w:t xml:space="preserve">gas for customers whose annual requirements exceed 250,000 therms.  Schedule 148 is a banded-rate transportation tariff that allows for a negotiated service rate with large customers that have an economic alternative to taking </w:t>
      </w:r>
      <w:r w:rsidR="0021578E">
        <w:rPr>
          <w:rFonts w:ascii="Times New Roman" w:hAnsi="Times New Roman" w:cs="Times New Roman"/>
        </w:rPr>
        <w:t xml:space="preserve">natural gas </w:t>
      </w:r>
      <w:r w:rsidRPr="005540EB">
        <w:rPr>
          <w:rFonts w:ascii="Times New Roman" w:hAnsi="Times New Roman" w:cs="Times New Roman"/>
        </w:rPr>
        <w:t>distribution service from the Company.</w:t>
      </w:r>
    </w:p>
    <w:p w:rsidR="005540EB" w:rsidRPr="005540EB" w:rsidRDefault="005540EB" w:rsidP="005540EB">
      <w:pPr>
        <w:pStyle w:val="P20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The Company also has rate Schedules 112, 122 and 132 on file with the </w:t>
      </w:r>
      <w:r w:rsidRPr="005540EB">
        <w:rPr>
          <w:rStyle w:val="T11"/>
          <w:rFonts w:ascii="Times New Roman" w:hAnsi="Times New Roman" w:cs="Times New Roman"/>
        </w:rPr>
        <w:lastRenderedPageBreak/>
        <w:t xml:space="preserve">Commission.  </w:t>
      </w:r>
      <w:r w:rsidR="00D32A7D">
        <w:rPr>
          <w:rStyle w:val="T11"/>
          <w:rFonts w:ascii="Times New Roman" w:hAnsi="Times New Roman" w:cs="Times New Roman"/>
        </w:rPr>
        <w:t>Would</w:t>
      </w:r>
      <w:r w:rsidRPr="005540EB">
        <w:rPr>
          <w:rStyle w:val="T11"/>
          <w:rFonts w:ascii="Times New Roman" w:hAnsi="Times New Roman" w:cs="Times New Roman"/>
        </w:rPr>
        <w:t xml:space="preserve"> you please explain which customers are eligible for service under these schedules?</w:t>
      </w:r>
    </w:p>
    <w:p w:rsidR="00AD2C96" w:rsidRPr="00AD2C96" w:rsidRDefault="005540EB" w:rsidP="00AD2C96">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D32A7D">
        <w:rPr>
          <w:rFonts w:ascii="Times New Roman" w:hAnsi="Times New Roman" w:cs="Times New Roman"/>
        </w:rPr>
        <w:t xml:space="preserve">Yes.  </w:t>
      </w:r>
      <w:r w:rsidRPr="005540EB">
        <w:rPr>
          <w:rFonts w:ascii="Times New Roman" w:hAnsi="Times New Roman" w:cs="Times New Roman"/>
        </w:rPr>
        <w:t>Schedules 112, 122 and 132 are in place to provide service to customers</w:t>
      </w:r>
      <w:r w:rsidR="00D32A7D">
        <w:rPr>
          <w:rFonts w:ascii="Times New Roman" w:hAnsi="Times New Roman" w:cs="Times New Roman"/>
        </w:rPr>
        <w:t>,</w:t>
      </w:r>
      <w:r w:rsidRPr="005540EB">
        <w:rPr>
          <w:rFonts w:ascii="Times New Roman" w:hAnsi="Times New Roman" w:cs="Times New Roman"/>
        </w:rPr>
        <w:t xml:space="preserve"> who</w:t>
      </w:r>
      <w:r w:rsidR="000D4B96">
        <w:rPr>
          <w:rFonts w:ascii="Times New Roman" w:hAnsi="Times New Roman" w:cs="Times New Roman"/>
        </w:rPr>
        <w:t>,</w:t>
      </w:r>
      <w:r w:rsidRPr="005540EB">
        <w:rPr>
          <w:rFonts w:ascii="Times New Roman" w:hAnsi="Times New Roman" w:cs="Times New Roman"/>
        </w:rPr>
        <w:t xml:space="preserve"> at one time</w:t>
      </w:r>
      <w:r w:rsidR="00D32A7D">
        <w:rPr>
          <w:rFonts w:ascii="Times New Roman" w:hAnsi="Times New Roman" w:cs="Times New Roman"/>
        </w:rPr>
        <w:t>,</w:t>
      </w:r>
      <w:r w:rsidRPr="005540EB">
        <w:rPr>
          <w:rFonts w:ascii="Times New Roman" w:hAnsi="Times New Roman" w:cs="Times New Roman"/>
        </w:rPr>
        <w:t xml:space="preserve"> were provided </w:t>
      </w:r>
      <w:r w:rsidR="0021578E">
        <w:rPr>
          <w:rFonts w:ascii="Times New Roman" w:hAnsi="Times New Roman" w:cs="Times New Roman"/>
        </w:rPr>
        <w:t xml:space="preserve">natural gas </w:t>
      </w:r>
      <w:r w:rsidRPr="005540EB">
        <w:rPr>
          <w:rFonts w:ascii="Times New Roman" w:hAnsi="Times New Roman" w:cs="Times New Roman"/>
        </w:rPr>
        <w:t xml:space="preserve">service under Transportation Service Schedule 146.  The rates under these schedules are the same as those under Schedules 111, 121 and 131 respectively, except for the application of Temporary Gas Rate Adjustment Schedule 155.  Schedule 155 is a temporary rate adjustment used to amortize the deferred </w:t>
      </w:r>
      <w:r w:rsidR="0021578E">
        <w:rPr>
          <w:rFonts w:ascii="Times New Roman" w:hAnsi="Times New Roman" w:cs="Times New Roman"/>
        </w:rPr>
        <w:t xml:space="preserve">natural </w:t>
      </w:r>
      <w:r w:rsidRPr="005540EB">
        <w:rPr>
          <w:rFonts w:ascii="Times New Roman" w:hAnsi="Times New Roman" w:cs="Times New Roman"/>
        </w:rPr>
        <w:t xml:space="preserve">gas costs approved by the Commission in the prior PGA.  Because of their size, transportation service customers are analyzed individually to determine their appropriate share of deferred </w:t>
      </w:r>
      <w:r w:rsidR="0021578E">
        <w:rPr>
          <w:rFonts w:ascii="Times New Roman" w:hAnsi="Times New Roman" w:cs="Times New Roman"/>
        </w:rPr>
        <w:t xml:space="preserve">natural </w:t>
      </w:r>
      <w:r w:rsidRPr="005540EB">
        <w:rPr>
          <w:rFonts w:ascii="Times New Roman" w:hAnsi="Times New Roman" w:cs="Times New Roman"/>
        </w:rPr>
        <w:t xml:space="preserve">gas costs.  If those customers switch back to sales service, the Company continues to analyze those customers individually; otherwise, those customers would receive </w:t>
      </w:r>
      <w:r w:rsidR="0021578E">
        <w:rPr>
          <w:rFonts w:ascii="Times New Roman" w:hAnsi="Times New Roman" w:cs="Times New Roman"/>
        </w:rPr>
        <w:t xml:space="preserve">natural </w:t>
      </w:r>
      <w:r w:rsidRPr="005540EB">
        <w:rPr>
          <w:rFonts w:ascii="Times New Roman" w:hAnsi="Times New Roman" w:cs="Times New Roman"/>
        </w:rPr>
        <w:t xml:space="preserve">gas costs </w:t>
      </w:r>
      <w:r w:rsidRPr="0026350D">
        <w:rPr>
          <w:rFonts w:ascii="Times New Roman" w:hAnsi="Times New Roman" w:cs="Times New Roman"/>
        </w:rPr>
        <w:t xml:space="preserve">deferrals which are not due them, thus the need for Schedules 112, 122 and 132.  There are presently only </w:t>
      </w:r>
      <w:r w:rsidR="0026350D" w:rsidRPr="0026350D">
        <w:rPr>
          <w:rStyle w:val="T12"/>
          <w:rFonts w:ascii="Times New Roman" w:hAnsi="Times New Roman" w:cs="Times New Roman"/>
        </w:rPr>
        <w:t>four</w:t>
      </w:r>
      <w:r w:rsidRPr="0026350D">
        <w:rPr>
          <w:rFonts w:ascii="Times New Roman" w:hAnsi="Times New Roman" w:cs="Times New Roman"/>
        </w:rPr>
        <w:t xml:space="preserve"> customers served under the</w:t>
      </w:r>
      <w:r w:rsidRPr="005540EB">
        <w:rPr>
          <w:rFonts w:ascii="Times New Roman" w:hAnsi="Times New Roman" w:cs="Times New Roman"/>
        </w:rPr>
        <w:t>se schedules.</w:t>
      </w:r>
    </w:p>
    <w:p w:rsidR="00AD2C96" w:rsidRPr="00AD2C96" w:rsidRDefault="005540EB" w:rsidP="00AD2C96">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How many </w:t>
      </w:r>
      <w:r w:rsidR="009026B3">
        <w:rPr>
          <w:rFonts w:ascii="Times New Roman" w:hAnsi="Times New Roman" w:cs="Times New Roman"/>
        </w:rPr>
        <w:t xml:space="preserve">Washington </w:t>
      </w:r>
      <w:r w:rsidRPr="005540EB">
        <w:rPr>
          <w:rFonts w:ascii="Times New Roman" w:hAnsi="Times New Roman" w:cs="Times New Roman"/>
        </w:rPr>
        <w:t xml:space="preserve">customers does the Company </w:t>
      </w:r>
      <w:proofErr w:type="gramStart"/>
      <w:r w:rsidRPr="005540EB">
        <w:rPr>
          <w:rFonts w:ascii="Times New Roman" w:hAnsi="Times New Roman" w:cs="Times New Roman"/>
        </w:rPr>
        <w:t>serve</w:t>
      </w:r>
      <w:proofErr w:type="gramEnd"/>
      <w:r w:rsidRPr="005540EB">
        <w:rPr>
          <w:rFonts w:ascii="Times New Roman" w:hAnsi="Times New Roman" w:cs="Times New Roman"/>
        </w:rPr>
        <w:t xml:space="preserve"> under each of its natural gas rate schedules?</w:t>
      </w:r>
    </w:p>
    <w:p w:rsidR="005540EB" w:rsidRPr="007C7911" w:rsidRDefault="005540EB" w:rsidP="005540EB">
      <w:pPr>
        <w:pStyle w:val="P204"/>
        <w:jc w:val="both"/>
        <w:rPr>
          <w:rFonts w:ascii="Times New Roman" w:hAnsi="Times New Roman" w:cs="Times New Roman"/>
        </w:rPr>
      </w:pPr>
      <w:r w:rsidRPr="007C7911">
        <w:rPr>
          <w:rFonts w:ascii="Times New Roman" w:hAnsi="Times New Roman" w:cs="Times New Roman"/>
        </w:rPr>
        <w:t>A.</w:t>
      </w:r>
      <w:r w:rsidRPr="007C7911">
        <w:rPr>
          <w:rFonts w:ascii="Times New Roman" w:hAnsi="Times New Roman" w:cs="Times New Roman"/>
        </w:rPr>
        <w:tab/>
        <w:t xml:space="preserve">As of </w:t>
      </w:r>
      <w:r w:rsidR="00381013" w:rsidRPr="007C7911">
        <w:rPr>
          <w:rFonts w:ascii="Times New Roman" w:hAnsi="Times New Roman" w:cs="Times New Roman"/>
        </w:rPr>
        <w:t>June 2013</w:t>
      </w:r>
      <w:r w:rsidRPr="007C7911">
        <w:rPr>
          <w:rFonts w:ascii="Times New Roman" w:hAnsi="Times New Roman" w:cs="Times New Roman"/>
        </w:rPr>
        <w:t xml:space="preserve">, the Company provided service to the following number of </w:t>
      </w:r>
      <w:r w:rsidR="009026B3" w:rsidRPr="007C7911">
        <w:rPr>
          <w:rFonts w:ascii="Times New Roman" w:hAnsi="Times New Roman" w:cs="Times New Roman"/>
        </w:rPr>
        <w:t xml:space="preserve">Washington </w:t>
      </w:r>
      <w:r w:rsidRPr="007C7911">
        <w:rPr>
          <w:rFonts w:ascii="Times New Roman" w:hAnsi="Times New Roman" w:cs="Times New Roman"/>
        </w:rPr>
        <w:t>customers under each of its schedules:</w:t>
      </w:r>
    </w:p>
    <w:p w:rsidR="00F17ED7" w:rsidRPr="007C7911" w:rsidRDefault="00D32A7D" w:rsidP="00AD2C96">
      <w:pPr>
        <w:pStyle w:val="P246"/>
        <w:outlineLvl w:val="0"/>
        <w:rPr>
          <w:rFonts w:ascii="Times New Roman" w:hAnsi="Times New Roman" w:cs="Times New Roman"/>
          <w:b w:val="0"/>
          <w:u w:val="none"/>
        </w:rPr>
      </w:pPr>
      <w:r>
        <w:rPr>
          <w:rFonts w:ascii="Times New Roman" w:hAnsi="Times New Roman" w:cs="Times New Roman"/>
          <w:b w:val="0"/>
          <w:noProof/>
          <w:u w:val="none"/>
        </w:rPr>
        <w:drawing>
          <wp:anchor distT="0" distB="0" distL="114300" distR="114300" simplePos="0" relativeHeight="251910656" behindDoc="1" locked="0" layoutInCell="1" allowOverlap="1">
            <wp:simplePos x="0" y="0"/>
            <wp:positionH relativeFrom="column">
              <wp:posOffset>535305</wp:posOffset>
            </wp:positionH>
            <wp:positionV relativeFrom="paragraph">
              <wp:posOffset>6350</wp:posOffset>
            </wp:positionV>
            <wp:extent cx="4886325" cy="1476375"/>
            <wp:effectExtent l="19050" t="0" r="9525" b="0"/>
            <wp:wrapNone/>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886325" cy="1476375"/>
                    </a:xfrm>
                    <a:prstGeom prst="rect">
                      <a:avLst/>
                    </a:prstGeom>
                    <a:noFill/>
                    <a:ln w="9525">
                      <a:noFill/>
                      <a:miter lim="800000"/>
                      <a:headEnd/>
                      <a:tailEnd/>
                    </a:ln>
                  </pic:spPr>
                </pic:pic>
              </a:graphicData>
            </a:graphic>
          </wp:anchor>
        </w:drawing>
      </w:r>
      <w:r w:rsidR="005540EB" w:rsidRPr="007C7911">
        <w:rPr>
          <w:rFonts w:ascii="Times New Roman" w:hAnsi="Times New Roman" w:cs="Times New Roman"/>
          <w:b w:val="0"/>
          <w:u w:val="none"/>
          <w:lang w:val="fr-FR"/>
        </w:rPr>
        <w:tab/>
      </w:r>
    </w:p>
    <w:p w:rsidR="00AD2C96" w:rsidRPr="007C7911" w:rsidRDefault="00AD2C96" w:rsidP="00CF6646">
      <w:pPr>
        <w:pStyle w:val="P246"/>
        <w:ind w:firstLine="0"/>
        <w:jc w:val="both"/>
        <w:outlineLvl w:val="0"/>
        <w:rPr>
          <w:rFonts w:ascii="Times New Roman" w:hAnsi="Times New Roman" w:cs="Times New Roman"/>
          <w:b w:val="0"/>
          <w:u w:val="none"/>
        </w:rPr>
      </w:pPr>
    </w:p>
    <w:p w:rsidR="00AD2C96" w:rsidRPr="007C7911" w:rsidRDefault="00AD2C96" w:rsidP="00CF6646">
      <w:pPr>
        <w:pStyle w:val="P246"/>
        <w:ind w:firstLine="0"/>
        <w:jc w:val="both"/>
        <w:outlineLvl w:val="0"/>
        <w:rPr>
          <w:rFonts w:ascii="Times New Roman" w:hAnsi="Times New Roman" w:cs="Times New Roman"/>
          <w:b w:val="0"/>
          <w:u w:val="none"/>
        </w:rPr>
      </w:pPr>
    </w:p>
    <w:p w:rsidR="00AD2C96" w:rsidRPr="007C7911" w:rsidRDefault="00AD2C96" w:rsidP="00CF6646">
      <w:pPr>
        <w:pStyle w:val="P246"/>
        <w:ind w:firstLine="0"/>
        <w:jc w:val="both"/>
        <w:outlineLvl w:val="0"/>
        <w:rPr>
          <w:rFonts w:ascii="Times New Roman" w:hAnsi="Times New Roman" w:cs="Times New Roman"/>
          <w:b w:val="0"/>
          <w:u w:val="none"/>
        </w:rPr>
      </w:pPr>
    </w:p>
    <w:p w:rsidR="00D32A7D" w:rsidRDefault="00D32A7D" w:rsidP="00CF6646">
      <w:pPr>
        <w:pStyle w:val="P246"/>
        <w:ind w:firstLine="0"/>
        <w:jc w:val="both"/>
        <w:outlineLvl w:val="0"/>
        <w:rPr>
          <w:rFonts w:ascii="Times New Roman" w:hAnsi="Times New Roman" w:cs="Times New Roman"/>
        </w:rPr>
      </w:pPr>
    </w:p>
    <w:p w:rsidR="005540EB" w:rsidRPr="005540EB" w:rsidRDefault="005540EB" w:rsidP="00CF6646">
      <w:pPr>
        <w:pStyle w:val="P246"/>
        <w:ind w:firstLine="0"/>
        <w:jc w:val="both"/>
        <w:outlineLvl w:val="0"/>
        <w:rPr>
          <w:rFonts w:ascii="Times New Roman" w:hAnsi="Times New Roman" w:cs="Times New Roman"/>
        </w:rPr>
      </w:pPr>
      <w:r w:rsidRPr="005540EB">
        <w:rPr>
          <w:rFonts w:ascii="Times New Roman" w:hAnsi="Times New Roman" w:cs="Times New Roman"/>
        </w:rPr>
        <w:lastRenderedPageBreak/>
        <w:t>Proposed Rate Spread</w:t>
      </w:r>
    </w:p>
    <w:p w:rsidR="005540EB" w:rsidRPr="005A6FE5" w:rsidRDefault="005540EB" w:rsidP="005540EB">
      <w:pPr>
        <w:pStyle w:val="P240"/>
        <w:jc w:val="both"/>
        <w:rPr>
          <w:rFonts w:ascii="Times New Roman" w:hAnsi="Times New Roman" w:cs="Times New Roman"/>
        </w:rPr>
      </w:pPr>
      <w:r w:rsidRPr="00081958">
        <w:rPr>
          <w:rFonts w:ascii="Times New Roman" w:hAnsi="Times New Roman" w:cs="Times New Roman"/>
        </w:rPr>
        <w:t>Q.</w:t>
      </w:r>
      <w:r w:rsidRPr="00081958">
        <w:rPr>
          <w:rFonts w:ascii="Times New Roman" w:hAnsi="Times New Roman" w:cs="Times New Roman"/>
        </w:rPr>
        <w:tab/>
        <w:t xml:space="preserve">How does the Company </w:t>
      </w:r>
      <w:proofErr w:type="gramStart"/>
      <w:r w:rsidRPr="00081958">
        <w:rPr>
          <w:rFonts w:ascii="Times New Roman" w:hAnsi="Times New Roman" w:cs="Times New Roman"/>
        </w:rPr>
        <w:t>propose</w:t>
      </w:r>
      <w:proofErr w:type="gramEnd"/>
      <w:r w:rsidRPr="00081958">
        <w:rPr>
          <w:rFonts w:ascii="Times New Roman" w:hAnsi="Times New Roman" w:cs="Times New Roman"/>
        </w:rPr>
        <w:t xml:space="preserve"> to spread the overall revenue increase of $</w:t>
      </w:r>
      <w:r w:rsidR="003A16ED">
        <w:rPr>
          <w:rFonts w:ascii="Times New Roman" w:hAnsi="Times New Roman" w:cs="Times New Roman"/>
        </w:rPr>
        <w:t>12,135</w:t>
      </w:r>
      <w:r w:rsidR="00987E07" w:rsidRPr="00081958">
        <w:rPr>
          <w:rFonts w:ascii="Times New Roman" w:hAnsi="Times New Roman" w:cs="Times New Roman"/>
        </w:rPr>
        <w:t>,000</w:t>
      </w:r>
      <w:r w:rsidRPr="00081958">
        <w:rPr>
          <w:rFonts w:ascii="Times New Roman" w:hAnsi="Times New Roman" w:cs="Times New Roman"/>
        </w:rPr>
        <w:t xml:space="preserve">, or </w:t>
      </w:r>
      <w:r w:rsidR="003A16ED">
        <w:rPr>
          <w:rFonts w:ascii="Times New Roman" w:hAnsi="Times New Roman" w:cs="Times New Roman"/>
        </w:rPr>
        <w:t>8.1</w:t>
      </w:r>
      <w:r w:rsidRPr="00081958">
        <w:rPr>
          <w:rFonts w:ascii="Times New Roman" w:hAnsi="Times New Roman" w:cs="Times New Roman"/>
        </w:rPr>
        <w:t>%, among</w:t>
      </w:r>
      <w:r w:rsidRPr="005A6FE5">
        <w:rPr>
          <w:rFonts w:ascii="Times New Roman" w:hAnsi="Times New Roman" w:cs="Times New Roman"/>
        </w:rPr>
        <w:t xml:space="preserve"> its natural gas general service schedules?</w:t>
      </w:r>
    </w:p>
    <w:p w:rsidR="00515008" w:rsidRDefault="005540EB" w:rsidP="00515008">
      <w:pPr>
        <w:pStyle w:val="P208"/>
        <w:jc w:val="both"/>
        <w:rPr>
          <w:rFonts w:ascii="Times New Roman" w:hAnsi="Times New Roman" w:cs="Times New Roman"/>
        </w:rPr>
      </w:pPr>
      <w:r w:rsidRPr="005A6FE5">
        <w:rPr>
          <w:rFonts w:ascii="Times New Roman" w:hAnsi="Times New Roman" w:cs="Times New Roman"/>
        </w:rPr>
        <w:t>A.</w:t>
      </w:r>
      <w:r w:rsidRPr="005A6FE5">
        <w:rPr>
          <w:rFonts w:ascii="Times New Roman" w:hAnsi="Times New Roman" w:cs="Times New Roman"/>
        </w:rPr>
        <w:tab/>
        <w:t>The Company is proposing the following revenue/rate changes by rate schedule:</w:t>
      </w:r>
    </w:p>
    <w:p w:rsidR="006507E2" w:rsidRDefault="00D32A7D" w:rsidP="00515008">
      <w:pPr>
        <w:pStyle w:val="P208"/>
        <w:jc w:val="both"/>
        <w:rPr>
          <w:rFonts w:ascii="Times New Roman" w:hAnsi="Times New Roman" w:cs="Times New Roman"/>
        </w:rPr>
      </w:pPr>
      <w:r w:rsidRPr="00D32A7D">
        <w:rPr>
          <w:noProof/>
        </w:rPr>
        <w:drawing>
          <wp:anchor distT="0" distB="0" distL="114300" distR="114300" simplePos="0" relativeHeight="251911680" behindDoc="1" locked="0" layoutInCell="1" allowOverlap="1">
            <wp:simplePos x="0" y="0"/>
            <wp:positionH relativeFrom="column">
              <wp:posOffset>478155</wp:posOffset>
            </wp:positionH>
            <wp:positionV relativeFrom="paragraph">
              <wp:posOffset>0</wp:posOffset>
            </wp:positionV>
            <wp:extent cx="4724400" cy="1866900"/>
            <wp:effectExtent l="19050" t="0" r="0" b="0"/>
            <wp:wrapNone/>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4724400" cy="1866900"/>
                    </a:xfrm>
                    <a:prstGeom prst="rect">
                      <a:avLst/>
                    </a:prstGeom>
                    <a:noFill/>
                    <a:ln w="9525">
                      <a:noFill/>
                      <a:miter lim="800000"/>
                      <a:headEnd/>
                      <a:tailEnd/>
                    </a:ln>
                  </pic:spPr>
                </pic:pic>
              </a:graphicData>
            </a:graphic>
          </wp:anchor>
        </w:drawing>
      </w:r>
    </w:p>
    <w:p w:rsidR="006507E2" w:rsidRDefault="006507E2" w:rsidP="00515008">
      <w:pPr>
        <w:pStyle w:val="P208"/>
        <w:jc w:val="both"/>
        <w:rPr>
          <w:rFonts w:ascii="Times New Roman" w:hAnsi="Times New Roman" w:cs="Times New Roman"/>
        </w:rPr>
      </w:pPr>
    </w:p>
    <w:p w:rsidR="006507E2" w:rsidRDefault="006507E2" w:rsidP="00515008">
      <w:pPr>
        <w:pStyle w:val="P208"/>
        <w:jc w:val="both"/>
        <w:rPr>
          <w:rFonts w:ascii="Times New Roman" w:hAnsi="Times New Roman" w:cs="Times New Roman"/>
        </w:rPr>
      </w:pPr>
    </w:p>
    <w:p w:rsidR="006507E2" w:rsidRDefault="006507E2" w:rsidP="00515008">
      <w:pPr>
        <w:pStyle w:val="P208"/>
        <w:jc w:val="both"/>
        <w:rPr>
          <w:rFonts w:ascii="Times New Roman" w:hAnsi="Times New Roman" w:cs="Times New Roman"/>
        </w:rPr>
      </w:pPr>
    </w:p>
    <w:p w:rsidR="006507E2" w:rsidRDefault="006507E2" w:rsidP="00515008">
      <w:pPr>
        <w:pStyle w:val="P208"/>
        <w:jc w:val="both"/>
        <w:rPr>
          <w:rFonts w:ascii="Times New Roman" w:hAnsi="Times New Roman" w:cs="Times New Roman"/>
        </w:rPr>
      </w:pPr>
    </w:p>
    <w:p w:rsidR="00D32A7D" w:rsidRPr="00515008" w:rsidRDefault="00D32A7D" w:rsidP="00515008">
      <w:pPr>
        <w:pStyle w:val="P208"/>
        <w:jc w:val="both"/>
        <w:rPr>
          <w:rFonts w:ascii="Times New Roman" w:hAnsi="Times New Roman" w:cs="Times New Roman"/>
        </w:rPr>
      </w:pPr>
    </w:p>
    <w:p w:rsidR="005540EB" w:rsidRPr="005540EB" w:rsidRDefault="005540EB" w:rsidP="00667220">
      <w:pPr>
        <w:pStyle w:val="TestBody"/>
        <w:widowControl w:val="0"/>
        <w:numPr>
          <w:ilvl w:val="0"/>
          <w:numId w:val="2"/>
        </w:numPr>
        <w:tabs>
          <w:tab w:val="clear" w:pos="1080"/>
          <w:tab w:val="left" w:pos="1440"/>
          <w:tab w:val="num" w:pos="189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 xml:space="preserve">Is the proposed </w:t>
      </w:r>
      <w:r w:rsidR="00577848">
        <w:rPr>
          <w:rFonts w:ascii="Times New Roman" w:hAnsi="Times New Roman" w:cs="Times New Roman"/>
          <w:b/>
          <w:bCs/>
        </w:rPr>
        <w:t xml:space="preserve">percentage </w:t>
      </w:r>
      <w:r w:rsidRPr="005540EB">
        <w:rPr>
          <w:rFonts w:ascii="Times New Roman" w:hAnsi="Times New Roman" w:cs="Times New Roman"/>
          <w:b/>
          <w:bCs/>
        </w:rPr>
        <w:t>increase for Transportation Schedule 146 comparable to the increase for the other service schedules?</w:t>
      </w:r>
    </w:p>
    <w:p w:rsidR="005540EB" w:rsidRDefault="005540EB" w:rsidP="005540EB">
      <w:pPr>
        <w:pStyle w:val="TestBody"/>
        <w:widowControl w:val="0"/>
        <w:tabs>
          <w:tab w:val="left" w:pos="144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No.  The proposed </w:t>
      </w:r>
      <w:r w:rsidR="00577848">
        <w:rPr>
          <w:rFonts w:ascii="Times New Roman" w:hAnsi="Times New Roman" w:cs="Times New Roman"/>
        </w:rPr>
        <w:t xml:space="preserve">percentage </w:t>
      </w:r>
      <w:r w:rsidRPr="005540EB">
        <w:rPr>
          <w:rFonts w:ascii="Times New Roman" w:hAnsi="Times New Roman" w:cs="Times New Roman"/>
        </w:rPr>
        <w:t xml:space="preserve">increase for Transportation Schedule 146 is not comparable to the proposed increases for the other (sales) service schedules, as Schedule 146 revenue does not include an amount for the cost of </w:t>
      </w:r>
      <w:r w:rsidR="00571787">
        <w:rPr>
          <w:rFonts w:ascii="Times New Roman" w:hAnsi="Times New Roman" w:cs="Times New Roman"/>
        </w:rPr>
        <w:t xml:space="preserve">natural </w:t>
      </w:r>
      <w:r w:rsidRPr="005540EB">
        <w:rPr>
          <w:rFonts w:ascii="Times New Roman" w:hAnsi="Times New Roman" w:cs="Times New Roman"/>
        </w:rPr>
        <w:t>gas or pipeline transportation, whereas the other sales schedules</w:t>
      </w:r>
      <w:r w:rsidR="00625666">
        <w:rPr>
          <w:rFonts w:ascii="Times New Roman" w:hAnsi="Times New Roman" w:cs="Times New Roman"/>
        </w:rPr>
        <w:t xml:space="preserve"> include these costs.  </w:t>
      </w:r>
      <w:r w:rsidRPr="005540EB">
        <w:rPr>
          <w:rFonts w:ascii="Times New Roman" w:hAnsi="Times New Roman" w:cs="Times New Roman"/>
        </w:rPr>
        <w:t xml:space="preserve">Transportation customers acquire their own </w:t>
      </w:r>
      <w:r w:rsidR="00571787">
        <w:rPr>
          <w:rFonts w:ascii="Times New Roman" w:hAnsi="Times New Roman" w:cs="Times New Roman"/>
        </w:rPr>
        <w:t xml:space="preserve">natural </w:t>
      </w:r>
      <w:r w:rsidRPr="005540EB">
        <w:rPr>
          <w:rFonts w:ascii="Times New Roman" w:hAnsi="Times New Roman" w:cs="Times New Roman"/>
        </w:rPr>
        <w:t>g</w:t>
      </w:r>
      <w:r w:rsidR="00625666">
        <w:rPr>
          <w:rFonts w:ascii="Times New Roman" w:hAnsi="Times New Roman" w:cs="Times New Roman"/>
        </w:rPr>
        <w:t>as and pipeline transportation.</w:t>
      </w:r>
      <w:r w:rsidRPr="005540EB">
        <w:rPr>
          <w:rFonts w:ascii="Times New Roman" w:hAnsi="Times New Roman" w:cs="Times New Roman"/>
        </w:rPr>
        <w:t xml:space="preserve">  Including </w:t>
      </w:r>
      <w:r w:rsidR="00580834">
        <w:rPr>
          <w:rFonts w:ascii="Times New Roman" w:hAnsi="Times New Roman" w:cs="Times New Roman"/>
        </w:rPr>
        <w:t>an estimate</w:t>
      </w:r>
      <w:r w:rsidRPr="005540EB">
        <w:rPr>
          <w:rFonts w:ascii="Times New Roman" w:hAnsi="Times New Roman" w:cs="Times New Roman"/>
        </w:rPr>
        <w:t xml:space="preserve"> of </w:t>
      </w:r>
      <w:r w:rsidR="009A6E1D">
        <w:rPr>
          <w:rFonts w:ascii="Times New Roman" w:hAnsi="Times New Roman" w:cs="Times New Roman"/>
        </w:rPr>
        <w:t>5</w:t>
      </w:r>
      <w:r w:rsidRPr="005540EB">
        <w:rPr>
          <w:rFonts w:ascii="Times New Roman" w:hAnsi="Times New Roman" w:cs="Times New Roman"/>
        </w:rPr>
        <w:t xml:space="preserve">0.0 cents per therm for the cost of </w:t>
      </w:r>
      <w:r w:rsidR="00571787">
        <w:rPr>
          <w:rFonts w:ascii="Times New Roman" w:hAnsi="Times New Roman" w:cs="Times New Roman"/>
        </w:rPr>
        <w:t xml:space="preserve">natural </w:t>
      </w:r>
      <w:r w:rsidRPr="005540EB">
        <w:rPr>
          <w:rFonts w:ascii="Times New Roman" w:hAnsi="Times New Roman" w:cs="Times New Roman"/>
        </w:rPr>
        <w:t xml:space="preserve">gas and pipeline transportation, the proposed increase to Schedule 146 rates represents an average </w:t>
      </w:r>
      <w:r w:rsidRPr="00443386">
        <w:rPr>
          <w:rFonts w:ascii="Times New Roman" w:hAnsi="Times New Roman" w:cs="Times New Roman"/>
        </w:rPr>
        <w:t xml:space="preserve">increase of </w:t>
      </w:r>
      <w:r w:rsidR="003A16ED">
        <w:rPr>
          <w:rFonts w:ascii="Times New Roman" w:hAnsi="Times New Roman" w:cs="Times New Roman"/>
        </w:rPr>
        <w:t>2.3</w:t>
      </w:r>
      <w:r w:rsidRPr="00443386">
        <w:rPr>
          <w:rFonts w:ascii="Times New Roman" w:hAnsi="Times New Roman" w:cs="Times New Roman"/>
        </w:rPr>
        <w:t>% in</w:t>
      </w:r>
      <w:r w:rsidRPr="005540EB">
        <w:rPr>
          <w:rFonts w:ascii="Times New Roman" w:hAnsi="Times New Roman" w:cs="Times New Roman"/>
        </w:rPr>
        <w:t xml:space="preserve"> those customers’ total </w:t>
      </w:r>
      <w:r w:rsidR="00571787">
        <w:rPr>
          <w:rFonts w:ascii="Times New Roman" w:hAnsi="Times New Roman" w:cs="Times New Roman"/>
        </w:rPr>
        <w:t xml:space="preserve">natural </w:t>
      </w:r>
      <w:r w:rsidRPr="005540EB">
        <w:rPr>
          <w:rFonts w:ascii="Times New Roman" w:hAnsi="Times New Roman" w:cs="Times New Roman"/>
        </w:rPr>
        <w:t>gas bill</w:t>
      </w:r>
      <w:r w:rsidR="00987E07">
        <w:rPr>
          <w:rFonts w:ascii="Times New Roman" w:hAnsi="Times New Roman" w:cs="Times New Roman"/>
        </w:rPr>
        <w:t>.</w:t>
      </w:r>
    </w:p>
    <w:p w:rsidR="005540EB" w:rsidRPr="00D44A55"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information did the Company use to develop the proposed spread of the </w:t>
      </w:r>
      <w:r w:rsidRPr="00D44A55">
        <w:rPr>
          <w:rStyle w:val="T11"/>
          <w:rFonts w:ascii="Times New Roman" w:hAnsi="Times New Roman" w:cs="Times New Roman"/>
        </w:rPr>
        <w:t>overall increase to the various rate schedules?</w:t>
      </w:r>
    </w:p>
    <w:p w:rsidR="003A16ED" w:rsidRDefault="003A16ED" w:rsidP="00791C2B">
      <w:pPr>
        <w:pStyle w:val="P253"/>
        <w:tabs>
          <w:tab w:val="clear" w:pos="810"/>
          <w:tab w:val="left" w:pos="720"/>
        </w:tabs>
        <w:jc w:val="both"/>
        <w:outlineLvl w:val="0"/>
        <w:rPr>
          <w:rFonts w:ascii="Times New Roman" w:hAnsi="Times New Roman" w:cs="Times New Roman"/>
          <w:b w:val="0"/>
          <w:u w:val="none"/>
        </w:rPr>
      </w:pPr>
      <w:r>
        <w:rPr>
          <w:rFonts w:ascii="Times New Roman" w:hAnsi="Times New Roman" w:cs="Times New Roman"/>
          <w:b w:val="0"/>
          <w:u w:val="none"/>
        </w:rPr>
        <w:tab/>
      </w:r>
      <w:r w:rsidR="00D32A7D">
        <w:rPr>
          <w:rFonts w:ascii="Times New Roman" w:hAnsi="Times New Roman" w:cs="Times New Roman"/>
          <w:b w:val="0"/>
          <w:u w:val="none"/>
        </w:rPr>
        <w:t>A.</w:t>
      </w:r>
      <w:r w:rsidR="00D32A7D">
        <w:rPr>
          <w:rFonts w:ascii="Times New Roman" w:hAnsi="Times New Roman" w:cs="Times New Roman"/>
          <w:b w:val="0"/>
          <w:u w:val="none"/>
        </w:rPr>
        <w:tab/>
      </w:r>
      <w:r w:rsidRPr="003A16ED">
        <w:rPr>
          <w:rFonts w:ascii="Times New Roman" w:hAnsi="Times New Roman" w:cs="Times New Roman"/>
          <w:b w:val="0"/>
          <w:u w:val="none"/>
        </w:rPr>
        <w:t xml:space="preserve">The Company used the results of the cost of service study sponsored by </w:t>
      </w:r>
      <w:r>
        <w:rPr>
          <w:rFonts w:ascii="Times New Roman" w:hAnsi="Times New Roman" w:cs="Times New Roman"/>
          <w:b w:val="0"/>
          <w:u w:val="none"/>
        </w:rPr>
        <w:t xml:space="preserve">Mr. </w:t>
      </w:r>
      <w:r>
        <w:rPr>
          <w:rFonts w:ascii="Times New Roman" w:hAnsi="Times New Roman" w:cs="Times New Roman"/>
          <w:b w:val="0"/>
          <w:u w:val="none"/>
        </w:rPr>
        <w:lastRenderedPageBreak/>
        <w:t>Miller</w:t>
      </w:r>
      <w:r w:rsidRPr="003A16ED">
        <w:rPr>
          <w:rFonts w:ascii="Times New Roman" w:hAnsi="Times New Roman" w:cs="Times New Roman"/>
          <w:b w:val="0"/>
          <w:u w:val="none"/>
        </w:rPr>
        <w:t xml:space="preserve"> as a guide to spread the general increase.  The spread of the proposed increase generally results in the rates of return for the various service schedules moving approximately one-</w:t>
      </w:r>
      <w:r>
        <w:rPr>
          <w:rFonts w:ascii="Times New Roman" w:hAnsi="Times New Roman" w:cs="Times New Roman"/>
          <w:b w:val="0"/>
          <w:u w:val="none"/>
        </w:rPr>
        <w:t>third (33%)</w:t>
      </w:r>
      <w:r w:rsidRPr="003A16ED">
        <w:rPr>
          <w:rFonts w:ascii="Times New Roman" w:hAnsi="Times New Roman" w:cs="Times New Roman"/>
          <w:b w:val="0"/>
          <w:u w:val="none"/>
        </w:rPr>
        <w:t xml:space="preserve"> closer to the overall rate of return (unity).  The relative rates of return before and after application of the proposed increases by schedule are as follows:</w:t>
      </w:r>
    </w:p>
    <w:p w:rsidR="003A16ED" w:rsidRDefault="00891F68" w:rsidP="005540EB">
      <w:pPr>
        <w:pStyle w:val="P253"/>
        <w:jc w:val="both"/>
        <w:outlineLvl w:val="0"/>
        <w:rPr>
          <w:rFonts w:ascii="Times New Roman" w:hAnsi="Times New Roman" w:cs="Times New Roman"/>
          <w:b w:val="0"/>
          <w:u w:val="none"/>
        </w:rPr>
      </w:pPr>
      <w:r w:rsidRPr="00891F68">
        <w:rPr>
          <w:noProof/>
        </w:rPr>
        <w:drawing>
          <wp:anchor distT="0" distB="0" distL="114300" distR="114300" simplePos="0" relativeHeight="251912704" behindDoc="1" locked="0" layoutInCell="1" allowOverlap="1">
            <wp:simplePos x="0" y="0"/>
            <wp:positionH relativeFrom="column">
              <wp:posOffset>536300</wp:posOffset>
            </wp:positionH>
            <wp:positionV relativeFrom="paragraph">
              <wp:posOffset>153765</wp:posOffset>
            </wp:positionV>
            <wp:extent cx="5057917" cy="2074459"/>
            <wp:effectExtent l="19050" t="0" r="9383" b="0"/>
            <wp:wrapNone/>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5057917" cy="2074459"/>
                    </a:xfrm>
                    <a:prstGeom prst="rect">
                      <a:avLst/>
                    </a:prstGeom>
                    <a:noFill/>
                    <a:ln w="9525">
                      <a:noFill/>
                      <a:miter lim="800000"/>
                      <a:headEnd/>
                      <a:tailEnd/>
                    </a:ln>
                  </pic:spPr>
                </pic:pic>
              </a:graphicData>
            </a:graphic>
          </wp:anchor>
        </w:drawing>
      </w: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6507E2" w:rsidRDefault="006507E2" w:rsidP="005540EB">
      <w:pPr>
        <w:pStyle w:val="P253"/>
        <w:jc w:val="both"/>
        <w:outlineLvl w:val="0"/>
        <w:rPr>
          <w:rFonts w:ascii="Times New Roman" w:hAnsi="Times New Roman" w:cs="Times New Roman"/>
        </w:rPr>
      </w:pP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D32A7D">
        <w:rPr>
          <w:rStyle w:val="T11"/>
          <w:rFonts w:ascii="Times New Roman" w:hAnsi="Times New Roman" w:cs="Times New Roman"/>
        </w:rPr>
        <w:t>W</w:t>
      </w:r>
      <w:r w:rsidRPr="005540EB">
        <w:rPr>
          <w:rStyle w:val="T11"/>
          <w:rFonts w:ascii="Times New Roman" w:hAnsi="Times New Roman" w:cs="Times New Roman"/>
        </w:rPr>
        <w:t xml:space="preserve">ould you please explain the present rate design within each of the Company’s present </w:t>
      </w:r>
      <w:r w:rsidR="0021578E">
        <w:rPr>
          <w:rStyle w:val="T11"/>
          <w:rFonts w:ascii="Times New Roman" w:hAnsi="Times New Roman" w:cs="Times New Roman"/>
        </w:rPr>
        <w:t xml:space="preserve">natural </w:t>
      </w:r>
      <w:r w:rsidRPr="005540EB">
        <w:rPr>
          <w:rStyle w:val="T11"/>
          <w:rFonts w:ascii="Times New Roman" w:hAnsi="Times New Roman" w:cs="Times New Roman"/>
        </w:rPr>
        <w:t>gas service schedules?</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Yes.  General Service Schedule 101 generally applies to residential and small commercial customers who use </w:t>
      </w:r>
      <w:proofErr w:type="gramStart"/>
      <w:r w:rsidRPr="005540EB">
        <w:rPr>
          <w:rFonts w:ascii="Times New Roman" w:hAnsi="Times New Roman" w:cs="Times New Roman"/>
        </w:rPr>
        <w:t>less than 200 therms/month</w:t>
      </w:r>
      <w:proofErr w:type="gramEnd"/>
      <w:r w:rsidRPr="005540EB">
        <w:rPr>
          <w:rFonts w:ascii="Times New Roman" w:hAnsi="Times New Roman" w:cs="Times New Roman"/>
        </w:rPr>
        <w:t xml:space="preserve">.  The </w:t>
      </w:r>
      <w:r w:rsidR="00B312FA">
        <w:rPr>
          <w:rFonts w:ascii="Times New Roman" w:hAnsi="Times New Roman" w:cs="Times New Roman"/>
        </w:rPr>
        <w:t>s</w:t>
      </w:r>
      <w:r w:rsidRPr="005540EB">
        <w:rPr>
          <w:rFonts w:ascii="Times New Roman" w:hAnsi="Times New Roman" w:cs="Times New Roman"/>
        </w:rPr>
        <w:t xml:space="preserve">chedule contains </w:t>
      </w:r>
      <w:r w:rsidR="009D3196" w:rsidRPr="005540EB">
        <w:rPr>
          <w:rFonts w:ascii="Times New Roman" w:hAnsi="Times New Roman" w:cs="Times New Roman"/>
        </w:rPr>
        <w:t>t</w:t>
      </w:r>
      <w:r w:rsidR="009D3196">
        <w:rPr>
          <w:rFonts w:ascii="Times New Roman" w:hAnsi="Times New Roman" w:cs="Times New Roman"/>
        </w:rPr>
        <w:t>wo</w:t>
      </w:r>
      <w:r w:rsidR="009D3196" w:rsidRPr="005540EB">
        <w:rPr>
          <w:rFonts w:ascii="Times New Roman" w:hAnsi="Times New Roman" w:cs="Times New Roman"/>
        </w:rPr>
        <w:t xml:space="preserve"> energy rate blocks</w:t>
      </w:r>
      <w:r w:rsidR="00D32A7D">
        <w:rPr>
          <w:rFonts w:ascii="Times New Roman" w:hAnsi="Times New Roman" w:cs="Times New Roman"/>
        </w:rPr>
        <w:t xml:space="preserve">; </w:t>
      </w:r>
      <w:r w:rsidR="009D3196">
        <w:rPr>
          <w:rFonts w:ascii="Times New Roman" w:hAnsi="Times New Roman" w:cs="Times New Roman"/>
        </w:rPr>
        <w:t>0-70 therms, and over 70</w:t>
      </w:r>
      <w:r w:rsidRPr="005540EB">
        <w:rPr>
          <w:rFonts w:ascii="Times New Roman" w:hAnsi="Times New Roman" w:cs="Times New Roman"/>
        </w:rPr>
        <w:t xml:space="preserve"> and a monthly customer/basic charge.</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Large General Service Schedule</w:t>
      </w:r>
      <w:r w:rsidR="00D32A7D">
        <w:rPr>
          <w:rFonts w:ascii="Times New Roman" w:hAnsi="Times New Roman" w:cs="Times New Roman"/>
        </w:rPr>
        <w:t>s</w:t>
      </w:r>
      <w:r w:rsidRPr="005540EB">
        <w:rPr>
          <w:rFonts w:ascii="Times New Roman" w:hAnsi="Times New Roman" w:cs="Times New Roman"/>
        </w:rPr>
        <w:t xml:space="preserve"> 111</w:t>
      </w:r>
      <w:r w:rsidR="00D32A7D">
        <w:rPr>
          <w:rFonts w:ascii="Times New Roman" w:hAnsi="Times New Roman" w:cs="Times New Roman"/>
        </w:rPr>
        <w:t>/112</w:t>
      </w:r>
      <w:r w:rsidRPr="005540EB">
        <w:rPr>
          <w:rFonts w:ascii="Times New Roman" w:hAnsi="Times New Roman" w:cs="Times New Roman"/>
        </w:rPr>
        <w:t xml:space="preserve"> has a three-tier declining-block rate structure and is generally for customers who consistently use </w:t>
      </w:r>
      <w:proofErr w:type="gramStart"/>
      <w:r w:rsidRPr="005540EB">
        <w:rPr>
          <w:rFonts w:ascii="Times New Roman" w:hAnsi="Times New Roman" w:cs="Times New Roman"/>
        </w:rPr>
        <w:t>over 200 therms/month</w:t>
      </w:r>
      <w:proofErr w:type="gramEnd"/>
      <w:r w:rsidRPr="005540EB">
        <w:rPr>
          <w:rFonts w:ascii="Times New Roman" w:hAnsi="Times New Roman" w:cs="Times New Roman"/>
        </w:rPr>
        <w:t xml:space="preserve">. The </w:t>
      </w:r>
      <w:r w:rsidR="00B312FA">
        <w:rPr>
          <w:rFonts w:ascii="Times New Roman" w:hAnsi="Times New Roman" w:cs="Times New Roman"/>
        </w:rPr>
        <w:t>s</w:t>
      </w:r>
      <w:r w:rsidRPr="005540EB">
        <w:rPr>
          <w:rFonts w:ascii="Times New Roman" w:hAnsi="Times New Roman" w:cs="Times New Roman"/>
        </w:rPr>
        <w:t xml:space="preserve">chedule consists of a monthly minimum charge plus a usage charge for the first 200 therms or less, and block rates for 201-1,000 therms/month, and </w:t>
      </w:r>
      <w:proofErr w:type="gramStart"/>
      <w:r w:rsidRPr="005540EB">
        <w:rPr>
          <w:rFonts w:ascii="Times New Roman" w:hAnsi="Times New Roman" w:cs="Times New Roman"/>
        </w:rPr>
        <w:t>over 1,000 therms/month</w:t>
      </w:r>
      <w:proofErr w:type="gramEnd"/>
      <w:r w:rsidRPr="005540EB">
        <w:rPr>
          <w:rFonts w:ascii="Times New Roman" w:hAnsi="Times New Roman" w:cs="Times New Roman"/>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Extra Large General Service Schedule</w:t>
      </w:r>
      <w:r w:rsidR="00D32A7D">
        <w:rPr>
          <w:rFonts w:ascii="Times New Roman" w:hAnsi="Times New Roman" w:cs="Times New Roman"/>
        </w:rPr>
        <w:t>s</w:t>
      </w:r>
      <w:r w:rsidRPr="005540EB">
        <w:rPr>
          <w:rFonts w:ascii="Times New Roman" w:hAnsi="Times New Roman" w:cs="Times New Roman"/>
        </w:rPr>
        <w:t xml:space="preserve"> 121</w:t>
      </w:r>
      <w:r w:rsidR="00D32A7D">
        <w:rPr>
          <w:rFonts w:ascii="Times New Roman" w:hAnsi="Times New Roman" w:cs="Times New Roman"/>
        </w:rPr>
        <w:t>/122</w:t>
      </w:r>
      <w:r w:rsidRPr="005540EB">
        <w:rPr>
          <w:rFonts w:ascii="Times New Roman" w:hAnsi="Times New Roman" w:cs="Times New Roman"/>
        </w:rPr>
        <w:t xml:space="preserve"> has a five-tier declining-block rate structure with a monthly minimum charge plus a usage charge for the first 500 therms or less, </w:t>
      </w:r>
      <w:r w:rsidRPr="005540EB">
        <w:rPr>
          <w:rFonts w:ascii="Times New Roman" w:hAnsi="Times New Roman" w:cs="Times New Roman"/>
        </w:rPr>
        <w:lastRenderedPageBreak/>
        <w:t xml:space="preserve">and block rates for the next 500 therms, the next 9,000 therms, the next 15,000 therms, and usage over 25,000 therms/month.  There is also an annual minimum requirement of 60,000 therms under the schedule and a minimum load factor requirement of approximately 58%.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Interruptible Sales Service Schedule</w:t>
      </w:r>
      <w:r w:rsidR="00D32A7D">
        <w:rPr>
          <w:rFonts w:ascii="Times New Roman" w:hAnsi="Times New Roman" w:cs="Times New Roman"/>
        </w:rPr>
        <w:t>s</w:t>
      </w:r>
      <w:r w:rsidRPr="005540EB">
        <w:rPr>
          <w:rFonts w:ascii="Times New Roman" w:hAnsi="Times New Roman" w:cs="Times New Roman"/>
        </w:rPr>
        <w:t xml:space="preserve"> 131</w:t>
      </w:r>
      <w:r w:rsidR="00D32A7D">
        <w:rPr>
          <w:rFonts w:ascii="Times New Roman" w:hAnsi="Times New Roman" w:cs="Times New Roman"/>
        </w:rPr>
        <w:t>/132</w:t>
      </w:r>
      <w:r w:rsidRPr="005540EB">
        <w:rPr>
          <w:rFonts w:ascii="Times New Roman" w:hAnsi="Times New Roman" w:cs="Times New Roman"/>
        </w:rPr>
        <w:t xml:space="preserve"> has a four-tier declining-block rate structure for the first 10,000 therms, the next 15,000 therms, the next 25,000 therms, and usage over 50,000 therms per month.  The schedule also has an annual minimum deficiency charge based on a usage requirement of 250,000 therms per year.</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Transportation Service Schedule 146 contains </w:t>
      </w:r>
      <w:r w:rsidR="008F62BD">
        <w:rPr>
          <w:rFonts w:ascii="Times New Roman" w:hAnsi="Times New Roman" w:cs="Times New Roman"/>
        </w:rPr>
        <w:t>a monthly</w:t>
      </w:r>
      <w:r w:rsidRPr="005540EB">
        <w:rPr>
          <w:rFonts w:ascii="Times New Roman" w:hAnsi="Times New Roman" w:cs="Times New Roman"/>
        </w:rPr>
        <w:t xml:space="preserve"> customer charge and a five-tier declining-block rate structure for the first 20,000 therms, the next 30,000 therms, the next 250,000 therms, the next 200,000 therms, and usage over 500,000 therms per month.  The schedule also has an annual minimum deficiency charge based on a usage requirement of 250,000 therms per year.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Is the Company proposing any changes to the present rate structures contained in its </w:t>
      </w:r>
      <w:r w:rsidR="00D90ACA">
        <w:rPr>
          <w:rFonts w:ascii="Times New Roman" w:hAnsi="Times New Roman" w:cs="Times New Roman"/>
          <w:b/>
          <w:bCs/>
        </w:rPr>
        <w:t xml:space="preserve">natural </w:t>
      </w:r>
      <w:r w:rsidRPr="005540EB">
        <w:rPr>
          <w:rFonts w:ascii="Times New Roman" w:hAnsi="Times New Roman" w:cs="Times New Roman"/>
          <w:b/>
          <w:bCs/>
        </w:rPr>
        <w:t>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No, it is not.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Where in your Exhibits do you show the present and proposed rates for the Company’s natural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Page 3 of 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-7) shows the present and proposed rates under each of the rate schedules, including all present rate adjustments (adders).  Column (e) on that page shows the proposed changes to the rates contained in each of the schedules.</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You stated earlier in your testimony </w:t>
      </w:r>
      <w:r w:rsidRPr="008F62BD">
        <w:rPr>
          <w:rStyle w:val="T11"/>
          <w:rFonts w:ascii="Times New Roman" w:hAnsi="Times New Roman" w:cs="Times New Roman"/>
        </w:rPr>
        <w:t xml:space="preserve">that the Company is proposing an overall increase of </w:t>
      </w:r>
      <w:r w:rsidR="007559C8" w:rsidRPr="008F62BD">
        <w:rPr>
          <w:rStyle w:val="T11"/>
          <w:rFonts w:ascii="Times New Roman" w:hAnsi="Times New Roman" w:cs="Times New Roman"/>
        </w:rPr>
        <w:t>$</w:t>
      </w:r>
      <w:r w:rsidR="008F62BD" w:rsidRPr="008F62BD">
        <w:rPr>
          <w:rStyle w:val="T11"/>
          <w:rFonts w:ascii="Times New Roman" w:hAnsi="Times New Roman" w:cs="Times New Roman"/>
        </w:rPr>
        <w:t>12,135</w:t>
      </w:r>
      <w:r w:rsidR="000B55F7">
        <w:rPr>
          <w:rStyle w:val="T11"/>
          <w:rFonts w:ascii="Times New Roman" w:hAnsi="Times New Roman" w:cs="Times New Roman"/>
        </w:rPr>
        <w:t>,</w:t>
      </w:r>
      <w:r w:rsidR="007559C8" w:rsidRPr="008F62BD">
        <w:rPr>
          <w:rStyle w:val="T11"/>
          <w:rFonts w:ascii="Times New Roman" w:hAnsi="Times New Roman" w:cs="Times New Roman"/>
        </w:rPr>
        <w:t xml:space="preserve">000 or </w:t>
      </w:r>
      <w:r w:rsidR="008F62BD" w:rsidRPr="008F62BD">
        <w:rPr>
          <w:rStyle w:val="T11"/>
          <w:rFonts w:ascii="Times New Roman" w:hAnsi="Times New Roman" w:cs="Times New Roman"/>
        </w:rPr>
        <w:t>8.1</w:t>
      </w:r>
      <w:r w:rsidRPr="008F62BD">
        <w:rPr>
          <w:rStyle w:val="T11"/>
          <w:rFonts w:ascii="Times New Roman" w:hAnsi="Times New Roman" w:cs="Times New Roman"/>
        </w:rPr>
        <w:t xml:space="preserve">% to the </w:t>
      </w:r>
      <w:r w:rsidR="00D44A55" w:rsidRPr="000B55F7">
        <w:rPr>
          <w:rStyle w:val="T11"/>
          <w:rFonts w:ascii="Times New Roman" w:hAnsi="Times New Roman" w:cs="Times New Roman"/>
          <w:u w:val="single"/>
        </w:rPr>
        <w:t>base</w:t>
      </w:r>
      <w:r w:rsidR="00D44A55" w:rsidRPr="008F62BD">
        <w:rPr>
          <w:rStyle w:val="T11"/>
          <w:rFonts w:ascii="Times New Roman" w:hAnsi="Times New Roman" w:cs="Times New Roman"/>
        </w:rPr>
        <w:t xml:space="preserve"> </w:t>
      </w:r>
      <w:r w:rsidRPr="008F62BD">
        <w:rPr>
          <w:rStyle w:val="T11"/>
          <w:rFonts w:ascii="Times New Roman" w:hAnsi="Times New Roman" w:cs="Times New Roman"/>
        </w:rPr>
        <w:t>rates</w:t>
      </w:r>
      <w:r w:rsidRPr="005540EB">
        <w:rPr>
          <w:rStyle w:val="T11"/>
          <w:rFonts w:ascii="Times New Roman" w:hAnsi="Times New Roman" w:cs="Times New Roman"/>
        </w:rPr>
        <w:t xml:space="preserve"> of General Service Schedule 101.  Is the Company proposing </w:t>
      </w:r>
      <w:r w:rsidR="0076151E">
        <w:rPr>
          <w:rStyle w:val="T11"/>
          <w:rFonts w:ascii="Times New Roman" w:hAnsi="Times New Roman" w:cs="Times New Roman"/>
        </w:rPr>
        <w:t>a $4.00 per month increase</w:t>
      </w:r>
      <w:r w:rsidRPr="005540EB">
        <w:rPr>
          <w:rStyle w:val="T11"/>
          <w:rFonts w:ascii="Times New Roman" w:hAnsi="Times New Roman" w:cs="Times New Roman"/>
        </w:rPr>
        <w:t xml:space="preserve"> to the present </w:t>
      </w:r>
      <w:r w:rsidRPr="005540EB">
        <w:rPr>
          <w:rStyle w:val="T11"/>
          <w:rFonts w:ascii="Times New Roman" w:hAnsi="Times New Roman" w:cs="Times New Roman"/>
        </w:rPr>
        <w:lastRenderedPageBreak/>
        <w:t>basic/customer charge of $</w:t>
      </w:r>
      <w:r w:rsidR="007559C8">
        <w:rPr>
          <w:rStyle w:val="T11"/>
          <w:rFonts w:ascii="Times New Roman" w:hAnsi="Times New Roman" w:cs="Times New Roman"/>
        </w:rPr>
        <w:t>8</w:t>
      </w:r>
      <w:r w:rsidR="001A4278">
        <w:rPr>
          <w:rStyle w:val="T11"/>
          <w:rFonts w:ascii="Times New Roman" w:hAnsi="Times New Roman" w:cs="Times New Roman"/>
        </w:rPr>
        <w:t>.00</w:t>
      </w:r>
      <w:r w:rsidRPr="005540EB">
        <w:rPr>
          <w:rStyle w:val="T11"/>
          <w:rFonts w:ascii="Times New Roman" w:hAnsi="Times New Roman" w:cs="Times New Roman"/>
        </w:rPr>
        <w:t>/month under the schedule?</w:t>
      </w:r>
    </w:p>
    <w:p w:rsidR="00CE5121" w:rsidRPr="002558EB" w:rsidRDefault="005540EB" w:rsidP="00580834">
      <w:pPr>
        <w:spacing w:line="480" w:lineRule="auto"/>
        <w:ind w:firstLine="720"/>
        <w:jc w:val="both"/>
      </w:pPr>
      <w:r w:rsidRPr="002558EB">
        <w:t>A.</w:t>
      </w:r>
      <w:r w:rsidRPr="002558EB">
        <w:tab/>
        <w:t>Yes.  The Company is proposing to increase the basic/customer charge from $</w:t>
      </w:r>
      <w:r w:rsidR="007559C8" w:rsidRPr="002558EB">
        <w:t>8</w:t>
      </w:r>
      <w:r w:rsidR="001A4278" w:rsidRPr="002558EB">
        <w:t>.00</w:t>
      </w:r>
      <w:r w:rsidRPr="002558EB">
        <w:t xml:space="preserve"> to </w:t>
      </w:r>
      <w:r w:rsidR="00257659" w:rsidRPr="002558EB">
        <w:t>$</w:t>
      </w:r>
      <w:r w:rsidR="007559C8" w:rsidRPr="002558EB">
        <w:t>12</w:t>
      </w:r>
      <w:r w:rsidR="00257659" w:rsidRPr="002558EB">
        <w:t>.00</w:t>
      </w:r>
      <w:r w:rsidR="00CE5121" w:rsidRPr="002558EB">
        <w:t xml:space="preserve"> per month, as </w:t>
      </w:r>
      <w:r w:rsidR="00CE5121" w:rsidRPr="002558EB">
        <w:rPr>
          <w:rStyle w:val="T11"/>
          <w:b w:val="0"/>
        </w:rPr>
        <w:t>t</w:t>
      </w:r>
      <w:r w:rsidRPr="002558EB">
        <w:t xml:space="preserve">he Company believes that the customer/basic charge should recover a reasonable portion of the fixed costs of providing service.  </w:t>
      </w:r>
      <w:r w:rsidR="00580834" w:rsidRPr="002558EB">
        <w:rPr>
          <w:kern w:val="24"/>
        </w:rPr>
        <w:t xml:space="preserve">Later in </w:t>
      </w:r>
      <w:r w:rsidR="00D32A7D">
        <w:rPr>
          <w:kern w:val="24"/>
        </w:rPr>
        <w:t xml:space="preserve">Section V. of </w:t>
      </w:r>
      <w:r w:rsidR="00580834" w:rsidRPr="002558EB">
        <w:rPr>
          <w:kern w:val="24"/>
        </w:rPr>
        <w:t>my testimony I will provide greater detail as to why the Company believes the monthly customer charge should increase by $</w:t>
      </w:r>
      <w:r w:rsidR="00D90ACA" w:rsidRPr="002558EB">
        <w:rPr>
          <w:kern w:val="24"/>
        </w:rPr>
        <w:t>4</w:t>
      </w:r>
      <w:r w:rsidR="00580834" w:rsidRPr="002558EB">
        <w:rPr>
          <w:kern w:val="24"/>
        </w:rPr>
        <w:t>.00 per month.</w:t>
      </w:r>
    </w:p>
    <w:p w:rsidR="005540EB" w:rsidRPr="005540EB" w:rsidRDefault="005540EB" w:rsidP="005540EB">
      <w:pPr>
        <w:pStyle w:val="P214"/>
        <w:jc w:val="both"/>
        <w:rPr>
          <w:rFonts w:ascii="Times New Roman" w:hAnsi="Times New Roman" w:cs="Times New Roman"/>
        </w:rPr>
      </w:pPr>
      <w:r w:rsidRPr="002558EB">
        <w:rPr>
          <w:rStyle w:val="T11"/>
          <w:rFonts w:ascii="Times New Roman" w:hAnsi="Times New Roman" w:cs="Times New Roman"/>
        </w:rPr>
        <w:t>Q.</w:t>
      </w:r>
      <w:r w:rsidRPr="002558EB">
        <w:rPr>
          <w:rStyle w:val="T11"/>
          <w:rFonts w:ascii="Times New Roman" w:hAnsi="Times New Roman" w:cs="Times New Roman"/>
        </w:rPr>
        <w:tab/>
        <w:t xml:space="preserve">What is the proposed </w:t>
      </w:r>
      <w:r w:rsidR="00FF02B4" w:rsidRPr="002558EB">
        <w:rPr>
          <w:rStyle w:val="T11"/>
          <w:rFonts w:ascii="Times New Roman" w:hAnsi="Times New Roman" w:cs="Times New Roman"/>
        </w:rPr>
        <w:t>change</w:t>
      </w:r>
      <w:r w:rsidRPr="002558EB">
        <w:rPr>
          <w:rStyle w:val="T11"/>
          <w:rFonts w:ascii="Times New Roman" w:hAnsi="Times New Roman" w:cs="Times New Roman"/>
        </w:rPr>
        <w:t xml:space="preserve"> to the </w:t>
      </w:r>
      <w:r w:rsidR="007559C8" w:rsidRPr="002558EB">
        <w:rPr>
          <w:rStyle w:val="T11"/>
          <w:rFonts w:ascii="Times New Roman" w:hAnsi="Times New Roman" w:cs="Times New Roman"/>
        </w:rPr>
        <w:t>volumetric rates under</w:t>
      </w:r>
      <w:r w:rsidRPr="002558EB">
        <w:rPr>
          <w:rStyle w:val="T11"/>
          <w:rFonts w:ascii="Times New Roman" w:hAnsi="Times New Roman" w:cs="Times New Roman"/>
        </w:rPr>
        <w:t xml:space="preserve"> Schedule 101 in order to achieve the total</w:t>
      </w:r>
      <w:r w:rsidRPr="005540EB">
        <w:rPr>
          <w:rStyle w:val="T11"/>
          <w:rFonts w:ascii="Times New Roman" w:hAnsi="Times New Roman" w:cs="Times New Roman"/>
        </w:rPr>
        <w:t xml:space="preserve"> pro</w:t>
      </w:r>
      <w:r w:rsidR="00B312FA">
        <w:rPr>
          <w:rStyle w:val="T11"/>
          <w:rFonts w:ascii="Times New Roman" w:hAnsi="Times New Roman" w:cs="Times New Roman"/>
        </w:rPr>
        <w:t>posed revenue increase for the s</w:t>
      </w:r>
      <w:r w:rsidRPr="005540EB">
        <w:rPr>
          <w:rStyle w:val="T11"/>
          <w:rFonts w:ascii="Times New Roman" w:hAnsi="Times New Roman" w:cs="Times New Roman"/>
        </w:rPr>
        <w:t>chedule?</w:t>
      </w:r>
    </w:p>
    <w:p w:rsidR="005540EB" w:rsidRPr="005540EB" w:rsidRDefault="005540EB" w:rsidP="007559C8">
      <w:pPr>
        <w:pStyle w:val="P214"/>
        <w:tabs>
          <w:tab w:val="left" w:pos="1350"/>
        </w:tabs>
        <w:jc w:val="both"/>
        <w:rPr>
          <w:rFonts w:ascii="Times New Roman" w:hAnsi="Times New Roman" w:cs="Times New Roman"/>
        </w:rPr>
      </w:pPr>
      <w:r w:rsidRPr="00257659">
        <w:rPr>
          <w:rFonts w:ascii="Times New Roman" w:hAnsi="Times New Roman" w:cs="Times New Roman"/>
        </w:rPr>
        <w:t>A.</w:t>
      </w:r>
      <w:r w:rsidRPr="00257659">
        <w:rPr>
          <w:rFonts w:ascii="Times New Roman" w:hAnsi="Times New Roman" w:cs="Times New Roman"/>
        </w:rPr>
        <w:tab/>
      </w:r>
      <w:r w:rsidR="00434EE0" w:rsidRPr="00045C70">
        <w:rPr>
          <w:rFonts w:ascii="Times New Roman" w:hAnsi="Times New Roman" w:cs="Times New Roman"/>
        </w:rPr>
        <w:t xml:space="preserve">The Company, </w:t>
      </w:r>
      <w:r w:rsidRPr="00045C70">
        <w:rPr>
          <w:rFonts w:ascii="Times New Roman" w:hAnsi="Times New Roman" w:cs="Times New Roman"/>
        </w:rPr>
        <w:t>as shown in column (e), page 3 of Exhibit No._</w:t>
      </w:r>
      <w:r w:rsidR="00667220" w:rsidRPr="00045C70">
        <w:rPr>
          <w:rFonts w:ascii="Times New Roman" w:hAnsi="Times New Roman" w:cs="Times New Roman"/>
        </w:rPr>
        <w:t>_</w:t>
      </w:r>
      <w:proofErr w:type="gramStart"/>
      <w:r w:rsidR="00667220" w:rsidRPr="00045C70">
        <w:rPr>
          <w:rFonts w:ascii="Times New Roman" w:hAnsi="Times New Roman" w:cs="Times New Roman"/>
        </w:rPr>
        <w:t>_</w:t>
      </w:r>
      <w:r w:rsidRPr="00045C70">
        <w:rPr>
          <w:rFonts w:ascii="Times New Roman" w:hAnsi="Times New Roman" w:cs="Times New Roman"/>
        </w:rPr>
        <w:t>(</w:t>
      </w:r>
      <w:proofErr w:type="gramEnd"/>
      <w:r w:rsidR="00D8699E" w:rsidRPr="00045C70">
        <w:rPr>
          <w:rFonts w:ascii="Times New Roman" w:hAnsi="Times New Roman" w:cs="Times New Roman"/>
        </w:rPr>
        <w:t>PDE</w:t>
      </w:r>
      <w:r w:rsidRPr="00045C70">
        <w:rPr>
          <w:rFonts w:ascii="Times New Roman" w:hAnsi="Times New Roman" w:cs="Times New Roman"/>
        </w:rPr>
        <w:t>-7)</w:t>
      </w:r>
      <w:r w:rsidR="00434EE0" w:rsidRPr="00045C70">
        <w:rPr>
          <w:rFonts w:ascii="Times New Roman" w:hAnsi="Times New Roman" w:cs="Times New Roman"/>
        </w:rPr>
        <w:t xml:space="preserve">, </w:t>
      </w:r>
      <w:r w:rsidR="00257659" w:rsidRPr="00045C70">
        <w:rPr>
          <w:rFonts w:ascii="Times New Roman" w:hAnsi="Times New Roman" w:cs="Times New Roman"/>
        </w:rPr>
        <w:t xml:space="preserve">has proposed to </w:t>
      </w:r>
      <w:r w:rsidR="007559C8">
        <w:rPr>
          <w:rFonts w:ascii="Times New Roman" w:hAnsi="Times New Roman" w:cs="Times New Roman"/>
        </w:rPr>
        <w:t xml:space="preserve">increase the </w:t>
      </w:r>
      <w:r w:rsidR="00434EE0" w:rsidRPr="00045C70">
        <w:rPr>
          <w:rFonts w:ascii="Times New Roman" w:hAnsi="Times New Roman" w:cs="Times New Roman"/>
        </w:rPr>
        <w:t>per therm rate</w:t>
      </w:r>
      <w:r w:rsidR="007559C8">
        <w:rPr>
          <w:rFonts w:ascii="Times New Roman" w:hAnsi="Times New Roman" w:cs="Times New Roman"/>
        </w:rPr>
        <w:t xml:space="preserve"> for the two volumetric blocks on a uniform percentage basis.  The first block (0-70 therms) would increase from $0.78022 to $0.</w:t>
      </w:r>
      <w:r w:rsidR="008F62BD">
        <w:rPr>
          <w:rFonts w:ascii="Times New Roman" w:hAnsi="Times New Roman" w:cs="Times New Roman"/>
        </w:rPr>
        <w:t>79925</w:t>
      </w:r>
      <w:r w:rsidR="007559C8">
        <w:rPr>
          <w:rFonts w:ascii="Times New Roman" w:hAnsi="Times New Roman" w:cs="Times New Roman"/>
        </w:rPr>
        <w:t xml:space="preserve"> </w:t>
      </w:r>
      <w:r w:rsidR="00D44A55" w:rsidRPr="00045C70">
        <w:rPr>
          <w:rFonts w:ascii="Times New Roman" w:hAnsi="Times New Roman" w:cs="Times New Roman"/>
        </w:rPr>
        <w:t>(including Schedule 150 natural gas costs)</w:t>
      </w:r>
      <w:r w:rsidR="007559C8">
        <w:rPr>
          <w:rFonts w:ascii="Times New Roman" w:hAnsi="Times New Roman" w:cs="Times New Roman"/>
        </w:rPr>
        <w:t xml:space="preserve">, and the second block (over 70 therms) would increase from </w:t>
      </w:r>
      <w:r w:rsidR="00257659" w:rsidRPr="00045C70">
        <w:rPr>
          <w:rFonts w:ascii="Times New Roman" w:hAnsi="Times New Roman" w:cs="Times New Roman"/>
        </w:rPr>
        <w:t>$0.</w:t>
      </w:r>
      <w:r w:rsidR="007559C8">
        <w:rPr>
          <w:rFonts w:ascii="Times New Roman" w:hAnsi="Times New Roman" w:cs="Times New Roman"/>
        </w:rPr>
        <w:t>88130</w:t>
      </w:r>
      <w:r w:rsidR="00257659" w:rsidRPr="00045C70">
        <w:rPr>
          <w:rFonts w:ascii="Times New Roman" w:hAnsi="Times New Roman" w:cs="Times New Roman"/>
        </w:rPr>
        <w:t xml:space="preserve"> per therm to $0.</w:t>
      </w:r>
      <w:r w:rsidR="008F62BD">
        <w:rPr>
          <w:rFonts w:ascii="Times New Roman" w:hAnsi="Times New Roman" w:cs="Times New Roman"/>
        </w:rPr>
        <w:t>90279</w:t>
      </w:r>
      <w:r w:rsidR="00257659" w:rsidRPr="00045C70">
        <w:rPr>
          <w:rFonts w:ascii="Times New Roman" w:hAnsi="Times New Roman" w:cs="Times New Roman"/>
        </w:rPr>
        <w:t xml:space="preserve"> per therm</w:t>
      </w:r>
      <w:r w:rsidRPr="00045C70">
        <w:rPr>
          <w:rFonts w:ascii="Times New Roman" w:hAnsi="Times New Roman" w:cs="Times New Roman"/>
        </w:rPr>
        <w:t>.</w:t>
      </w:r>
      <w:r w:rsidRPr="00257659">
        <w:rPr>
          <w:rFonts w:ascii="Times New Roman" w:hAnsi="Times New Roman" w:cs="Times New Roman"/>
        </w:rPr>
        <w:t xml:space="preserve">  </w:t>
      </w:r>
      <w:r w:rsidR="00FF02B4" w:rsidRPr="00257659">
        <w:rPr>
          <w:rFonts w:ascii="Times New Roman" w:hAnsi="Times New Roman" w:cs="Times New Roman"/>
        </w:rPr>
        <w:t xml:space="preserve"> </w:t>
      </w:r>
    </w:p>
    <w:p w:rsidR="005540EB" w:rsidRPr="008F62BD"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would be the increase in a residential customer’s bill with average usage </w:t>
      </w:r>
      <w:r w:rsidRPr="008F62BD">
        <w:rPr>
          <w:rStyle w:val="T11"/>
          <w:rFonts w:ascii="Times New Roman" w:hAnsi="Times New Roman" w:cs="Times New Roman"/>
        </w:rPr>
        <w:t>based on the proposed increase for Schedule 101?</w:t>
      </w:r>
    </w:p>
    <w:p w:rsidR="005540EB" w:rsidRDefault="005540EB" w:rsidP="005540EB">
      <w:pPr>
        <w:pStyle w:val="P190"/>
        <w:jc w:val="both"/>
        <w:rPr>
          <w:rFonts w:ascii="Times New Roman" w:hAnsi="Times New Roman" w:cs="Times New Roman"/>
        </w:rPr>
      </w:pPr>
      <w:r w:rsidRPr="008F62BD">
        <w:rPr>
          <w:rFonts w:ascii="Times New Roman" w:hAnsi="Times New Roman" w:cs="Times New Roman"/>
        </w:rPr>
        <w:t>A.</w:t>
      </w:r>
      <w:r w:rsidRPr="008F62BD">
        <w:rPr>
          <w:rFonts w:ascii="Times New Roman" w:hAnsi="Times New Roman" w:cs="Times New Roman"/>
        </w:rPr>
        <w:tab/>
        <w:t xml:space="preserve">The increase for a residential customer using an average of </w:t>
      </w:r>
      <w:r w:rsidR="008F62BD" w:rsidRPr="008F62BD">
        <w:rPr>
          <w:rFonts w:ascii="Times New Roman" w:hAnsi="Times New Roman" w:cs="Times New Roman"/>
        </w:rPr>
        <w:t>65</w:t>
      </w:r>
      <w:r w:rsidRPr="008F62BD">
        <w:rPr>
          <w:rFonts w:ascii="Times New Roman" w:hAnsi="Times New Roman" w:cs="Times New Roman"/>
        </w:rPr>
        <w:t xml:space="preserve"> therms of</w:t>
      </w:r>
      <w:r w:rsidR="00580834" w:rsidRPr="008F62BD">
        <w:rPr>
          <w:rFonts w:ascii="Times New Roman" w:hAnsi="Times New Roman" w:cs="Times New Roman"/>
        </w:rPr>
        <w:t xml:space="preserve"> natural </w:t>
      </w:r>
      <w:r w:rsidRPr="008F62BD">
        <w:rPr>
          <w:rFonts w:ascii="Times New Roman" w:hAnsi="Times New Roman" w:cs="Times New Roman"/>
        </w:rPr>
        <w:t>gas per month would be $</w:t>
      </w:r>
      <w:r w:rsidR="008F62BD" w:rsidRPr="008F62BD">
        <w:rPr>
          <w:rFonts w:ascii="Times New Roman" w:hAnsi="Times New Roman" w:cs="Times New Roman"/>
        </w:rPr>
        <w:t>5.23</w:t>
      </w:r>
      <w:r w:rsidRPr="008F62BD">
        <w:rPr>
          <w:rFonts w:ascii="Times New Roman" w:hAnsi="Times New Roman" w:cs="Times New Roman"/>
        </w:rPr>
        <w:t xml:space="preserve"> per month, or </w:t>
      </w:r>
      <w:r w:rsidR="008F62BD" w:rsidRPr="008F62BD">
        <w:rPr>
          <w:rFonts w:ascii="Times New Roman" w:hAnsi="Times New Roman" w:cs="Times New Roman"/>
        </w:rPr>
        <w:t>8.5</w:t>
      </w:r>
      <w:r w:rsidRPr="008F62BD">
        <w:rPr>
          <w:rFonts w:ascii="Times New Roman" w:hAnsi="Times New Roman" w:cs="Times New Roman"/>
        </w:rPr>
        <w:t xml:space="preserve">%.  A bill for </w:t>
      </w:r>
      <w:r w:rsidR="008F62BD" w:rsidRPr="008F62BD">
        <w:rPr>
          <w:rFonts w:ascii="Times New Roman" w:hAnsi="Times New Roman" w:cs="Times New Roman"/>
        </w:rPr>
        <w:t>65</w:t>
      </w:r>
      <w:r w:rsidRPr="008F62BD">
        <w:rPr>
          <w:rFonts w:ascii="Times New Roman" w:hAnsi="Times New Roman" w:cs="Times New Roman"/>
        </w:rPr>
        <w:t xml:space="preserve"> therms per month would increase from the present level of $</w:t>
      </w:r>
      <w:r w:rsidR="008F62BD" w:rsidRPr="008F62BD">
        <w:rPr>
          <w:rFonts w:ascii="Times New Roman" w:hAnsi="Times New Roman" w:cs="Times New Roman"/>
        </w:rPr>
        <w:t>61.19</w:t>
      </w:r>
      <w:r w:rsidRPr="008F62BD">
        <w:rPr>
          <w:rFonts w:ascii="Times New Roman" w:hAnsi="Times New Roman" w:cs="Times New Roman"/>
        </w:rPr>
        <w:t xml:space="preserve"> to a proposed level of $</w:t>
      </w:r>
      <w:r w:rsidR="008F62BD" w:rsidRPr="008F62BD">
        <w:rPr>
          <w:rFonts w:ascii="Times New Roman" w:hAnsi="Times New Roman" w:cs="Times New Roman"/>
        </w:rPr>
        <w:t>66.42</w:t>
      </w:r>
      <w:r w:rsidRPr="008F62BD">
        <w:rPr>
          <w:rFonts w:ascii="Times New Roman" w:hAnsi="Times New Roman" w:cs="Times New Roman"/>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8F5275">
        <w:rPr>
          <w:rFonts w:ascii="Times New Roman" w:hAnsi="Times New Roman" w:cs="Times New Roman"/>
          <w:b/>
          <w:bCs/>
        </w:rPr>
        <w:t>Q.</w:t>
      </w:r>
      <w:r w:rsidRPr="008F5275">
        <w:rPr>
          <w:rFonts w:ascii="Times New Roman" w:hAnsi="Times New Roman" w:cs="Times New Roman"/>
          <w:b/>
          <w:bCs/>
        </w:rPr>
        <w:tab/>
      </w:r>
      <w:r w:rsidR="00D32A7D">
        <w:rPr>
          <w:rFonts w:ascii="Times New Roman" w:hAnsi="Times New Roman" w:cs="Times New Roman"/>
          <w:b/>
          <w:bCs/>
        </w:rPr>
        <w:t>P</w:t>
      </w:r>
      <w:r w:rsidRPr="008F5275">
        <w:rPr>
          <w:rFonts w:ascii="Times New Roman" w:hAnsi="Times New Roman" w:cs="Times New Roman"/>
          <w:b/>
          <w:bCs/>
        </w:rPr>
        <w:t>lease explain the proposed changes in the rates for Large and Extra Large Genera</w:t>
      </w:r>
      <w:r w:rsidR="00D32A7D">
        <w:rPr>
          <w:rFonts w:ascii="Times New Roman" w:hAnsi="Times New Roman" w:cs="Times New Roman"/>
          <w:b/>
          <w:bCs/>
        </w:rPr>
        <w:t>l Service Schedules 111/112 and 121/122</w:t>
      </w:r>
    </w:p>
    <w:p w:rsidR="005540EB" w:rsidRPr="000B55F7"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1279B7">
        <w:rPr>
          <w:rFonts w:ascii="Times New Roman" w:hAnsi="Times New Roman" w:cs="Times New Roman"/>
        </w:rPr>
        <w:t xml:space="preserve">Yes.  </w:t>
      </w:r>
      <w:r w:rsidRPr="005540EB">
        <w:rPr>
          <w:rFonts w:ascii="Times New Roman" w:hAnsi="Times New Roman" w:cs="Times New Roman"/>
        </w:rPr>
        <w:t>The present rates for Schedules 101, 111</w:t>
      </w:r>
      <w:r w:rsidR="00D32A7D">
        <w:rPr>
          <w:rFonts w:ascii="Times New Roman" w:hAnsi="Times New Roman" w:cs="Times New Roman"/>
        </w:rPr>
        <w:t>/112</w:t>
      </w:r>
      <w:r w:rsidRPr="005540EB">
        <w:rPr>
          <w:rFonts w:ascii="Times New Roman" w:hAnsi="Times New Roman" w:cs="Times New Roman"/>
        </w:rPr>
        <w:t>, and 121</w:t>
      </w:r>
      <w:r w:rsidR="00D32A7D">
        <w:rPr>
          <w:rFonts w:ascii="Times New Roman" w:hAnsi="Times New Roman" w:cs="Times New Roman"/>
        </w:rPr>
        <w:t>/122</w:t>
      </w:r>
      <w:r w:rsidRPr="005540EB">
        <w:rPr>
          <w:rFonts w:ascii="Times New Roman" w:hAnsi="Times New Roman" w:cs="Times New Roman"/>
        </w:rPr>
        <w:t xml:space="preserve"> provide a clear distinction for customer placement:  customers who use less than 200 therms/month should be placed on Schedule 101, customers who use between 200 and 10,000 therms per </w:t>
      </w:r>
      <w:r w:rsidRPr="005540EB">
        <w:rPr>
          <w:rFonts w:ascii="Times New Roman" w:hAnsi="Times New Roman" w:cs="Times New Roman"/>
        </w:rPr>
        <w:lastRenderedPageBreak/>
        <w:t>month should be placed on Schedule</w:t>
      </w:r>
      <w:r w:rsidR="00891F68">
        <w:rPr>
          <w:rFonts w:ascii="Times New Roman" w:hAnsi="Times New Roman" w:cs="Times New Roman"/>
        </w:rPr>
        <w:t>s</w:t>
      </w:r>
      <w:r w:rsidRPr="005540EB">
        <w:rPr>
          <w:rFonts w:ascii="Times New Roman" w:hAnsi="Times New Roman" w:cs="Times New Roman"/>
        </w:rPr>
        <w:t xml:space="preserve"> 111</w:t>
      </w:r>
      <w:r w:rsidR="00D32A7D">
        <w:rPr>
          <w:rFonts w:ascii="Times New Roman" w:hAnsi="Times New Roman" w:cs="Times New Roman"/>
        </w:rPr>
        <w:t>/112</w:t>
      </w:r>
      <w:r w:rsidRPr="005540EB">
        <w:rPr>
          <w:rFonts w:ascii="Times New Roman" w:hAnsi="Times New Roman" w:cs="Times New Roman"/>
        </w:rPr>
        <w:t>, and only those customers who generally use over 10,000 therms per month should be placed on Schedule</w:t>
      </w:r>
      <w:r w:rsidR="00891F68">
        <w:rPr>
          <w:rFonts w:ascii="Times New Roman" w:hAnsi="Times New Roman" w:cs="Times New Roman"/>
        </w:rPr>
        <w:t>s</w:t>
      </w:r>
      <w:r w:rsidRPr="005540EB">
        <w:rPr>
          <w:rFonts w:ascii="Times New Roman" w:hAnsi="Times New Roman" w:cs="Times New Roman"/>
        </w:rPr>
        <w:t xml:space="preserve"> 121</w:t>
      </w:r>
      <w:r w:rsidR="00D32A7D">
        <w:rPr>
          <w:rFonts w:ascii="Times New Roman" w:hAnsi="Times New Roman" w:cs="Times New Roman"/>
        </w:rPr>
        <w:t>/122</w:t>
      </w:r>
      <w:r w:rsidRPr="005540EB">
        <w:rPr>
          <w:rFonts w:ascii="Times New Roman" w:hAnsi="Times New Roman" w:cs="Times New Roman"/>
        </w:rPr>
        <w:t xml:space="preserve">.  Not only do the rates provide guidance for customer schedule placement, they provide a reasonable classification of customers for analyzing the </w:t>
      </w:r>
      <w:r w:rsidRPr="000B55F7">
        <w:rPr>
          <w:rFonts w:ascii="Times New Roman" w:hAnsi="Times New Roman" w:cs="Times New Roman"/>
        </w:rPr>
        <w:t>costs of providing service.</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B55F7">
        <w:rPr>
          <w:rFonts w:ascii="Times New Roman" w:hAnsi="Times New Roman" w:cs="Times New Roman"/>
        </w:rPr>
        <w:t>The Company’s proposed rates for Schedules 111</w:t>
      </w:r>
      <w:r w:rsidR="00D32A7D">
        <w:rPr>
          <w:rFonts w:ascii="Times New Roman" w:hAnsi="Times New Roman" w:cs="Times New Roman"/>
        </w:rPr>
        <w:t>/112</w:t>
      </w:r>
      <w:r w:rsidRPr="000B55F7">
        <w:rPr>
          <w:rFonts w:ascii="Times New Roman" w:hAnsi="Times New Roman" w:cs="Times New Roman"/>
        </w:rPr>
        <w:t xml:space="preserve"> and 121</w:t>
      </w:r>
      <w:r w:rsidR="00D32A7D">
        <w:rPr>
          <w:rFonts w:ascii="Times New Roman" w:hAnsi="Times New Roman" w:cs="Times New Roman"/>
        </w:rPr>
        <w:t>/122</w:t>
      </w:r>
      <w:r w:rsidRPr="000B55F7">
        <w:rPr>
          <w:rFonts w:ascii="Times New Roman" w:hAnsi="Times New Roman" w:cs="Times New Roman"/>
        </w:rPr>
        <w:t xml:space="preserve"> will maintain the rate structure within the schedules and continue to provide guidance for appropriate schedule placement for customers and a reasonable classification for cost analysis.  The proposed minimum charge </w:t>
      </w:r>
      <w:r w:rsidR="00B83A07">
        <w:rPr>
          <w:rFonts w:ascii="Times New Roman" w:hAnsi="Times New Roman" w:cs="Times New Roman"/>
        </w:rPr>
        <w:t>of</w:t>
      </w:r>
      <w:r w:rsidR="006D1C8A">
        <w:rPr>
          <w:rFonts w:ascii="Times New Roman" w:hAnsi="Times New Roman" w:cs="Times New Roman"/>
        </w:rPr>
        <w:t xml:space="preserve"> $85.70 per month</w:t>
      </w:r>
      <w:r w:rsidR="00B83A07">
        <w:rPr>
          <w:rStyle w:val="FootnoteReference"/>
          <w:rFonts w:ascii="Times New Roman" w:hAnsi="Times New Roman"/>
        </w:rPr>
        <w:footnoteReference w:id="9"/>
      </w:r>
      <w:r w:rsidR="006D1C8A">
        <w:rPr>
          <w:rFonts w:ascii="Times New Roman" w:hAnsi="Times New Roman" w:cs="Times New Roman"/>
        </w:rPr>
        <w:t xml:space="preserve"> </w:t>
      </w:r>
      <w:r w:rsidRPr="000B55F7">
        <w:rPr>
          <w:rFonts w:ascii="Times New Roman" w:hAnsi="Times New Roman" w:cs="Times New Roman"/>
        </w:rPr>
        <w:t>for Schedule</w:t>
      </w:r>
      <w:r w:rsidR="00891F68">
        <w:rPr>
          <w:rFonts w:ascii="Times New Roman" w:hAnsi="Times New Roman" w:cs="Times New Roman"/>
        </w:rPr>
        <w:t>s</w:t>
      </w:r>
      <w:r w:rsidRPr="000B55F7">
        <w:rPr>
          <w:rFonts w:ascii="Times New Roman" w:hAnsi="Times New Roman" w:cs="Times New Roman"/>
        </w:rPr>
        <w:t xml:space="preserve"> 111</w:t>
      </w:r>
      <w:r w:rsidR="00D32A7D">
        <w:rPr>
          <w:rFonts w:ascii="Times New Roman" w:hAnsi="Times New Roman" w:cs="Times New Roman"/>
        </w:rPr>
        <w:t>/112</w:t>
      </w:r>
      <w:r w:rsidRPr="000B55F7">
        <w:rPr>
          <w:rFonts w:ascii="Times New Roman" w:hAnsi="Times New Roman" w:cs="Times New Roman"/>
        </w:rPr>
        <w:t xml:space="preserve"> (for 200 therms or less) maintains the present relationship between the </w:t>
      </w:r>
      <w:r w:rsidR="000B55F7" w:rsidRPr="000B55F7">
        <w:rPr>
          <w:rFonts w:ascii="Times New Roman" w:hAnsi="Times New Roman" w:cs="Times New Roman"/>
        </w:rPr>
        <w:t>Schedule 101 and 111</w:t>
      </w:r>
      <w:r w:rsidR="00D32A7D">
        <w:rPr>
          <w:rFonts w:ascii="Times New Roman" w:hAnsi="Times New Roman" w:cs="Times New Roman"/>
        </w:rPr>
        <w:t>/112</w:t>
      </w:r>
      <w:r w:rsidRPr="000B55F7">
        <w:rPr>
          <w:rFonts w:ascii="Times New Roman" w:hAnsi="Times New Roman" w:cs="Times New Roman"/>
        </w:rPr>
        <w:t>, and will minimize customer shifting.  The remaining proposed revenue increase for Schedule</w:t>
      </w:r>
      <w:r w:rsidR="00891F68">
        <w:rPr>
          <w:rFonts w:ascii="Times New Roman" w:hAnsi="Times New Roman" w:cs="Times New Roman"/>
        </w:rPr>
        <w:t>s</w:t>
      </w:r>
      <w:r w:rsidRPr="000B55F7">
        <w:rPr>
          <w:rFonts w:ascii="Times New Roman" w:hAnsi="Times New Roman" w:cs="Times New Roman"/>
        </w:rPr>
        <w:t xml:space="preserve"> 111</w:t>
      </w:r>
      <w:r w:rsidR="00D32A7D">
        <w:rPr>
          <w:rFonts w:ascii="Times New Roman" w:hAnsi="Times New Roman" w:cs="Times New Roman"/>
        </w:rPr>
        <w:t>/112</w:t>
      </w:r>
      <w:r w:rsidRPr="000B55F7">
        <w:rPr>
          <w:rFonts w:ascii="Times New Roman" w:hAnsi="Times New Roman" w:cs="Times New Roman"/>
        </w:rPr>
        <w:t xml:space="preserve"> was then spread on a uniform percentage increase of </w:t>
      </w:r>
      <w:r w:rsidR="00045C70" w:rsidRPr="000B55F7">
        <w:rPr>
          <w:rFonts w:ascii="Times New Roman" w:hAnsi="Times New Roman" w:cs="Times New Roman"/>
        </w:rPr>
        <w:t>7.7</w:t>
      </w:r>
      <w:r w:rsidRPr="000B55F7">
        <w:rPr>
          <w:rFonts w:ascii="Times New Roman" w:hAnsi="Times New Roman" w:cs="Times New Roman"/>
        </w:rPr>
        <w:t>% to the remai</w:t>
      </w:r>
      <w:r w:rsidR="00B312FA" w:rsidRPr="000B55F7">
        <w:rPr>
          <w:rFonts w:ascii="Times New Roman" w:hAnsi="Times New Roman" w:cs="Times New Roman"/>
        </w:rPr>
        <w:t>ning two rate blocks under the s</w:t>
      </w:r>
      <w:r w:rsidRPr="000B55F7">
        <w:rPr>
          <w:rFonts w:ascii="Times New Roman" w:hAnsi="Times New Roman" w:cs="Times New Roman"/>
        </w:rPr>
        <w:t xml:space="preserve">chedule, resulting in an overall revenue increase of </w:t>
      </w:r>
      <w:r w:rsidR="000B55F7" w:rsidRPr="000B55F7">
        <w:rPr>
          <w:rFonts w:ascii="Times New Roman" w:hAnsi="Times New Roman" w:cs="Times New Roman"/>
        </w:rPr>
        <w:t>6.4</w:t>
      </w:r>
      <w:r w:rsidR="00B312FA" w:rsidRPr="000B55F7">
        <w:rPr>
          <w:rFonts w:ascii="Times New Roman" w:hAnsi="Times New Roman" w:cs="Times New Roman"/>
        </w:rPr>
        <w:t>% for the s</w:t>
      </w:r>
      <w:r w:rsidRPr="000B55F7">
        <w:rPr>
          <w:rFonts w:ascii="Times New Roman" w:hAnsi="Times New Roman" w:cs="Times New Roman"/>
        </w:rPr>
        <w:t>chedule.</w:t>
      </w: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45C70">
        <w:rPr>
          <w:rFonts w:ascii="Times New Roman" w:hAnsi="Times New Roman" w:cs="Times New Roman"/>
        </w:rPr>
        <w:t>For Schedule</w:t>
      </w:r>
      <w:r w:rsidR="00891F68">
        <w:rPr>
          <w:rFonts w:ascii="Times New Roman" w:hAnsi="Times New Roman" w:cs="Times New Roman"/>
        </w:rPr>
        <w:t>s</w:t>
      </w:r>
      <w:r w:rsidRPr="00045C70">
        <w:rPr>
          <w:rFonts w:ascii="Times New Roman" w:hAnsi="Times New Roman" w:cs="Times New Roman"/>
        </w:rPr>
        <w:t xml:space="preserve"> 121</w:t>
      </w:r>
      <w:r w:rsidR="00891F68">
        <w:rPr>
          <w:rFonts w:ascii="Times New Roman" w:hAnsi="Times New Roman" w:cs="Times New Roman"/>
        </w:rPr>
        <w:t>/122</w:t>
      </w:r>
      <w:r w:rsidRPr="00045C70">
        <w:rPr>
          <w:rFonts w:ascii="Times New Roman" w:hAnsi="Times New Roman" w:cs="Times New Roman"/>
        </w:rPr>
        <w:t xml:space="preserve">, </w:t>
      </w:r>
      <w:r w:rsidR="000B55F7">
        <w:rPr>
          <w:rFonts w:ascii="Times New Roman" w:hAnsi="Times New Roman" w:cs="Times New Roman"/>
        </w:rPr>
        <w:t>in order to maintain the present relationship</w:t>
      </w:r>
      <w:r w:rsidR="006D1C8A">
        <w:rPr>
          <w:rFonts w:ascii="Times New Roman" w:hAnsi="Times New Roman" w:cs="Times New Roman"/>
        </w:rPr>
        <w:t xml:space="preserve"> between the schedules, the minimum monthly charge is set at $207.13 per month.  </w:t>
      </w:r>
      <w:r w:rsidRPr="00045C70">
        <w:rPr>
          <w:rFonts w:ascii="Times New Roman" w:hAnsi="Times New Roman" w:cs="Times New Roman"/>
        </w:rPr>
        <w:t>The minimum</w:t>
      </w:r>
      <w:r w:rsidRPr="00257659">
        <w:rPr>
          <w:rFonts w:ascii="Times New Roman" w:hAnsi="Times New Roman" w:cs="Times New Roman"/>
        </w:rPr>
        <w:t xml:space="preserve"> charge is derived by adding the proposed Schedule 101 basic charge of $</w:t>
      </w:r>
      <w:r w:rsidR="0080740D">
        <w:rPr>
          <w:rFonts w:ascii="Times New Roman" w:hAnsi="Times New Roman" w:cs="Times New Roman"/>
        </w:rPr>
        <w:t>12</w:t>
      </w:r>
      <w:r w:rsidRPr="00257659">
        <w:rPr>
          <w:rFonts w:ascii="Times New Roman" w:hAnsi="Times New Roman" w:cs="Times New Roman"/>
        </w:rPr>
        <w:t xml:space="preserve"> to the</w:t>
      </w:r>
      <w:r>
        <w:rPr>
          <w:rFonts w:ascii="Times New Roman" w:hAnsi="Times New Roman" w:cs="Times New Roman"/>
        </w:rPr>
        <w:t xml:space="preserve"> product of 500 therms multiplied by the</w:t>
      </w:r>
      <w:r w:rsidR="0080740D">
        <w:rPr>
          <w:rFonts w:ascii="Times New Roman" w:hAnsi="Times New Roman" w:cs="Times New Roman"/>
        </w:rPr>
        <w:t xml:space="preserve"> proposed</w:t>
      </w:r>
      <w:r>
        <w:rPr>
          <w:rFonts w:ascii="Times New Roman" w:hAnsi="Times New Roman" w:cs="Times New Roman"/>
        </w:rPr>
        <w:t xml:space="preserve"> </w:t>
      </w:r>
      <w:r w:rsidR="0080740D">
        <w:rPr>
          <w:rFonts w:ascii="Times New Roman" w:hAnsi="Times New Roman" w:cs="Times New Roman"/>
        </w:rPr>
        <w:t xml:space="preserve">Schedule 101 </w:t>
      </w:r>
      <w:r>
        <w:rPr>
          <w:rFonts w:ascii="Times New Roman" w:hAnsi="Times New Roman" w:cs="Times New Roman"/>
        </w:rPr>
        <w:t>rate</w:t>
      </w:r>
      <w:r w:rsidR="0080740D">
        <w:rPr>
          <w:rFonts w:ascii="Times New Roman" w:hAnsi="Times New Roman" w:cs="Times New Roman"/>
        </w:rPr>
        <w:t>s</w:t>
      </w:r>
      <w:r>
        <w:rPr>
          <w:rFonts w:ascii="Times New Roman" w:hAnsi="Times New Roman" w:cs="Times New Roman"/>
        </w:rPr>
        <w:t xml:space="preserve">.  </w:t>
      </w:r>
      <w:r w:rsidR="00891F68">
        <w:rPr>
          <w:rFonts w:ascii="Times New Roman" w:hAnsi="Times New Roman" w:cs="Times New Roman"/>
        </w:rPr>
        <w:t>T</w:t>
      </w:r>
      <w:r w:rsidRPr="00BA66BC">
        <w:rPr>
          <w:rFonts w:ascii="Times New Roman" w:hAnsi="Times New Roman" w:cs="Times New Roman"/>
        </w:rPr>
        <w:t>he calculation</w:t>
      </w:r>
      <w:r w:rsidR="00891F68">
        <w:rPr>
          <w:rFonts w:ascii="Times New Roman" w:hAnsi="Times New Roman" w:cs="Times New Roman"/>
        </w:rPr>
        <w:t xml:space="preserve"> is shown below</w:t>
      </w:r>
      <w:r w:rsidRPr="00BA66BC">
        <w:rPr>
          <w:rFonts w:ascii="Times New Roman" w:hAnsi="Times New Roman" w:cs="Times New Roman"/>
        </w:rPr>
        <w:t>:</w:t>
      </w:r>
    </w:p>
    <w:p w:rsidR="00384DAD" w:rsidRPr="00737CA1" w:rsidRDefault="00384DAD" w:rsidP="00384DAD">
      <w:pPr>
        <w:pStyle w:val="BodyText2"/>
        <w:tabs>
          <w:tab w:val="left" w:pos="810"/>
          <w:tab w:val="left" w:pos="1440"/>
        </w:tabs>
        <w:outlineLvl w:val="0"/>
        <w:rPr>
          <w:b/>
          <w:bCs/>
          <w:u w:val="single"/>
        </w:rPr>
      </w:pPr>
      <w:r w:rsidRPr="00737CA1">
        <w:rPr>
          <w:b/>
          <w:bCs/>
          <w:u w:val="single"/>
        </w:rPr>
        <w:t xml:space="preserve">Table </w:t>
      </w:r>
      <w:r w:rsidR="00891F68">
        <w:rPr>
          <w:b/>
          <w:bCs/>
          <w:u w:val="single"/>
        </w:rPr>
        <w:t>10</w:t>
      </w:r>
      <w:r>
        <w:rPr>
          <w:b/>
          <w:bCs/>
          <w:u w:val="single"/>
        </w:rPr>
        <w:t xml:space="preserve"> – Schedule</w:t>
      </w:r>
      <w:r w:rsidR="00891F68">
        <w:rPr>
          <w:b/>
          <w:bCs/>
          <w:u w:val="single"/>
        </w:rPr>
        <w:t>s</w:t>
      </w:r>
      <w:r>
        <w:rPr>
          <w:b/>
          <w:bCs/>
          <w:u w:val="single"/>
        </w:rPr>
        <w:t xml:space="preserve"> 121</w:t>
      </w:r>
      <w:r w:rsidR="00891F68">
        <w:rPr>
          <w:b/>
          <w:bCs/>
          <w:u w:val="single"/>
        </w:rPr>
        <w:t>/122</w:t>
      </w:r>
      <w:r>
        <w:rPr>
          <w:b/>
          <w:bCs/>
          <w:u w:val="single"/>
        </w:rPr>
        <w:t xml:space="preserve"> Breakeven Calculation</w:t>
      </w:r>
    </w:p>
    <w:p w:rsidR="00384DAD" w:rsidRDefault="00B83A07"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B83A07">
        <w:rPr>
          <w:noProof/>
        </w:rPr>
        <w:drawing>
          <wp:anchor distT="0" distB="0" distL="114300" distR="114300" simplePos="0" relativeHeight="251875840" behindDoc="1" locked="0" layoutInCell="1" allowOverlap="1">
            <wp:simplePos x="0" y="0"/>
            <wp:positionH relativeFrom="column">
              <wp:posOffset>1435307</wp:posOffset>
            </wp:positionH>
            <wp:positionV relativeFrom="paragraph">
              <wp:posOffset>112986</wp:posOffset>
            </wp:positionV>
            <wp:extent cx="2320113" cy="1403498"/>
            <wp:effectExtent l="19050" t="0" r="3987"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2320113" cy="1403498"/>
                    </a:xfrm>
                    <a:prstGeom prst="rect">
                      <a:avLst/>
                    </a:prstGeom>
                    <a:noFill/>
                    <a:ln w="9525">
                      <a:noFill/>
                      <a:miter lim="800000"/>
                      <a:headEnd/>
                      <a:tailEnd/>
                    </a:ln>
                  </pic:spPr>
                </pic:pic>
              </a:graphicData>
            </a:graphic>
          </wp:anchor>
        </w:drawing>
      </w: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B83A07" w:rsidRDefault="00B83A07"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lastRenderedPageBreak/>
        <w:t>The second</w:t>
      </w:r>
      <w:r>
        <w:rPr>
          <w:rFonts w:ascii="Times New Roman" w:hAnsi="Times New Roman" w:cs="Times New Roman"/>
        </w:rPr>
        <w:t>,</w:t>
      </w:r>
      <w:r w:rsidRPr="005540EB">
        <w:rPr>
          <w:rFonts w:ascii="Times New Roman" w:hAnsi="Times New Roman" w:cs="Times New Roman"/>
        </w:rPr>
        <w:t xml:space="preserve"> third</w:t>
      </w:r>
      <w:r>
        <w:rPr>
          <w:rFonts w:ascii="Times New Roman" w:hAnsi="Times New Roman" w:cs="Times New Roman"/>
        </w:rPr>
        <w:t>, and fourth</w:t>
      </w:r>
      <w:r w:rsidRPr="005540EB">
        <w:rPr>
          <w:rFonts w:ascii="Times New Roman" w:hAnsi="Times New Roman" w:cs="Times New Roman"/>
        </w:rPr>
        <w:t xml:space="preserve"> block rates were increased by a uniform percentage of </w:t>
      </w:r>
      <w:r w:rsidRPr="0087366D">
        <w:rPr>
          <w:rFonts w:ascii="Times New Roman" w:hAnsi="Times New Roman" w:cs="Times New Roman"/>
        </w:rPr>
        <w:t xml:space="preserve">approximately </w:t>
      </w:r>
      <w:r w:rsidR="002558EB">
        <w:rPr>
          <w:rFonts w:ascii="Times New Roman" w:hAnsi="Times New Roman" w:cs="Times New Roman"/>
        </w:rPr>
        <w:t>6.3</w:t>
      </w:r>
      <w:r w:rsidRPr="0087366D">
        <w:rPr>
          <w:rFonts w:ascii="Times New Roman" w:hAnsi="Times New Roman" w:cs="Times New Roman"/>
        </w:rPr>
        <w:t>% to maintain</w:t>
      </w:r>
      <w:r w:rsidRPr="005540EB">
        <w:rPr>
          <w:rFonts w:ascii="Times New Roman" w:hAnsi="Times New Roman" w:cs="Times New Roman"/>
        </w:rPr>
        <w:t xml:space="preserve"> consistency between the rates for Schedules 111</w:t>
      </w:r>
      <w:r w:rsidR="00D32A7D">
        <w:rPr>
          <w:rFonts w:ascii="Times New Roman" w:hAnsi="Times New Roman" w:cs="Times New Roman"/>
        </w:rPr>
        <w:t>/112</w:t>
      </w:r>
      <w:r w:rsidRPr="005540EB">
        <w:rPr>
          <w:rFonts w:ascii="Times New Roman" w:hAnsi="Times New Roman" w:cs="Times New Roman"/>
        </w:rPr>
        <w:t xml:space="preserve"> and 121</w:t>
      </w:r>
      <w:r w:rsidR="00D32A7D">
        <w:rPr>
          <w:rFonts w:ascii="Times New Roman" w:hAnsi="Times New Roman" w:cs="Times New Roman"/>
        </w:rPr>
        <w:t>/122</w:t>
      </w:r>
      <w:r w:rsidRPr="005540EB">
        <w:rPr>
          <w:rFonts w:ascii="Times New Roman" w:hAnsi="Times New Roman" w:cs="Times New Roman"/>
        </w:rPr>
        <w:t xml:space="preserve">.  </w:t>
      </w:r>
      <w:r w:rsidRPr="0087366D">
        <w:rPr>
          <w:rFonts w:ascii="Times New Roman" w:hAnsi="Times New Roman" w:cs="Times New Roman"/>
        </w:rPr>
        <w:t>The fifth block was not adjusted in order to provide a more meaningful spread between the rate blocks, resulting</w:t>
      </w:r>
      <w:r>
        <w:rPr>
          <w:rFonts w:ascii="Times New Roman" w:hAnsi="Times New Roman" w:cs="Times New Roman"/>
        </w:rPr>
        <w:t xml:space="preserve"> in an overall revenue increase of </w:t>
      </w:r>
      <w:r w:rsidR="009D3196">
        <w:rPr>
          <w:rFonts w:ascii="Times New Roman" w:hAnsi="Times New Roman" w:cs="Times New Roman"/>
        </w:rPr>
        <w:t>5.2</w:t>
      </w:r>
      <w:r>
        <w:rPr>
          <w:rFonts w:ascii="Times New Roman" w:hAnsi="Times New Roman" w:cs="Times New Roman"/>
        </w:rPr>
        <w:t>% for the s</w:t>
      </w:r>
      <w:r w:rsidRPr="005540EB">
        <w:rPr>
          <w:rFonts w:ascii="Times New Roman" w:hAnsi="Times New Roman" w:cs="Times New Roman"/>
        </w:rPr>
        <w:t>chedule.</w:t>
      </w:r>
    </w:p>
    <w:p w:rsidR="005540EB" w:rsidRPr="005540EB" w:rsidRDefault="005540EB"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proofErr w:type="gramStart"/>
      <w:r w:rsidRPr="005540EB">
        <w:rPr>
          <w:rFonts w:ascii="Times New Roman" w:hAnsi="Times New Roman" w:cs="Times New Roman"/>
          <w:b/>
          <w:bCs/>
        </w:rPr>
        <w:t>Q.</w:t>
      </w:r>
      <w:r w:rsidRPr="005540EB">
        <w:rPr>
          <w:rFonts w:ascii="Times New Roman" w:hAnsi="Times New Roman" w:cs="Times New Roman"/>
        </w:rPr>
        <w:tab/>
      </w:r>
      <w:r w:rsidRPr="005540EB">
        <w:rPr>
          <w:rFonts w:ascii="Times New Roman" w:hAnsi="Times New Roman" w:cs="Times New Roman"/>
          <w:b/>
          <w:bCs/>
        </w:rPr>
        <w:t xml:space="preserve">How is the </w:t>
      </w:r>
      <w:r w:rsidRPr="00BA66BC">
        <w:rPr>
          <w:rFonts w:ascii="Times New Roman" w:hAnsi="Times New Roman" w:cs="Times New Roman"/>
          <w:b/>
          <w:bCs/>
        </w:rPr>
        <w:t>Company proposing to spread the proposed increase of $</w:t>
      </w:r>
      <w:r w:rsidR="00BA66BC" w:rsidRPr="00BA66BC">
        <w:rPr>
          <w:rFonts w:ascii="Times New Roman" w:hAnsi="Times New Roman" w:cs="Times New Roman"/>
          <w:b/>
          <w:bCs/>
        </w:rPr>
        <w:t>2</w:t>
      </w:r>
      <w:r w:rsidR="002558EB">
        <w:rPr>
          <w:rFonts w:ascii="Times New Roman" w:hAnsi="Times New Roman" w:cs="Times New Roman"/>
          <w:b/>
          <w:bCs/>
        </w:rPr>
        <w:t>8</w:t>
      </w:r>
      <w:r w:rsidR="0082656C" w:rsidRPr="00BA66BC">
        <w:rPr>
          <w:rFonts w:ascii="Times New Roman" w:hAnsi="Times New Roman" w:cs="Times New Roman"/>
          <w:b/>
          <w:bCs/>
        </w:rPr>
        <w:t>,000</w:t>
      </w:r>
      <w:r w:rsidRPr="00BA66BC">
        <w:rPr>
          <w:rFonts w:ascii="Times New Roman" w:hAnsi="Times New Roman" w:cs="Times New Roman"/>
          <w:b/>
          <w:bCs/>
        </w:rPr>
        <w:t xml:space="preserve"> to the rates under Interruptible</w:t>
      </w:r>
      <w:r w:rsidRPr="005540EB">
        <w:rPr>
          <w:rFonts w:ascii="Times New Roman" w:hAnsi="Times New Roman" w:cs="Times New Roman"/>
          <w:b/>
          <w:bCs/>
        </w:rPr>
        <w:t xml:space="preserve"> Schedule 131</w:t>
      </w:r>
      <w:r w:rsidR="0030773D">
        <w:rPr>
          <w:rFonts w:ascii="Times New Roman" w:hAnsi="Times New Roman" w:cs="Times New Roman"/>
          <w:b/>
          <w:bCs/>
        </w:rPr>
        <w:t>/132</w:t>
      </w:r>
      <w:r w:rsidRPr="005540EB">
        <w:rPr>
          <w:rFonts w:ascii="Times New Roman" w:hAnsi="Times New Roman" w:cs="Times New Roman"/>
          <w:b/>
          <w:bCs/>
        </w:rPr>
        <w:t>?</w:t>
      </w:r>
      <w:proofErr w:type="gramEnd"/>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proposes to </w:t>
      </w:r>
      <w:r w:rsidRPr="0030773D">
        <w:rPr>
          <w:rFonts w:ascii="Times New Roman" w:hAnsi="Times New Roman" w:cs="Times New Roman"/>
        </w:rPr>
        <w:t xml:space="preserve">increase the present four block rates under the schedule by a uniform percentage increase of </w:t>
      </w:r>
      <w:r w:rsidR="00337649" w:rsidRPr="002558EB">
        <w:rPr>
          <w:rFonts w:ascii="Times New Roman" w:hAnsi="Times New Roman" w:cs="Times New Roman"/>
        </w:rPr>
        <w:t xml:space="preserve">approximately </w:t>
      </w:r>
      <w:r w:rsidR="002558EB" w:rsidRPr="002558EB">
        <w:rPr>
          <w:rFonts w:ascii="Times New Roman" w:hAnsi="Times New Roman" w:cs="Times New Roman"/>
        </w:rPr>
        <w:t>3.8</w:t>
      </w:r>
      <w:r w:rsidRPr="002558EB">
        <w:rPr>
          <w:rFonts w:ascii="Times New Roman" w:hAnsi="Times New Roman" w:cs="Times New Roman"/>
        </w:rPr>
        <w:t>%.</w:t>
      </w:r>
    </w:p>
    <w:p w:rsidR="005540EB" w:rsidRPr="005540EB" w:rsidRDefault="00A11C96"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r>
      <w:r w:rsidR="00891F68">
        <w:rPr>
          <w:rFonts w:ascii="Times New Roman" w:hAnsi="Times New Roman" w:cs="Times New Roman"/>
          <w:b/>
          <w:bCs/>
        </w:rPr>
        <w:t>P</w:t>
      </w:r>
      <w:r w:rsidRPr="005540EB">
        <w:rPr>
          <w:rFonts w:ascii="Times New Roman" w:hAnsi="Times New Roman" w:cs="Times New Roman"/>
          <w:b/>
          <w:bCs/>
        </w:rPr>
        <w:t xml:space="preserve">lease explain the proposed changes in the rates for </w:t>
      </w:r>
      <w:r w:rsidR="00891F68">
        <w:rPr>
          <w:rFonts w:ascii="Times New Roman" w:hAnsi="Times New Roman" w:cs="Times New Roman"/>
          <w:b/>
          <w:bCs/>
        </w:rPr>
        <w:t>Transportation Schedule 146.</w:t>
      </w:r>
    </w:p>
    <w:p w:rsidR="005540EB" w:rsidRPr="00311F09"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CF1C5E">
        <w:rPr>
          <w:rFonts w:ascii="Times New Roman" w:hAnsi="Times New Roman" w:cs="Times New Roman"/>
        </w:rPr>
        <w:t xml:space="preserve">The </w:t>
      </w:r>
      <w:r w:rsidR="00CF1C5E" w:rsidRPr="002558EB">
        <w:rPr>
          <w:rFonts w:ascii="Times New Roman" w:hAnsi="Times New Roman" w:cs="Times New Roman"/>
        </w:rPr>
        <w:t xml:space="preserve">Company is proposing to adjust the basic charge </w:t>
      </w:r>
      <w:r w:rsidR="0087366D" w:rsidRPr="002558EB">
        <w:rPr>
          <w:rFonts w:ascii="Times New Roman" w:hAnsi="Times New Roman" w:cs="Times New Roman"/>
        </w:rPr>
        <w:t>by $</w:t>
      </w:r>
      <w:r w:rsidR="002558EB" w:rsidRPr="002558EB">
        <w:rPr>
          <w:rFonts w:ascii="Times New Roman" w:hAnsi="Times New Roman" w:cs="Times New Roman"/>
        </w:rPr>
        <w:t>50</w:t>
      </w:r>
      <w:r w:rsidR="0087366D" w:rsidRPr="002558EB">
        <w:rPr>
          <w:rFonts w:ascii="Times New Roman" w:hAnsi="Times New Roman" w:cs="Times New Roman"/>
        </w:rPr>
        <w:t xml:space="preserve"> per month</w:t>
      </w:r>
      <w:r w:rsidR="00CF1C5E" w:rsidRPr="002558EB">
        <w:rPr>
          <w:rFonts w:ascii="Times New Roman" w:hAnsi="Times New Roman" w:cs="Times New Roman"/>
        </w:rPr>
        <w:t xml:space="preserve">, </w:t>
      </w:r>
      <w:r w:rsidR="0087366D" w:rsidRPr="002558EB">
        <w:rPr>
          <w:rFonts w:ascii="Times New Roman" w:hAnsi="Times New Roman" w:cs="Times New Roman"/>
        </w:rPr>
        <w:t>which is</w:t>
      </w:r>
      <w:r w:rsidR="00CF1C5E" w:rsidRPr="002558EB">
        <w:rPr>
          <w:rFonts w:ascii="Times New Roman" w:hAnsi="Times New Roman" w:cs="Times New Roman"/>
        </w:rPr>
        <w:t xml:space="preserve"> an </w:t>
      </w:r>
      <w:r w:rsidR="007E74EA" w:rsidRPr="002558EB">
        <w:rPr>
          <w:rFonts w:ascii="Times New Roman" w:hAnsi="Times New Roman" w:cs="Times New Roman"/>
        </w:rPr>
        <w:t>increase from $</w:t>
      </w:r>
      <w:r w:rsidR="002558EB" w:rsidRPr="002558EB">
        <w:rPr>
          <w:rFonts w:ascii="Times New Roman" w:hAnsi="Times New Roman" w:cs="Times New Roman"/>
        </w:rPr>
        <w:t xml:space="preserve">400 to </w:t>
      </w:r>
      <w:r w:rsidR="00377B55">
        <w:rPr>
          <w:rFonts w:ascii="Times New Roman" w:hAnsi="Times New Roman" w:cs="Times New Roman"/>
        </w:rPr>
        <w:t>$</w:t>
      </w:r>
      <w:r w:rsidR="002558EB" w:rsidRPr="002558EB">
        <w:rPr>
          <w:rFonts w:ascii="Times New Roman" w:hAnsi="Times New Roman" w:cs="Times New Roman"/>
        </w:rPr>
        <w:t>450</w:t>
      </w:r>
      <w:r w:rsidR="00A11C96" w:rsidRPr="002558EB">
        <w:rPr>
          <w:rFonts w:ascii="Times New Roman" w:hAnsi="Times New Roman" w:cs="Times New Roman"/>
        </w:rPr>
        <w:t xml:space="preserve"> per month.  For the remaining revenue requirement, t</w:t>
      </w:r>
      <w:r w:rsidRPr="002558EB">
        <w:rPr>
          <w:rFonts w:ascii="Times New Roman" w:hAnsi="Times New Roman" w:cs="Times New Roman"/>
        </w:rPr>
        <w:t xml:space="preserve">he Company is proposing to spread the increase on a uniform percentage basis </w:t>
      </w:r>
      <w:r w:rsidR="0087366D" w:rsidRPr="002558EB">
        <w:rPr>
          <w:rFonts w:ascii="Times New Roman" w:hAnsi="Times New Roman" w:cs="Times New Roman"/>
        </w:rPr>
        <w:t xml:space="preserve">of </w:t>
      </w:r>
      <w:r w:rsidR="00337649" w:rsidRPr="002558EB">
        <w:rPr>
          <w:rFonts w:ascii="Times New Roman" w:hAnsi="Times New Roman" w:cs="Times New Roman"/>
        </w:rPr>
        <w:t xml:space="preserve">approximately </w:t>
      </w:r>
      <w:r w:rsidR="002558EB" w:rsidRPr="002558EB">
        <w:rPr>
          <w:rFonts w:ascii="Times New Roman" w:hAnsi="Times New Roman" w:cs="Times New Roman"/>
        </w:rPr>
        <w:t>17.4</w:t>
      </w:r>
      <w:r w:rsidR="0087366D" w:rsidRPr="002558EB">
        <w:rPr>
          <w:rFonts w:ascii="Times New Roman" w:hAnsi="Times New Roman" w:cs="Times New Roman"/>
        </w:rPr>
        <w:t xml:space="preserve">% </w:t>
      </w:r>
      <w:r w:rsidRPr="002558EB">
        <w:rPr>
          <w:rFonts w:ascii="Times New Roman" w:hAnsi="Times New Roman" w:cs="Times New Roman"/>
        </w:rPr>
        <w:t>to each of the present five block rates under the schedule.  The proposed increase to each of the block rates, as well as the present and proposed rates, are shown at the bottom of page 3 of Exhibit No.__</w:t>
      </w:r>
      <w:r w:rsidR="00667220" w:rsidRPr="002558EB">
        <w:rPr>
          <w:rFonts w:ascii="Times New Roman" w:hAnsi="Times New Roman" w:cs="Times New Roman"/>
        </w:rPr>
        <w:t>_</w:t>
      </w:r>
      <w:proofErr w:type="gramStart"/>
      <w:r w:rsidR="00667220" w:rsidRPr="002558EB">
        <w:rPr>
          <w:rFonts w:ascii="Times New Roman" w:hAnsi="Times New Roman" w:cs="Times New Roman"/>
        </w:rPr>
        <w:t>_</w:t>
      </w:r>
      <w:r w:rsidRPr="002558EB">
        <w:rPr>
          <w:rFonts w:ascii="Times New Roman" w:hAnsi="Times New Roman" w:cs="Times New Roman"/>
        </w:rPr>
        <w:t>(</w:t>
      </w:r>
      <w:proofErr w:type="gramEnd"/>
      <w:r w:rsidR="00D8699E" w:rsidRPr="002558EB">
        <w:rPr>
          <w:rFonts w:ascii="Times New Roman" w:hAnsi="Times New Roman" w:cs="Times New Roman"/>
        </w:rPr>
        <w:t>PDE</w:t>
      </w:r>
      <w:r w:rsidRPr="002558EB">
        <w:rPr>
          <w:rFonts w:ascii="Times New Roman" w:hAnsi="Times New Roman" w:cs="Times New Roman"/>
        </w:rPr>
        <w:t>-7).</w:t>
      </w:r>
    </w:p>
    <w:p w:rsidR="005540EB" w:rsidRPr="00311F09" w:rsidRDefault="005540EB" w:rsidP="005540EB">
      <w:pPr>
        <w:pStyle w:val="P242"/>
        <w:jc w:val="both"/>
        <w:rPr>
          <w:rFonts w:ascii="Times New Roman" w:hAnsi="Times New Roman" w:cs="Times New Roman"/>
        </w:rPr>
      </w:pPr>
      <w:r w:rsidRPr="00311F09">
        <w:rPr>
          <w:rFonts w:ascii="Times New Roman" w:hAnsi="Times New Roman" w:cs="Times New Roman"/>
        </w:rPr>
        <w:t>Q.</w:t>
      </w:r>
      <w:r w:rsidRPr="00311F09">
        <w:rPr>
          <w:rFonts w:ascii="Times New Roman" w:hAnsi="Times New Roman" w:cs="Times New Roman"/>
        </w:rPr>
        <w:tab/>
        <w:t>Is the Company proposing any other changes to its natural gas service schedules?</w:t>
      </w:r>
    </w:p>
    <w:p w:rsidR="002558EB" w:rsidRDefault="005540EB" w:rsidP="0027643C">
      <w:pPr>
        <w:pStyle w:val="P105"/>
        <w:jc w:val="both"/>
        <w:rPr>
          <w:rFonts w:ascii="Times New Roman" w:hAnsi="Times New Roman" w:cs="Times New Roman"/>
        </w:rPr>
      </w:pPr>
      <w:r w:rsidRPr="00311F09">
        <w:rPr>
          <w:rFonts w:ascii="Times New Roman" w:hAnsi="Times New Roman" w:cs="Times New Roman"/>
        </w:rPr>
        <w:t xml:space="preserve">A.  </w:t>
      </w:r>
      <w:r w:rsidR="005E25D7" w:rsidRPr="00311F09">
        <w:rPr>
          <w:rFonts w:ascii="Times New Roman" w:hAnsi="Times New Roman" w:cs="Times New Roman"/>
        </w:rPr>
        <w:tab/>
      </w:r>
      <w:r w:rsidR="006A39AB">
        <w:rPr>
          <w:rFonts w:ascii="Times New Roman" w:hAnsi="Times New Roman" w:cs="Times New Roman"/>
        </w:rPr>
        <w:t>No, it is not.</w:t>
      </w:r>
    </w:p>
    <w:p w:rsidR="002558EB" w:rsidRDefault="002558EB" w:rsidP="0027643C">
      <w:pPr>
        <w:pStyle w:val="P105"/>
        <w:jc w:val="both"/>
        <w:rPr>
          <w:rFonts w:ascii="Times New Roman" w:hAnsi="Times New Roman" w:cs="Times New Roman"/>
        </w:rPr>
      </w:pPr>
    </w:p>
    <w:p w:rsidR="003B278C" w:rsidRPr="008B41AB" w:rsidRDefault="00AA7417" w:rsidP="003B278C">
      <w:pPr>
        <w:pStyle w:val="P267"/>
        <w:tabs>
          <w:tab w:val="clear" w:pos="360"/>
          <w:tab w:val="left" w:pos="0"/>
        </w:tabs>
        <w:ind w:left="0"/>
        <w:jc w:val="center"/>
        <w:rPr>
          <w:rFonts w:ascii="Times New Roman" w:hAnsi="Times New Roman" w:cs="Times New Roman"/>
        </w:rPr>
      </w:pPr>
      <w:r>
        <w:rPr>
          <w:rFonts w:ascii="Times New Roman" w:hAnsi="Times New Roman" w:cs="Times New Roman"/>
        </w:rPr>
        <w:t xml:space="preserve">V. </w:t>
      </w:r>
      <w:r w:rsidR="003B278C" w:rsidRPr="008B41AB">
        <w:rPr>
          <w:rFonts w:ascii="Times New Roman" w:hAnsi="Times New Roman" w:cs="Times New Roman"/>
        </w:rPr>
        <w:t>BASIC CHARGE</w:t>
      </w:r>
      <w:r>
        <w:rPr>
          <w:rFonts w:ascii="Times New Roman" w:hAnsi="Times New Roman" w:cs="Times New Roman"/>
        </w:rPr>
        <w:t xml:space="preserve"> FOR SCHEDULES 1 &amp; 101</w:t>
      </w:r>
    </w:p>
    <w:p w:rsidR="003B278C" w:rsidRPr="008B41AB" w:rsidRDefault="003B278C" w:rsidP="003B278C">
      <w:pPr>
        <w:pStyle w:val="BodyText2"/>
        <w:tabs>
          <w:tab w:val="left" w:pos="720"/>
          <w:tab w:val="left" w:pos="1440"/>
        </w:tabs>
        <w:rPr>
          <w:b/>
          <w:bCs/>
        </w:rPr>
      </w:pPr>
      <w:r w:rsidRPr="008B41AB">
        <w:rPr>
          <w:b/>
          <w:bCs/>
        </w:rPr>
        <w:tab/>
        <w:t>Q.</w:t>
      </w:r>
      <w:r w:rsidRPr="008B41AB">
        <w:rPr>
          <w:b/>
          <w:bCs/>
        </w:rPr>
        <w:tab/>
        <w:t xml:space="preserve">Why is the Company proposing to increase the </w:t>
      </w:r>
      <w:r w:rsidRPr="00580834">
        <w:rPr>
          <w:b/>
          <w:bCs/>
          <w:u w:val="single"/>
        </w:rPr>
        <w:t>electric</w:t>
      </w:r>
      <w:r w:rsidRPr="008B41AB">
        <w:rPr>
          <w:b/>
          <w:bCs/>
        </w:rPr>
        <w:t xml:space="preserve"> monthly customer </w:t>
      </w:r>
      <w:proofErr w:type="gramStart"/>
      <w:r w:rsidRPr="008B41AB">
        <w:rPr>
          <w:b/>
          <w:bCs/>
        </w:rPr>
        <w:t>charge</w:t>
      </w:r>
      <w:proofErr w:type="gramEnd"/>
      <w:r w:rsidRPr="008B41AB">
        <w:rPr>
          <w:b/>
          <w:bCs/>
        </w:rPr>
        <w:t xml:space="preserve"> </w:t>
      </w:r>
      <w:r>
        <w:rPr>
          <w:b/>
          <w:bCs/>
        </w:rPr>
        <w:t xml:space="preserve">for Schedule 1 </w:t>
      </w:r>
      <w:r w:rsidRPr="008B41AB">
        <w:rPr>
          <w:b/>
          <w:bCs/>
        </w:rPr>
        <w:t>from $</w:t>
      </w:r>
      <w:r>
        <w:rPr>
          <w:b/>
          <w:bCs/>
        </w:rPr>
        <w:t>8</w:t>
      </w:r>
      <w:r w:rsidRPr="008B41AB">
        <w:rPr>
          <w:b/>
          <w:bCs/>
        </w:rPr>
        <w:t>.00 to $</w:t>
      </w:r>
      <w:r>
        <w:rPr>
          <w:b/>
          <w:bCs/>
        </w:rPr>
        <w:t>15</w:t>
      </w:r>
      <w:r w:rsidRPr="008B41AB">
        <w:rPr>
          <w:b/>
          <w:bCs/>
        </w:rPr>
        <w:t>.00 per month?</w:t>
      </w:r>
    </w:p>
    <w:p w:rsidR="003B278C" w:rsidRPr="00D6449A" w:rsidRDefault="003B278C" w:rsidP="003B278C">
      <w:pPr>
        <w:pStyle w:val="BodyText2"/>
        <w:tabs>
          <w:tab w:val="left" w:pos="810"/>
          <w:tab w:val="left" w:pos="1440"/>
        </w:tabs>
        <w:ind w:firstLine="720"/>
        <w:rPr>
          <w:highlight w:val="yellow"/>
        </w:rPr>
      </w:pPr>
      <w:r w:rsidRPr="008B41AB">
        <w:lastRenderedPageBreak/>
        <w:t>A.</w:t>
      </w:r>
      <w:r w:rsidRPr="008B41AB">
        <w:tab/>
        <w:t xml:space="preserve">A significant portion of </w:t>
      </w:r>
      <w:r w:rsidRPr="00E27E81">
        <w:t xml:space="preserve">the Company’s costs are fixed and do not vary with customer usage.  These costs include distribution plant and operating costs to provide reliable service to customers.  Upon evaluation of the </w:t>
      </w:r>
      <w:r w:rsidRPr="00E27E81">
        <w:rPr>
          <w:u w:val="single"/>
        </w:rPr>
        <w:t>total customer allocated costs</w:t>
      </w:r>
      <w:r w:rsidRPr="00E27E81">
        <w:t xml:space="preserve"> for Schedule 1, as shown in Knox Exhibit No. _</w:t>
      </w:r>
      <w:proofErr w:type="gramStart"/>
      <w:r w:rsidRPr="00E27E81">
        <w:t>_(</w:t>
      </w:r>
      <w:proofErr w:type="gramEnd"/>
      <w:r w:rsidRPr="00E27E81">
        <w:t xml:space="preserve">TLK-4), page 4, line 25, those costs are </w:t>
      </w:r>
      <w:r w:rsidRPr="00E27E81">
        <w:rPr>
          <w:u w:val="single"/>
        </w:rPr>
        <w:t>$12.</w:t>
      </w:r>
      <w:r w:rsidR="007A7BE0">
        <w:rPr>
          <w:u w:val="single"/>
        </w:rPr>
        <w:t>81</w:t>
      </w:r>
      <w:r w:rsidR="002B1B54" w:rsidRPr="002B1B54">
        <w:t xml:space="preserve"> </w:t>
      </w:r>
      <w:r w:rsidRPr="00E27E81">
        <w:t xml:space="preserve">per customer per month.  </w:t>
      </w:r>
      <w:proofErr w:type="gramStart"/>
      <w:r w:rsidRPr="00E27E81">
        <w:t xml:space="preserve">Factoring in </w:t>
      </w:r>
      <w:r w:rsidRPr="00E27E81">
        <w:rPr>
          <w:u w:val="single"/>
        </w:rPr>
        <w:t>distribution demand cost</w:t>
      </w:r>
      <w:r w:rsidRPr="00E27E81">
        <w:t xml:space="preserve"> per customer per month of </w:t>
      </w:r>
      <w:r w:rsidRPr="00E27E81">
        <w:rPr>
          <w:u w:val="single"/>
        </w:rPr>
        <w:t>$</w:t>
      </w:r>
      <w:r w:rsidR="00E27E81" w:rsidRPr="00E27E81">
        <w:rPr>
          <w:u w:val="single"/>
        </w:rPr>
        <w:t>23.9</w:t>
      </w:r>
      <w:r w:rsidR="007A7BE0">
        <w:rPr>
          <w:u w:val="single"/>
        </w:rPr>
        <w:t>2</w:t>
      </w:r>
      <w:r w:rsidRPr="00E27E81">
        <w:t>, as shown in Knox Exhibit No.</w:t>
      </w:r>
      <w:proofErr w:type="gramEnd"/>
      <w:r w:rsidRPr="00E27E81">
        <w:t xml:space="preserve"> _</w:t>
      </w:r>
      <w:proofErr w:type="gramStart"/>
      <w:r w:rsidRPr="00E27E81">
        <w:t>_(</w:t>
      </w:r>
      <w:proofErr w:type="gramEnd"/>
      <w:r w:rsidRPr="00E27E81">
        <w:t xml:space="preserve">TLK-4), page 4, line 27, the total customer and distribution demand monthly cost is </w:t>
      </w:r>
      <w:r w:rsidRPr="00E27E81">
        <w:rPr>
          <w:u w:val="single"/>
        </w:rPr>
        <w:t>$</w:t>
      </w:r>
      <w:r w:rsidR="00E27E81" w:rsidRPr="00E27E81">
        <w:rPr>
          <w:u w:val="single"/>
        </w:rPr>
        <w:t>36.</w:t>
      </w:r>
      <w:r w:rsidR="007A7BE0">
        <w:rPr>
          <w:u w:val="single"/>
        </w:rPr>
        <w:t>73</w:t>
      </w:r>
      <w:r w:rsidRPr="00E27E81">
        <w:t>.  These are</w:t>
      </w:r>
      <w:r w:rsidRPr="0027643C">
        <w:t xml:space="preserve"> essentially</w:t>
      </w:r>
      <w:r w:rsidRPr="008B41AB">
        <w:t xml:space="preserve"> fixed costs that are allocated based on the number of customers served.  Given the large disparity between the level of customer and demand costs and the present level of the basic charge, the Company believes that it is appropriate to recover a more reasonable level of these fixed customer costs through the basic charge.  </w:t>
      </w:r>
    </w:p>
    <w:p w:rsidR="003B278C" w:rsidRPr="008B41AB" w:rsidRDefault="003B278C" w:rsidP="003B278C">
      <w:pPr>
        <w:pStyle w:val="BodyText2"/>
        <w:tabs>
          <w:tab w:val="left" w:pos="720"/>
          <w:tab w:val="left" w:pos="1440"/>
        </w:tabs>
        <w:ind w:firstLine="720"/>
        <w:rPr>
          <w:b/>
          <w:bCs/>
        </w:rPr>
      </w:pPr>
      <w:proofErr w:type="gramStart"/>
      <w:r w:rsidRPr="008B41AB">
        <w:rPr>
          <w:b/>
          <w:bCs/>
        </w:rPr>
        <w:t>Q.</w:t>
      </w:r>
      <w:r w:rsidRPr="008B41AB">
        <w:rPr>
          <w:b/>
          <w:bCs/>
        </w:rPr>
        <w:tab/>
        <w:t>Why is the Company now proposing an increase of $</w:t>
      </w:r>
      <w:r>
        <w:rPr>
          <w:b/>
          <w:bCs/>
        </w:rPr>
        <w:t>7</w:t>
      </w:r>
      <w:r w:rsidRPr="008B41AB">
        <w:rPr>
          <w:b/>
          <w:bCs/>
        </w:rPr>
        <w:t>.00 per month in this filing?</w:t>
      </w:r>
      <w:proofErr w:type="gramEnd"/>
    </w:p>
    <w:p w:rsidR="003B278C" w:rsidRPr="008B41AB" w:rsidRDefault="003B278C" w:rsidP="003B278C">
      <w:pPr>
        <w:pStyle w:val="BodyText2"/>
        <w:tabs>
          <w:tab w:val="left" w:pos="720"/>
          <w:tab w:val="left" w:pos="1440"/>
        </w:tabs>
        <w:ind w:firstLine="720"/>
        <w:rPr>
          <w:bCs/>
        </w:rPr>
      </w:pPr>
      <w:r w:rsidRPr="008B41AB">
        <w:rPr>
          <w:bCs/>
        </w:rPr>
        <w:t>A.</w:t>
      </w:r>
      <w:r w:rsidRPr="008B41AB">
        <w:rPr>
          <w:bCs/>
        </w:rPr>
        <w:tab/>
        <w:t xml:space="preserve">One of the arguments against higher residential basic charges in the past was one of customer understandability and acceptance.  </w:t>
      </w:r>
      <w:r>
        <w:rPr>
          <w:bCs/>
        </w:rPr>
        <w:t>W</w:t>
      </w:r>
      <w:r w:rsidRPr="008B41AB">
        <w:rPr>
          <w:bCs/>
        </w:rPr>
        <w:t>e believe it is increasingly important that our charges to customers more accurately reflect the actual costs to serve customers. With regard to fixed charges, many other utility assessments (phone,</w:t>
      </w:r>
      <w:r w:rsidR="005E2247">
        <w:rPr>
          <w:bCs/>
        </w:rPr>
        <w:t xml:space="preserve"> water, sewer, solid waste, </w:t>
      </w:r>
      <w:r w:rsidRPr="008B41AB">
        <w:rPr>
          <w:bCs/>
        </w:rPr>
        <w:t>television, internet</w:t>
      </w:r>
      <w:r w:rsidR="005E2247">
        <w:rPr>
          <w:bCs/>
        </w:rPr>
        <w:t>, etc.</w:t>
      </w:r>
      <w:r w:rsidRPr="008B41AB">
        <w:rPr>
          <w:bCs/>
        </w:rPr>
        <w:t xml:space="preserve">) are generally a flat monthly fee.  Typically, there is little correlation between the level of use and the monthly amount paid for service related to these other utilities/services.  Consumers understand that most of the costs associated with these other utilities/services are fixed, and have become accustomed to paying a relatively constant monthly fee for service.  </w:t>
      </w:r>
    </w:p>
    <w:p w:rsidR="003B278C" w:rsidRPr="00294B78" w:rsidRDefault="003B278C" w:rsidP="003B278C">
      <w:pPr>
        <w:pStyle w:val="BodyText2"/>
        <w:tabs>
          <w:tab w:val="left" w:pos="720"/>
          <w:tab w:val="left" w:pos="1440"/>
        </w:tabs>
        <w:ind w:firstLine="720"/>
        <w:rPr>
          <w:bCs/>
        </w:rPr>
      </w:pPr>
      <w:r w:rsidRPr="008B41AB">
        <w:rPr>
          <w:bCs/>
        </w:rPr>
        <w:lastRenderedPageBreak/>
        <w:t xml:space="preserve">Publicly-owned electric utilities have been charging higher monthly customer charges for years in order to more accurately reflect (and recover) the fixed costs of providing service.  For example, </w:t>
      </w:r>
      <w:r w:rsidRPr="00791C2B">
        <w:rPr>
          <w:bCs/>
        </w:rPr>
        <w:t>Avista’s</w:t>
      </w:r>
      <w:r w:rsidRPr="00791C2B">
        <w:rPr>
          <w:rFonts w:hint="eastAsia"/>
          <w:bCs/>
        </w:rPr>
        <w:t xml:space="preserve"> </w:t>
      </w:r>
      <w:r w:rsidRPr="00791C2B">
        <w:rPr>
          <w:bCs/>
        </w:rPr>
        <w:t>nearest neighbor in Eastern Washington, Inland Power and Light, has a residential monthly basic charge of $17.81 per month.  Avista</w:t>
      </w:r>
      <w:r w:rsidRPr="00791C2B">
        <w:rPr>
          <w:rFonts w:hint="eastAsia"/>
          <w:bCs/>
        </w:rPr>
        <w:t>’</w:t>
      </w:r>
      <w:r w:rsidRPr="00791C2B">
        <w:rPr>
          <w:bCs/>
        </w:rPr>
        <w:t>s nearest neighbor in North Idaho, Kootenai Electric Cooperative, has a residential monthly basic charge of $19.50, and a minimum charge of $25.00 per month.</w:t>
      </w:r>
      <w:r w:rsidRPr="00294B78">
        <w:rPr>
          <w:rStyle w:val="apple-style-span"/>
          <w:rFonts w:ascii="ITC Zapf Dingbats" w:hAnsi="ITC Zapf Dingbats"/>
          <w:color w:val="000000"/>
        </w:rPr>
        <w:t xml:space="preserve">   </w:t>
      </w:r>
    </w:p>
    <w:p w:rsidR="003B278C" w:rsidRPr="00D52594" w:rsidRDefault="003B278C" w:rsidP="003B278C">
      <w:pPr>
        <w:pStyle w:val="BodyText2"/>
        <w:tabs>
          <w:tab w:val="left" w:pos="720"/>
          <w:tab w:val="left" w:pos="1440"/>
        </w:tabs>
        <w:ind w:firstLine="720"/>
        <w:rPr>
          <w:b/>
          <w:bCs/>
        </w:rPr>
      </w:pPr>
      <w:proofErr w:type="gramStart"/>
      <w:r w:rsidRPr="00294B78">
        <w:rPr>
          <w:b/>
          <w:bCs/>
        </w:rPr>
        <w:t>Q.</w:t>
      </w:r>
      <w:r w:rsidRPr="00294B78">
        <w:rPr>
          <w:b/>
          <w:bCs/>
        </w:rPr>
        <w:tab/>
        <w:t xml:space="preserve">Turning now to </w:t>
      </w:r>
      <w:r w:rsidRPr="00294B78">
        <w:rPr>
          <w:b/>
          <w:bCs/>
          <w:u w:val="single"/>
        </w:rPr>
        <w:t>natural gas</w:t>
      </w:r>
      <w:r w:rsidRPr="00294B78">
        <w:rPr>
          <w:b/>
          <w:bCs/>
        </w:rPr>
        <w:t xml:space="preserve">, why is the Company proposing to increase </w:t>
      </w:r>
      <w:r>
        <w:rPr>
          <w:b/>
          <w:bCs/>
        </w:rPr>
        <w:t xml:space="preserve">the Schedule 101 </w:t>
      </w:r>
      <w:r w:rsidRPr="00D52594">
        <w:rPr>
          <w:b/>
          <w:bCs/>
        </w:rPr>
        <w:t>monthly customer charge from $</w:t>
      </w:r>
      <w:r>
        <w:rPr>
          <w:b/>
          <w:bCs/>
        </w:rPr>
        <w:t>8</w:t>
      </w:r>
      <w:r w:rsidRPr="00D52594">
        <w:rPr>
          <w:b/>
          <w:bCs/>
        </w:rPr>
        <w:t>.00 to $</w:t>
      </w:r>
      <w:r w:rsidR="00843D43">
        <w:rPr>
          <w:b/>
          <w:bCs/>
        </w:rPr>
        <w:t>12</w:t>
      </w:r>
      <w:r w:rsidRPr="00D52594">
        <w:rPr>
          <w:b/>
          <w:bCs/>
        </w:rPr>
        <w:t>.00 per month?</w:t>
      </w:r>
      <w:proofErr w:type="gramEnd"/>
    </w:p>
    <w:p w:rsidR="003B278C" w:rsidRPr="00D52594" w:rsidRDefault="003B278C" w:rsidP="003B278C">
      <w:pPr>
        <w:pStyle w:val="BodyText2"/>
        <w:tabs>
          <w:tab w:val="left" w:pos="810"/>
          <w:tab w:val="left" w:pos="1440"/>
        </w:tabs>
        <w:ind w:firstLine="720"/>
      </w:pPr>
      <w:r w:rsidRPr="00D52594">
        <w:t>A.</w:t>
      </w:r>
      <w:r w:rsidRPr="00D52594">
        <w:tab/>
        <w:t>Upon evaluation of the</w:t>
      </w:r>
      <w:r>
        <w:t xml:space="preserve"> Schedule 101</w:t>
      </w:r>
      <w:r w:rsidRPr="00D52594">
        <w:t xml:space="preserve"> </w:t>
      </w:r>
      <w:r w:rsidRPr="00D52594">
        <w:rPr>
          <w:u w:val="single"/>
        </w:rPr>
        <w:t>total customer allocated costs</w:t>
      </w:r>
      <w:r w:rsidRPr="00D52594">
        <w:t xml:space="preserve">, as shown in </w:t>
      </w:r>
      <w:r w:rsidR="00891F68">
        <w:t xml:space="preserve">Mr. </w:t>
      </w:r>
      <w:r>
        <w:t>Miller</w:t>
      </w:r>
      <w:r w:rsidR="00891F68">
        <w:t>’s</w:t>
      </w:r>
      <w:r w:rsidRPr="00D52594">
        <w:t xml:space="preserve"> Exhibit </w:t>
      </w:r>
      <w:r w:rsidRPr="002C1009">
        <w:t>No. _</w:t>
      </w:r>
      <w:proofErr w:type="gramStart"/>
      <w:r w:rsidRPr="002C1009">
        <w:t>_(</w:t>
      </w:r>
      <w:proofErr w:type="gramEnd"/>
      <w:r w:rsidRPr="002C1009">
        <w:t>JDM-</w:t>
      </w:r>
      <w:r w:rsidR="002C1009" w:rsidRPr="002C1009">
        <w:t>3</w:t>
      </w:r>
      <w:r w:rsidRPr="002C1009">
        <w:t xml:space="preserve">), page 4, line 24, those costs are </w:t>
      </w:r>
      <w:r w:rsidRPr="002C1009">
        <w:rPr>
          <w:u w:val="single"/>
        </w:rPr>
        <w:t>$</w:t>
      </w:r>
      <w:r w:rsidR="002C1009" w:rsidRPr="002C1009">
        <w:rPr>
          <w:u w:val="single"/>
        </w:rPr>
        <w:t>20.02</w:t>
      </w:r>
      <w:r w:rsidRPr="002C1009">
        <w:t xml:space="preserve"> per customer per month.  Included in the fixed costs in the $</w:t>
      </w:r>
      <w:r w:rsidR="002C1009" w:rsidRPr="002C1009">
        <w:t>20.02</w:t>
      </w:r>
      <w:r w:rsidRPr="002C1009">
        <w:t xml:space="preserve"> noted above are the cost of the meter and service, and the costs associated with billing and providing customer service, which amounts to</w:t>
      </w:r>
      <w:r w:rsidRPr="002C1009">
        <w:rPr>
          <w:b/>
        </w:rPr>
        <w:t xml:space="preserve"> </w:t>
      </w:r>
      <w:r w:rsidRPr="002C1009">
        <w:rPr>
          <w:u w:val="single"/>
        </w:rPr>
        <w:t>$12.</w:t>
      </w:r>
      <w:r w:rsidR="002558EB" w:rsidRPr="002C1009">
        <w:rPr>
          <w:u w:val="single"/>
        </w:rPr>
        <w:t>50</w:t>
      </w:r>
      <w:r w:rsidRPr="002C1009">
        <w:t xml:space="preserve"> per customer per month, as shown in </w:t>
      </w:r>
      <w:r w:rsidR="00AD4FD5" w:rsidRPr="002C1009">
        <w:t>Miller</w:t>
      </w:r>
      <w:r w:rsidRPr="002C1009">
        <w:t xml:space="preserve"> Exhibit No. _</w:t>
      </w:r>
      <w:proofErr w:type="gramStart"/>
      <w:r w:rsidRPr="002C1009">
        <w:t>_(</w:t>
      </w:r>
      <w:proofErr w:type="gramEnd"/>
      <w:r w:rsidR="00AD4FD5" w:rsidRPr="002C1009">
        <w:t>JDM</w:t>
      </w:r>
      <w:r w:rsidRPr="002C1009">
        <w:t>-</w:t>
      </w:r>
      <w:r w:rsidR="002C1009" w:rsidRPr="002C1009">
        <w:t>3</w:t>
      </w:r>
      <w:r w:rsidRPr="002C1009">
        <w:t>), page 4 line 22.</w:t>
      </w:r>
      <w:r w:rsidRPr="00D52594">
        <w:t xml:space="preserve">  </w:t>
      </w:r>
    </w:p>
    <w:p w:rsidR="003B278C" w:rsidRPr="008B41AB" w:rsidRDefault="003B278C" w:rsidP="003B278C">
      <w:pPr>
        <w:pStyle w:val="BodyText2"/>
        <w:tabs>
          <w:tab w:val="left" w:pos="720"/>
          <w:tab w:val="left" w:pos="1440"/>
        </w:tabs>
        <w:ind w:firstLine="720"/>
        <w:rPr>
          <w:b/>
        </w:rPr>
      </w:pPr>
      <w:r w:rsidRPr="008B41AB">
        <w:rPr>
          <w:b/>
        </w:rPr>
        <w:t>Q.</w:t>
      </w:r>
      <w:r w:rsidRPr="008B41AB">
        <w:rPr>
          <w:b/>
        </w:rPr>
        <w:tab/>
        <w:t>What is the consequence to a</w:t>
      </w:r>
      <w:r w:rsidR="00891F68">
        <w:rPr>
          <w:b/>
        </w:rPr>
        <w:t>n electric or natural gas</w:t>
      </w:r>
      <w:r w:rsidRPr="008B41AB">
        <w:rPr>
          <w:b/>
        </w:rPr>
        <w:t xml:space="preserve"> customer of a Basic Charge that is priced below the cost of providing customer services to that customer?</w:t>
      </w:r>
    </w:p>
    <w:p w:rsidR="003B278C" w:rsidRPr="008B41AB" w:rsidRDefault="003B278C" w:rsidP="003B278C">
      <w:pPr>
        <w:pStyle w:val="BodyText2"/>
        <w:tabs>
          <w:tab w:val="left" w:pos="720"/>
          <w:tab w:val="left" w:pos="810"/>
          <w:tab w:val="left" w:pos="1440"/>
        </w:tabs>
        <w:ind w:firstLine="720"/>
      </w:pPr>
      <w:r w:rsidRPr="008B41AB">
        <w:t>A.</w:t>
      </w:r>
      <w:r w:rsidRPr="008B41AB">
        <w:tab/>
        <w:t xml:space="preserve">Because rate design is a “zero sum game”, if customer charges are set below the cost of providing </w:t>
      </w:r>
      <w:r>
        <w:t>those</w:t>
      </w:r>
      <w:r w:rsidRPr="008B41AB">
        <w:t xml:space="preserve"> service</w:t>
      </w:r>
      <w:r>
        <w:t>s</w:t>
      </w:r>
      <w:r w:rsidRPr="008B41AB">
        <w:t>, then other charges are, by definition, set above their cost of service.  For residential gas and electric customers, the only other charge is the volumetric charge.  When volumetric rates are increased above their cost of service to include customer costs that are not in the Basic Charge, several consequences ensue:</w:t>
      </w:r>
    </w:p>
    <w:p w:rsidR="003B278C" w:rsidRPr="008B41AB" w:rsidRDefault="003B278C" w:rsidP="003B278C">
      <w:pPr>
        <w:pStyle w:val="BodyText2"/>
        <w:numPr>
          <w:ilvl w:val="0"/>
          <w:numId w:val="45"/>
        </w:numPr>
        <w:tabs>
          <w:tab w:val="left" w:pos="810"/>
          <w:tab w:val="left" w:pos="1440"/>
        </w:tabs>
      </w:pPr>
      <w:r w:rsidRPr="008B41AB">
        <w:lastRenderedPageBreak/>
        <w:t xml:space="preserve">It results in almost all customers paying more </w:t>
      </w:r>
      <w:r>
        <w:t>“</w:t>
      </w:r>
      <w:r w:rsidRPr="008B41AB">
        <w:t>per-customer</w:t>
      </w:r>
      <w:r>
        <w:t>”</w:t>
      </w:r>
      <w:r w:rsidRPr="008B41AB">
        <w:t xml:space="preserve"> related costs in the winter, even though their customer costs are not higher in the winte</w:t>
      </w:r>
      <w:r w:rsidR="005E2247">
        <w:t>r, and vice versa in the summer.</w:t>
      </w:r>
    </w:p>
    <w:p w:rsidR="003B278C" w:rsidRPr="008B41AB" w:rsidRDefault="003B278C" w:rsidP="003B278C">
      <w:pPr>
        <w:pStyle w:val="BodyText2"/>
        <w:numPr>
          <w:ilvl w:val="0"/>
          <w:numId w:val="45"/>
        </w:numPr>
        <w:tabs>
          <w:tab w:val="left" w:pos="810"/>
          <w:tab w:val="left" w:pos="1440"/>
        </w:tabs>
      </w:pPr>
      <w:r w:rsidRPr="008B41AB">
        <w:t>It results in the amount of customer costs a customer pays being unpredictable, even though customer costs are actually very predictable.</w:t>
      </w:r>
    </w:p>
    <w:p w:rsidR="003B278C" w:rsidRPr="008B41AB" w:rsidRDefault="003B278C" w:rsidP="003B278C">
      <w:pPr>
        <w:pStyle w:val="BodyText2"/>
        <w:numPr>
          <w:ilvl w:val="0"/>
          <w:numId w:val="45"/>
        </w:numPr>
        <w:tabs>
          <w:tab w:val="left" w:pos="810"/>
          <w:tab w:val="left" w:pos="1440"/>
        </w:tabs>
      </w:pPr>
      <w:r w:rsidRPr="008B41AB">
        <w:t>A portion of fixed costs of providing service to low usage customers is actually recovered from other higher usage customers served under the same schedule.</w:t>
      </w:r>
    </w:p>
    <w:p w:rsidR="003B278C" w:rsidRPr="008B41AB" w:rsidRDefault="00891F68" w:rsidP="003B278C">
      <w:pPr>
        <w:pStyle w:val="answer"/>
        <w:widowControl w:val="0"/>
        <w:spacing w:before="0" w:after="0"/>
        <w:ind w:left="0" w:firstLine="0"/>
        <w:jc w:val="both"/>
      </w:pPr>
      <w:r>
        <w:t>Ideally, to properly match revenues with the cost of service</w:t>
      </w:r>
      <w:r w:rsidR="003B278C">
        <w:t xml:space="preserve">, </w:t>
      </w:r>
      <w:r w:rsidR="003B278C" w:rsidRPr="00B37259">
        <w:t xml:space="preserve">the fixed costs of providing service would be recovered through a fixed </w:t>
      </w:r>
      <w:r w:rsidR="003B278C">
        <w:t xml:space="preserve">monthly </w:t>
      </w:r>
      <w:r w:rsidR="003B278C" w:rsidRPr="00B37259">
        <w:t>charge</w:t>
      </w:r>
      <w:r w:rsidR="003B278C">
        <w:t>, paid by each customer irrespective of actual usage.  The rationale for that type of rate design is that a utility’s</w:t>
      </w:r>
      <w:r w:rsidR="003B278C" w:rsidRPr="00B37259">
        <w:t xml:space="preserve"> facilities and support </w:t>
      </w:r>
      <w:r w:rsidR="003B278C">
        <w:t xml:space="preserve">functions are made available to its customers </w:t>
      </w:r>
      <w:r w:rsidR="003B278C" w:rsidRPr="00B37259">
        <w:t xml:space="preserve">irrespective of how much energy they use.  </w:t>
      </w:r>
      <w:r w:rsidR="003B278C" w:rsidRPr="008B41AB">
        <w:t xml:space="preserve">In summary, setting the basic charge at a rate substantially less than an amount that covers annual customer costs </w:t>
      </w:r>
      <w:r w:rsidR="003B278C">
        <w:t xml:space="preserve">can </w:t>
      </w:r>
      <w:r w:rsidR="003B278C" w:rsidRPr="008B41AB">
        <w:t xml:space="preserve">result in rates that are not </w:t>
      </w:r>
      <w:proofErr w:type="gramStart"/>
      <w:r w:rsidR="003B278C" w:rsidRPr="008B41AB">
        <w:t>equitable</w:t>
      </w:r>
      <w:r>
        <w:t>,</w:t>
      </w:r>
      <w:proofErr w:type="gramEnd"/>
      <w:r w:rsidR="003B278C" w:rsidRPr="008B41AB">
        <w:t xml:space="preserve"> and </w:t>
      </w:r>
      <w:r>
        <w:t xml:space="preserve">monthly bills that </w:t>
      </w:r>
      <w:r w:rsidR="003B278C" w:rsidRPr="008B41AB">
        <w:t xml:space="preserve">are unnecessarily </w:t>
      </w:r>
      <w:r w:rsidR="003B278C">
        <w:t>volatile</w:t>
      </w:r>
      <w:r w:rsidR="003B278C" w:rsidRPr="008B41AB">
        <w:t>.</w:t>
      </w:r>
    </w:p>
    <w:p w:rsidR="003B278C" w:rsidRPr="008B41AB" w:rsidRDefault="003B278C" w:rsidP="003B278C">
      <w:pPr>
        <w:pStyle w:val="BodyText2"/>
        <w:tabs>
          <w:tab w:val="left" w:pos="720"/>
          <w:tab w:val="left" w:pos="810"/>
          <w:tab w:val="left" w:pos="1440"/>
        </w:tabs>
        <w:ind w:firstLine="720"/>
        <w:rPr>
          <w:b/>
          <w:bCs/>
        </w:rPr>
      </w:pPr>
      <w:r w:rsidRPr="008B41AB">
        <w:rPr>
          <w:b/>
          <w:bCs/>
        </w:rPr>
        <w:t>Q.</w:t>
      </w:r>
      <w:r w:rsidRPr="008B41AB">
        <w:rPr>
          <w:b/>
          <w:bCs/>
        </w:rPr>
        <w:tab/>
        <w:t>But won’t increasing the Basic Charge send the wrong price signal through the energy rates?</w:t>
      </w:r>
    </w:p>
    <w:p w:rsidR="003B278C" w:rsidRPr="002C1009" w:rsidRDefault="003B278C" w:rsidP="003B278C">
      <w:pPr>
        <w:pStyle w:val="BodyText2"/>
        <w:tabs>
          <w:tab w:val="left" w:pos="720"/>
          <w:tab w:val="left" w:pos="810"/>
          <w:tab w:val="left" w:pos="1440"/>
        </w:tabs>
        <w:ind w:firstLine="720"/>
      </w:pPr>
      <w:r w:rsidRPr="008B41AB">
        <w:rPr>
          <w:bCs/>
        </w:rPr>
        <w:t xml:space="preserve">A.  </w:t>
      </w:r>
      <w:r w:rsidRPr="008B41AB">
        <w:rPr>
          <w:bCs/>
        </w:rPr>
        <w:tab/>
      </w:r>
      <w:r>
        <w:rPr>
          <w:bCs/>
        </w:rPr>
        <w:t xml:space="preserve">No.  </w:t>
      </w:r>
      <w:r w:rsidRPr="008B41AB">
        <w:rPr>
          <w:bCs/>
        </w:rPr>
        <w:t xml:space="preserve">Conservation of electricity and natural gas is important for customers and for the Company, and one might argue that a lower basic charge results in higher commodity </w:t>
      </w:r>
      <w:r w:rsidR="00891F68">
        <w:rPr>
          <w:bCs/>
        </w:rPr>
        <w:t>charge</w:t>
      </w:r>
      <w:r w:rsidRPr="008B41AB">
        <w:rPr>
          <w:bCs/>
        </w:rPr>
        <w:t>s and a stronger price signal related to volume usage.  However, sending a price signal to customers through a residential rate design that contains a three</w:t>
      </w:r>
      <w:r>
        <w:rPr>
          <w:bCs/>
        </w:rPr>
        <w:t>-</w:t>
      </w:r>
      <w:r w:rsidRPr="008B41AB">
        <w:rPr>
          <w:bCs/>
        </w:rPr>
        <w:t xml:space="preserve">tier increasing block rate for electric (natural gas </w:t>
      </w:r>
      <w:r>
        <w:rPr>
          <w:bCs/>
        </w:rPr>
        <w:t>has two</w:t>
      </w:r>
      <w:r w:rsidRPr="008B41AB">
        <w:rPr>
          <w:bCs/>
        </w:rPr>
        <w:t xml:space="preserve"> volumetric </w:t>
      </w:r>
      <w:r>
        <w:rPr>
          <w:bCs/>
        </w:rPr>
        <w:t>tiers</w:t>
      </w:r>
      <w:r w:rsidRPr="008B41AB">
        <w:rPr>
          <w:bCs/>
        </w:rPr>
        <w:t>) was developed for just such a reason</w:t>
      </w:r>
      <w:r w:rsidRPr="002C1009">
        <w:rPr>
          <w:bCs/>
        </w:rPr>
        <w:t xml:space="preserve">.  </w:t>
      </w:r>
      <w:proofErr w:type="gramStart"/>
      <w:r w:rsidRPr="002C1009">
        <w:rPr>
          <w:bCs/>
        </w:rPr>
        <w:t>The more electricity that is used, the higher the rate, and therefore the higher the overall customer bill.</w:t>
      </w:r>
      <w:proofErr w:type="gramEnd"/>
      <w:r w:rsidRPr="002C1009">
        <w:rPr>
          <w:bCs/>
        </w:rPr>
        <w:t xml:space="preserve">  </w:t>
      </w:r>
      <w:r w:rsidR="002C1009" w:rsidRPr="002C1009">
        <w:t>T</w:t>
      </w:r>
      <w:r w:rsidRPr="002C1009">
        <w:t xml:space="preserve">he volumetric pricing components </w:t>
      </w:r>
      <w:r w:rsidR="002C1009" w:rsidRPr="002C1009">
        <w:t xml:space="preserve">even with the </w:t>
      </w:r>
      <w:r w:rsidR="002C1009" w:rsidRPr="002C1009">
        <w:lastRenderedPageBreak/>
        <w:t xml:space="preserve">Company’s proposed basic charge increase </w:t>
      </w:r>
      <w:r w:rsidRPr="002C1009">
        <w:t xml:space="preserve">will still send a very clear price </w:t>
      </w:r>
      <w:r w:rsidR="002C1009" w:rsidRPr="002C1009">
        <w:t>signal to conserve</w:t>
      </w:r>
      <w:r w:rsidR="00843D43" w:rsidRPr="002C1009">
        <w:t>.</w:t>
      </w:r>
    </w:p>
    <w:p w:rsidR="00204E63" w:rsidRDefault="003B278C" w:rsidP="003B278C">
      <w:pPr>
        <w:tabs>
          <w:tab w:val="left" w:pos="720"/>
        </w:tabs>
        <w:spacing w:line="480" w:lineRule="auto"/>
        <w:ind w:firstLine="720"/>
        <w:jc w:val="both"/>
        <w:rPr>
          <w:bCs/>
        </w:rPr>
      </w:pPr>
      <w:r w:rsidRPr="008B41AB">
        <w:rPr>
          <w:bCs/>
        </w:rPr>
        <w:t xml:space="preserve">One measure of this it to look to the Company’s </w:t>
      </w:r>
      <w:r w:rsidR="00AD4FD5">
        <w:rPr>
          <w:bCs/>
        </w:rPr>
        <w:t xml:space="preserve">Integrated Resource </w:t>
      </w:r>
      <w:r w:rsidRPr="008B41AB">
        <w:rPr>
          <w:bCs/>
        </w:rPr>
        <w:t>P</w:t>
      </w:r>
      <w:r w:rsidR="00AD4FD5">
        <w:rPr>
          <w:bCs/>
        </w:rPr>
        <w:t>lans</w:t>
      </w:r>
      <w:r w:rsidRPr="008B41AB">
        <w:rPr>
          <w:bCs/>
        </w:rPr>
        <w:t xml:space="preserve"> to see what the incremental cost of electricity and natural gas is on a forward looking basis, as compared to retail rates.  </w:t>
      </w:r>
      <w:r w:rsidR="0076151E">
        <w:rPr>
          <w:bCs/>
        </w:rPr>
        <w:t xml:space="preserve">Illustration </w:t>
      </w:r>
      <w:r w:rsidR="002E7F3A">
        <w:rPr>
          <w:bCs/>
        </w:rPr>
        <w:t>No. 3</w:t>
      </w:r>
      <w:r w:rsidR="0076151E">
        <w:rPr>
          <w:bCs/>
        </w:rPr>
        <w:t xml:space="preserve"> b</w:t>
      </w:r>
      <w:r w:rsidR="00D66DF0">
        <w:rPr>
          <w:bCs/>
        </w:rPr>
        <w:t xml:space="preserve">elow shows the average or melded </w:t>
      </w:r>
      <w:r w:rsidR="00CA4E13">
        <w:rPr>
          <w:bCs/>
        </w:rPr>
        <w:t xml:space="preserve">Schedule 1 </w:t>
      </w:r>
      <w:r w:rsidR="00D66DF0">
        <w:rPr>
          <w:bCs/>
        </w:rPr>
        <w:t>volumetric rate per kWh, at varying usage levels, and with varying basic charges.</w:t>
      </w:r>
    </w:p>
    <w:p w:rsidR="0076151E" w:rsidRPr="0076151E" w:rsidRDefault="002E7F3A" w:rsidP="0076151E">
      <w:pPr>
        <w:tabs>
          <w:tab w:val="left" w:pos="720"/>
        </w:tabs>
        <w:spacing w:line="480" w:lineRule="auto"/>
        <w:rPr>
          <w:b/>
          <w:bCs/>
          <w:u w:val="single"/>
        </w:rPr>
      </w:pPr>
      <w:r>
        <w:rPr>
          <w:b/>
          <w:bCs/>
          <w:u w:val="single"/>
        </w:rPr>
        <w:t>Illustration No. 3</w:t>
      </w:r>
    </w:p>
    <w:p w:rsidR="002C1009" w:rsidRDefault="005E2247" w:rsidP="003B278C">
      <w:pPr>
        <w:tabs>
          <w:tab w:val="left" w:pos="720"/>
        </w:tabs>
        <w:spacing w:line="480" w:lineRule="auto"/>
        <w:ind w:firstLine="720"/>
        <w:jc w:val="both"/>
        <w:rPr>
          <w:bCs/>
        </w:rPr>
      </w:pPr>
      <w:r>
        <w:rPr>
          <w:bCs/>
          <w:noProof/>
        </w:rPr>
        <w:drawing>
          <wp:anchor distT="0" distB="0" distL="114300" distR="114300" simplePos="0" relativeHeight="251869696" behindDoc="1" locked="0" layoutInCell="1" allowOverlap="1">
            <wp:simplePos x="0" y="0"/>
            <wp:positionH relativeFrom="column">
              <wp:posOffset>172720</wp:posOffset>
            </wp:positionH>
            <wp:positionV relativeFrom="paragraph">
              <wp:posOffset>51435</wp:posOffset>
            </wp:positionV>
            <wp:extent cx="5668645" cy="3194050"/>
            <wp:effectExtent l="19050" t="0" r="8255" b="0"/>
            <wp:wrapNone/>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668645" cy="3194050"/>
                    </a:xfrm>
                    <a:prstGeom prst="rect">
                      <a:avLst/>
                    </a:prstGeom>
                    <a:noFill/>
                    <a:ln w="9525">
                      <a:noFill/>
                      <a:miter lim="800000"/>
                      <a:headEnd/>
                      <a:tailEnd/>
                    </a:ln>
                  </pic:spPr>
                </pic:pic>
              </a:graphicData>
            </a:graphic>
          </wp:anchor>
        </w:drawing>
      </w:r>
    </w:p>
    <w:p w:rsidR="002C1009" w:rsidRDefault="002C1009" w:rsidP="003B278C">
      <w:pPr>
        <w:tabs>
          <w:tab w:val="left" w:pos="720"/>
        </w:tabs>
        <w:spacing w:line="480" w:lineRule="auto"/>
        <w:ind w:firstLine="720"/>
        <w:jc w:val="both"/>
        <w:rPr>
          <w:bCs/>
        </w:rPr>
      </w:pPr>
    </w:p>
    <w:p w:rsidR="002C1009" w:rsidRDefault="002C1009" w:rsidP="003B278C">
      <w:pPr>
        <w:tabs>
          <w:tab w:val="left" w:pos="720"/>
        </w:tabs>
        <w:spacing w:line="480" w:lineRule="auto"/>
        <w:ind w:firstLine="720"/>
        <w:jc w:val="both"/>
        <w:rPr>
          <w:bCs/>
        </w:rPr>
      </w:pPr>
    </w:p>
    <w:p w:rsidR="002C1009" w:rsidRDefault="002C1009" w:rsidP="003B278C">
      <w:pPr>
        <w:tabs>
          <w:tab w:val="left" w:pos="720"/>
        </w:tabs>
        <w:spacing w:line="480" w:lineRule="auto"/>
        <w:ind w:firstLine="720"/>
        <w:jc w:val="both"/>
        <w:rPr>
          <w:bCs/>
        </w:rPr>
      </w:pPr>
    </w:p>
    <w:p w:rsidR="002B1B54" w:rsidRDefault="00D66DF0" w:rsidP="00344D41">
      <w:pPr>
        <w:tabs>
          <w:tab w:val="left" w:pos="720"/>
          <w:tab w:val="center" w:pos="4824"/>
        </w:tabs>
        <w:spacing w:line="480" w:lineRule="auto"/>
        <w:ind w:firstLine="720"/>
        <w:jc w:val="both"/>
        <w:rPr>
          <w:bCs/>
        </w:rPr>
      </w:pPr>
      <w:r>
        <w:rPr>
          <w:bCs/>
        </w:rPr>
        <w:t xml:space="preserve">  </w:t>
      </w:r>
    </w:p>
    <w:p w:rsidR="002B1B54" w:rsidRDefault="002B1B54" w:rsidP="00344D41">
      <w:pPr>
        <w:tabs>
          <w:tab w:val="left" w:pos="720"/>
          <w:tab w:val="center" w:pos="4824"/>
        </w:tabs>
        <w:spacing w:line="480" w:lineRule="auto"/>
        <w:ind w:firstLine="720"/>
        <w:jc w:val="both"/>
        <w:rPr>
          <w:bCs/>
        </w:rPr>
      </w:pPr>
    </w:p>
    <w:p w:rsidR="002B1B54" w:rsidRDefault="002B1B54" w:rsidP="00344D41">
      <w:pPr>
        <w:tabs>
          <w:tab w:val="left" w:pos="720"/>
          <w:tab w:val="center" w:pos="4824"/>
        </w:tabs>
        <w:spacing w:line="480" w:lineRule="auto"/>
        <w:ind w:firstLine="720"/>
        <w:jc w:val="both"/>
        <w:rPr>
          <w:bCs/>
        </w:rPr>
      </w:pPr>
    </w:p>
    <w:p w:rsidR="002B1B54" w:rsidRDefault="002B1B54" w:rsidP="00344D41">
      <w:pPr>
        <w:tabs>
          <w:tab w:val="left" w:pos="720"/>
          <w:tab w:val="center" w:pos="4824"/>
        </w:tabs>
        <w:spacing w:line="480" w:lineRule="auto"/>
        <w:ind w:firstLine="720"/>
        <w:jc w:val="both"/>
        <w:rPr>
          <w:bCs/>
        </w:rPr>
      </w:pPr>
    </w:p>
    <w:p w:rsidR="00204E63" w:rsidRDefault="00344D41" w:rsidP="00344D41">
      <w:pPr>
        <w:tabs>
          <w:tab w:val="left" w:pos="720"/>
          <w:tab w:val="center" w:pos="4824"/>
        </w:tabs>
        <w:spacing w:line="480" w:lineRule="auto"/>
        <w:ind w:firstLine="720"/>
        <w:jc w:val="both"/>
        <w:rPr>
          <w:bCs/>
        </w:rPr>
      </w:pPr>
      <w:r>
        <w:rPr>
          <w:bCs/>
        </w:rPr>
        <w:tab/>
      </w:r>
    </w:p>
    <w:p w:rsidR="00204E63" w:rsidRDefault="00204E63" w:rsidP="003B278C">
      <w:pPr>
        <w:tabs>
          <w:tab w:val="left" w:pos="720"/>
        </w:tabs>
        <w:spacing w:line="480" w:lineRule="auto"/>
        <w:ind w:firstLine="720"/>
        <w:jc w:val="both"/>
        <w:rPr>
          <w:bCs/>
        </w:rPr>
      </w:pPr>
    </w:p>
    <w:p w:rsidR="00204E63" w:rsidRDefault="00D66DF0" w:rsidP="00204E63">
      <w:pPr>
        <w:tabs>
          <w:tab w:val="left" w:pos="720"/>
        </w:tabs>
        <w:spacing w:line="480" w:lineRule="auto"/>
        <w:ind w:firstLine="720"/>
        <w:jc w:val="both"/>
        <w:rPr>
          <w:bCs/>
        </w:rPr>
      </w:pPr>
      <w:r>
        <w:rPr>
          <w:bCs/>
        </w:rPr>
        <w:t>The dotted line</w:t>
      </w:r>
      <w:r w:rsidR="00EA75E7">
        <w:rPr>
          <w:bCs/>
        </w:rPr>
        <w:t xml:space="preserve"> at the top of the graph</w:t>
      </w:r>
      <w:r>
        <w:rPr>
          <w:bCs/>
        </w:rPr>
        <w:t xml:space="preserve"> shows the</w:t>
      </w:r>
      <w:r w:rsidR="000A19F4">
        <w:rPr>
          <w:bCs/>
        </w:rPr>
        <w:t xml:space="preserve"> </w:t>
      </w:r>
      <w:r w:rsidR="000A19F4" w:rsidRPr="005E2247">
        <w:rPr>
          <w:bCs/>
          <w:u w:val="single"/>
        </w:rPr>
        <w:t>current</w:t>
      </w:r>
      <w:r>
        <w:rPr>
          <w:bCs/>
        </w:rPr>
        <w:t xml:space="preserve"> melded volumetric rate per kWh with an $8 per month basic charge.  The </w:t>
      </w:r>
      <w:r w:rsidR="000A19F4">
        <w:rPr>
          <w:bCs/>
        </w:rPr>
        <w:t>second</w:t>
      </w:r>
      <w:r>
        <w:rPr>
          <w:bCs/>
        </w:rPr>
        <w:t xml:space="preserve"> dashed line shows the</w:t>
      </w:r>
      <w:r w:rsidR="000A19F4">
        <w:rPr>
          <w:bCs/>
        </w:rPr>
        <w:t xml:space="preserve"> </w:t>
      </w:r>
      <w:r w:rsidR="000A19F4" w:rsidRPr="005E2247">
        <w:rPr>
          <w:bCs/>
          <w:u w:val="single"/>
        </w:rPr>
        <w:t>proposed</w:t>
      </w:r>
      <w:r>
        <w:rPr>
          <w:bCs/>
        </w:rPr>
        <w:t xml:space="preserve"> melded volumetric rate per kWh with a $15 basic charge.   </w:t>
      </w:r>
      <w:r w:rsidR="00EA75E7">
        <w:rPr>
          <w:bCs/>
        </w:rPr>
        <w:t>At the bottom of the graph is a solid line which shows the levelized 20-year avoided cost from the Company’s 2013 electric Integrated Resource Plan</w:t>
      </w:r>
      <w:r w:rsidR="004032B9">
        <w:rPr>
          <w:bCs/>
        </w:rPr>
        <w:t xml:space="preserve"> ($0.05520 per kWh)</w:t>
      </w:r>
      <w:r w:rsidR="00EA75E7">
        <w:rPr>
          <w:bCs/>
        </w:rPr>
        <w:t xml:space="preserve">.  </w:t>
      </w:r>
      <w:r w:rsidR="004032B9">
        <w:rPr>
          <w:bCs/>
        </w:rPr>
        <w:t>Demonstrated in this</w:t>
      </w:r>
      <w:r w:rsidR="00EA75E7">
        <w:rPr>
          <w:bCs/>
        </w:rPr>
        <w:t xml:space="preserve"> </w:t>
      </w:r>
      <w:r w:rsidR="004032B9">
        <w:rPr>
          <w:bCs/>
        </w:rPr>
        <w:t xml:space="preserve">line </w:t>
      </w:r>
      <w:r w:rsidR="00EA75E7">
        <w:rPr>
          <w:bCs/>
        </w:rPr>
        <w:t>graph is that</w:t>
      </w:r>
      <w:r w:rsidR="004032B9">
        <w:rPr>
          <w:bCs/>
        </w:rPr>
        <w:t>, by</w:t>
      </w:r>
      <w:r w:rsidR="00EA75E7">
        <w:rPr>
          <w:bCs/>
        </w:rPr>
        <w:t xml:space="preserve"> adjusting the basic charge from its current $8</w:t>
      </w:r>
      <w:r w:rsidR="0030040F">
        <w:rPr>
          <w:bCs/>
        </w:rPr>
        <w:t xml:space="preserve"> per month</w:t>
      </w:r>
      <w:r w:rsidR="00EA75E7">
        <w:rPr>
          <w:bCs/>
        </w:rPr>
        <w:t xml:space="preserve"> level to $15</w:t>
      </w:r>
      <w:r w:rsidR="0030040F">
        <w:rPr>
          <w:bCs/>
        </w:rPr>
        <w:t xml:space="preserve"> per month</w:t>
      </w:r>
      <w:r w:rsidR="004032B9">
        <w:rPr>
          <w:bCs/>
        </w:rPr>
        <w:t>, the</w:t>
      </w:r>
      <w:r w:rsidR="00EA75E7">
        <w:rPr>
          <w:bCs/>
        </w:rPr>
        <w:t xml:space="preserve"> result</w:t>
      </w:r>
      <w:r w:rsidR="000A19F4">
        <w:rPr>
          <w:bCs/>
        </w:rPr>
        <w:t>ing</w:t>
      </w:r>
      <w:r w:rsidR="00EA75E7">
        <w:rPr>
          <w:bCs/>
        </w:rPr>
        <w:t xml:space="preserve"> </w:t>
      </w:r>
      <w:r w:rsidR="00EA75E7">
        <w:rPr>
          <w:bCs/>
        </w:rPr>
        <w:lastRenderedPageBreak/>
        <w:t>melded volumetric rate</w:t>
      </w:r>
      <w:r w:rsidR="000A19F4">
        <w:rPr>
          <w:bCs/>
        </w:rPr>
        <w:t>, both current and proposed, are</w:t>
      </w:r>
      <w:r w:rsidR="0030040F">
        <w:rPr>
          <w:bCs/>
        </w:rPr>
        <w:t xml:space="preserve"> </w:t>
      </w:r>
      <w:r w:rsidR="00EA75E7">
        <w:rPr>
          <w:bCs/>
        </w:rPr>
        <w:t>well above the 20</w:t>
      </w:r>
      <w:r w:rsidR="005E2247">
        <w:rPr>
          <w:bCs/>
        </w:rPr>
        <w:t>-</w:t>
      </w:r>
      <w:r w:rsidR="00EA75E7">
        <w:rPr>
          <w:bCs/>
        </w:rPr>
        <w:t>year levelized avoided cost.  With a basic charge of $15 per month, customers w</w:t>
      </w:r>
      <w:r w:rsidR="000A19F4">
        <w:rPr>
          <w:bCs/>
        </w:rPr>
        <w:t>ill</w:t>
      </w:r>
      <w:r w:rsidR="00EA75E7">
        <w:rPr>
          <w:bCs/>
        </w:rPr>
        <w:t xml:space="preserve"> still pay a volumetric rate, regardless of usage, that exceeds the Company’s avoided cost</w:t>
      </w:r>
      <w:r w:rsidR="004032B9">
        <w:rPr>
          <w:bCs/>
        </w:rPr>
        <w:t xml:space="preserve"> and</w:t>
      </w:r>
      <w:r w:rsidR="00204E63">
        <w:rPr>
          <w:bCs/>
        </w:rPr>
        <w:t xml:space="preserve"> </w:t>
      </w:r>
      <w:r w:rsidR="000A19F4">
        <w:rPr>
          <w:bCs/>
        </w:rPr>
        <w:t xml:space="preserve">therefore </w:t>
      </w:r>
      <w:r w:rsidR="00204E63">
        <w:rPr>
          <w:bCs/>
        </w:rPr>
        <w:t xml:space="preserve">sends a very clear price signal.  </w:t>
      </w:r>
    </w:p>
    <w:p w:rsidR="003B278C" w:rsidRPr="008B41AB" w:rsidRDefault="003B278C" w:rsidP="00204E63">
      <w:pPr>
        <w:tabs>
          <w:tab w:val="left" w:pos="720"/>
        </w:tabs>
        <w:spacing w:line="480" w:lineRule="auto"/>
        <w:ind w:firstLine="720"/>
        <w:jc w:val="both"/>
      </w:pPr>
      <w:r w:rsidRPr="008B41AB">
        <w:rPr>
          <w:bCs/>
        </w:rPr>
        <w:t xml:space="preserve">For natural gas, the Company included several forecasts in </w:t>
      </w:r>
      <w:r>
        <w:rPr>
          <w:bCs/>
        </w:rPr>
        <w:t>i</w:t>
      </w:r>
      <w:r w:rsidRPr="008B41AB">
        <w:rPr>
          <w:bCs/>
        </w:rPr>
        <w:t>ts 2</w:t>
      </w:r>
      <w:r>
        <w:rPr>
          <w:bCs/>
        </w:rPr>
        <w:t>012</w:t>
      </w:r>
      <w:r w:rsidRPr="008B41AB">
        <w:rPr>
          <w:bCs/>
        </w:rPr>
        <w:t xml:space="preserve"> Integrated Resource Plan which, for the most part, all show</w:t>
      </w:r>
      <w:r w:rsidR="000A19F4">
        <w:rPr>
          <w:bCs/>
        </w:rPr>
        <w:t>ed</w:t>
      </w:r>
      <w:r w:rsidRPr="008B41AB">
        <w:rPr>
          <w:bCs/>
        </w:rPr>
        <w:t xml:space="preserve"> forecasted natural gas prices at Henry Hub over the next </w:t>
      </w:r>
      <w:r>
        <w:rPr>
          <w:bCs/>
        </w:rPr>
        <w:t>fifteen</w:t>
      </w:r>
      <w:r w:rsidRPr="008B41AB">
        <w:rPr>
          <w:bCs/>
        </w:rPr>
        <w:t xml:space="preserve"> years being lower than Avista’s retail rate</w:t>
      </w:r>
      <w:r w:rsidRPr="008B41AB">
        <w:rPr>
          <w:rStyle w:val="FootnoteReference"/>
          <w:bCs/>
        </w:rPr>
        <w:footnoteReference w:id="10"/>
      </w:r>
      <w:r w:rsidRPr="008B41AB">
        <w:rPr>
          <w:bCs/>
        </w:rPr>
        <w:t xml:space="preserve">.   </w:t>
      </w:r>
    </w:p>
    <w:p w:rsidR="003B278C" w:rsidRPr="00894834" w:rsidRDefault="003B278C" w:rsidP="003B278C">
      <w:pPr>
        <w:pStyle w:val="BodyText2"/>
        <w:tabs>
          <w:tab w:val="left" w:pos="720"/>
          <w:tab w:val="left" w:pos="810"/>
          <w:tab w:val="left" w:pos="1440"/>
        </w:tabs>
        <w:ind w:firstLine="720"/>
        <w:rPr>
          <w:b/>
          <w:bCs/>
        </w:rPr>
      </w:pPr>
      <w:r w:rsidRPr="00894834">
        <w:rPr>
          <w:b/>
          <w:bCs/>
        </w:rPr>
        <w:t>Q.</w:t>
      </w:r>
      <w:r w:rsidRPr="00894834">
        <w:rPr>
          <w:b/>
          <w:bCs/>
        </w:rPr>
        <w:tab/>
        <w:t>Have you prepared an analysis to show what impact the proposed rate design changes would have on customers</w:t>
      </w:r>
      <w:r w:rsidR="00D52400">
        <w:rPr>
          <w:b/>
          <w:bCs/>
        </w:rPr>
        <w:t xml:space="preserve"> on electric Schedule 1 and natural gas Schedule 101, including the proposed increases to the monthly basic charges</w:t>
      </w:r>
      <w:r w:rsidRPr="00894834">
        <w:rPr>
          <w:b/>
          <w:bCs/>
        </w:rPr>
        <w:t>?</w:t>
      </w:r>
    </w:p>
    <w:p w:rsidR="003B278C" w:rsidRPr="00894834" w:rsidRDefault="003B278C" w:rsidP="003B278C">
      <w:pPr>
        <w:pStyle w:val="BodyText2"/>
        <w:tabs>
          <w:tab w:val="left" w:pos="720"/>
          <w:tab w:val="left" w:pos="810"/>
          <w:tab w:val="left" w:pos="1440"/>
        </w:tabs>
        <w:ind w:firstLine="720"/>
        <w:rPr>
          <w:bCs/>
        </w:rPr>
      </w:pPr>
      <w:r w:rsidRPr="00894834">
        <w:rPr>
          <w:bCs/>
        </w:rPr>
        <w:t xml:space="preserve">A.  </w:t>
      </w:r>
      <w:r w:rsidRPr="00894834">
        <w:rPr>
          <w:bCs/>
        </w:rPr>
        <w:tab/>
        <w:t xml:space="preserve">Yes.  The Company completed an analysis showing the impact on low, average, and high use electric and natural gas customers.  The comparison shows the difference in a customer’s bill (only including base rates) based on the Basic Charge and volumetric rates being increased on a uniform percentage basis, versus the Company’s proposed changes.  Table </w:t>
      </w:r>
      <w:r w:rsidR="002C1009">
        <w:rPr>
          <w:bCs/>
        </w:rPr>
        <w:t>1</w:t>
      </w:r>
      <w:r w:rsidR="00D52400">
        <w:rPr>
          <w:bCs/>
        </w:rPr>
        <w:t>1</w:t>
      </w:r>
      <w:r w:rsidRPr="00894834">
        <w:rPr>
          <w:bCs/>
        </w:rPr>
        <w:t xml:space="preserve"> below details results of that analysis for </w:t>
      </w:r>
      <w:r w:rsidR="00D52400">
        <w:rPr>
          <w:bCs/>
        </w:rPr>
        <w:t xml:space="preserve">residential </w:t>
      </w:r>
      <w:r w:rsidRPr="00894834">
        <w:rPr>
          <w:bCs/>
          <w:u w:val="single"/>
        </w:rPr>
        <w:t>electric</w:t>
      </w:r>
      <w:r w:rsidRPr="00894834">
        <w:rPr>
          <w:bCs/>
        </w:rPr>
        <w:t xml:space="preserve"> customers</w:t>
      </w:r>
      <w:r w:rsidR="00D52400">
        <w:rPr>
          <w:bCs/>
        </w:rPr>
        <w:t xml:space="preserve"> on Schedule 1</w:t>
      </w:r>
      <w:r w:rsidRPr="00894834">
        <w:rPr>
          <w:bCs/>
        </w:rPr>
        <w:t>:</w:t>
      </w:r>
    </w:p>
    <w:p w:rsidR="003B278C" w:rsidRPr="00737CA1" w:rsidRDefault="00D52400" w:rsidP="003B278C">
      <w:pPr>
        <w:pStyle w:val="BodyText2"/>
        <w:tabs>
          <w:tab w:val="left" w:pos="810"/>
          <w:tab w:val="left" w:pos="1440"/>
        </w:tabs>
        <w:outlineLvl w:val="0"/>
        <w:rPr>
          <w:b/>
          <w:bCs/>
          <w:u w:val="single"/>
        </w:rPr>
      </w:pPr>
      <w:r>
        <w:rPr>
          <w:b/>
          <w:bCs/>
          <w:u w:val="single"/>
        </w:rPr>
        <w:t>Table 11</w:t>
      </w:r>
    </w:p>
    <w:p w:rsidR="003B278C" w:rsidRDefault="00D52400" w:rsidP="003B278C">
      <w:pPr>
        <w:pStyle w:val="BodyText2"/>
        <w:tabs>
          <w:tab w:val="left" w:pos="810"/>
          <w:tab w:val="left" w:pos="1440"/>
        </w:tabs>
        <w:outlineLvl w:val="0"/>
        <w:rPr>
          <w:bCs/>
        </w:rPr>
      </w:pPr>
      <w:r w:rsidRPr="00D52400">
        <w:rPr>
          <w:noProof/>
        </w:rPr>
        <w:drawing>
          <wp:anchor distT="0" distB="0" distL="114300" distR="114300" simplePos="0" relativeHeight="251913728" behindDoc="1" locked="0" layoutInCell="1" allowOverlap="1">
            <wp:simplePos x="0" y="0"/>
            <wp:positionH relativeFrom="column">
              <wp:posOffset>21178</wp:posOffset>
            </wp:positionH>
            <wp:positionV relativeFrom="paragraph">
              <wp:posOffset>-3618</wp:posOffset>
            </wp:positionV>
            <wp:extent cx="6090834" cy="1392865"/>
            <wp:effectExtent l="19050" t="0" r="5166" b="0"/>
            <wp:wrapNone/>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6096139" cy="1394078"/>
                    </a:xfrm>
                    <a:prstGeom prst="rect">
                      <a:avLst/>
                    </a:prstGeom>
                    <a:noFill/>
                    <a:ln w="9525">
                      <a:noFill/>
                      <a:miter lim="800000"/>
                      <a:headEnd/>
                      <a:tailEnd/>
                    </a:ln>
                  </pic:spPr>
                </pic:pic>
              </a:graphicData>
            </a:graphic>
          </wp:anchor>
        </w:drawing>
      </w:r>
    </w:p>
    <w:p w:rsidR="003B278C" w:rsidRDefault="003B278C" w:rsidP="003B278C">
      <w:pPr>
        <w:spacing w:line="480" w:lineRule="auto"/>
        <w:jc w:val="both"/>
        <w:rPr>
          <w:bCs/>
        </w:rPr>
      </w:pPr>
    </w:p>
    <w:p w:rsidR="003B278C" w:rsidRDefault="003B278C" w:rsidP="003B278C">
      <w:pPr>
        <w:spacing w:line="480" w:lineRule="auto"/>
        <w:jc w:val="both"/>
        <w:rPr>
          <w:bCs/>
        </w:rPr>
      </w:pPr>
    </w:p>
    <w:p w:rsidR="003B278C" w:rsidRDefault="003B278C" w:rsidP="003B278C">
      <w:pPr>
        <w:spacing w:line="480" w:lineRule="auto"/>
        <w:jc w:val="both"/>
        <w:rPr>
          <w:bCs/>
        </w:rPr>
      </w:pPr>
    </w:p>
    <w:p w:rsidR="005E2247" w:rsidRDefault="005E2247">
      <w:pPr>
        <w:autoSpaceDE/>
        <w:autoSpaceDN/>
        <w:rPr>
          <w:bCs/>
        </w:rPr>
      </w:pPr>
      <w:r>
        <w:rPr>
          <w:bCs/>
        </w:rPr>
        <w:br w:type="page"/>
      </w:r>
    </w:p>
    <w:p w:rsidR="003B278C" w:rsidRPr="00894834" w:rsidRDefault="003B278C" w:rsidP="003B278C">
      <w:pPr>
        <w:spacing w:line="480" w:lineRule="auto"/>
        <w:jc w:val="both"/>
        <w:rPr>
          <w:b/>
          <w:bCs/>
          <w:u w:val="single"/>
        </w:rPr>
      </w:pPr>
      <w:r w:rsidRPr="00894834">
        <w:rPr>
          <w:bCs/>
        </w:rPr>
        <w:lastRenderedPageBreak/>
        <w:t>Table 1</w:t>
      </w:r>
      <w:r w:rsidR="00D52400">
        <w:rPr>
          <w:bCs/>
        </w:rPr>
        <w:t>2</w:t>
      </w:r>
      <w:r w:rsidRPr="00894834">
        <w:rPr>
          <w:bCs/>
        </w:rPr>
        <w:t xml:space="preserve"> below details the analysis for </w:t>
      </w:r>
      <w:r w:rsidRPr="00894834">
        <w:rPr>
          <w:bCs/>
          <w:u w:val="single"/>
        </w:rPr>
        <w:t>natural gas</w:t>
      </w:r>
      <w:r w:rsidRPr="00894834">
        <w:rPr>
          <w:bCs/>
        </w:rPr>
        <w:t xml:space="preserve"> customers</w:t>
      </w:r>
      <w:r w:rsidR="00D52400">
        <w:rPr>
          <w:bCs/>
        </w:rPr>
        <w:t xml:space="preserve"> on Schedule 101</w:t>
      </w:r>
      <w:r w:rsidRPr="00894834">
        <w:rPr>
          <w:bCs/>
        </w:rPr>
        <w:t>:</w:t>
      </w:r>
    </w:p>
    <w:p w:rsidR="003B278C" w:rsidRPr="00737CA1" w:rsidRDefault="002C1009" w:rsidP="003B278C">
      <w:pPr>
        <w:spacing w:line="480" w:lineRule="auto"/>
        <w:jc w:val="both"/>
        <w:rPr>
          <w:b/>
          <w:bCs/>
          <w:u w:val="single"/>
        </w:rPr>
      </w:pPr>
      <w:r>
        <w:rPr>
          <w:b/>
          <w:bCs/>
          <w:u w:val="single"/>
        </w:rPr>
        <w:t>Table 1</w:t>
      </w:r>
      <w:r w:rsidR="00D52400">
        <w:rPr>
          <w:b/>
          <w:bCs/>
          <w:u w:val="single"/>
        </w:rPr>
        <w:t>2</w:t>
      </w:r>
    </w:p>
    <w:p w:rsidR="003B278C" w:rsidRPr="00D6449A" w:rsidRDefault="00D52400" w:rsidP="003B278C">
      <w:pPr>
        <w:spacing w:line="480" w:lineRule="auto"/>
        <w:jc w:val="both"/>
        <w:rPr>
          <w:b/>
          <w:bCs/>
          <w:highlight w:val="yellow"/>
          <w:u w:val="single"/>
        </w:rPr>
      </w:pPr>
      <w:r w:rsidRPr="00D52400">
        <w:rPr>
          <w:noProof/>
        </w:rPr>
        <w:drawing>
          <wp:anchor distT="0" distB="0" distL="114300" distR="114300" simplePos="0" relativeHeight="251914752" behindDoc="1" locked="0" layoutInCell="1" allowOverlap="1">
            <wp:simplePos x="0" y="0"/>
            <wp:positionH relativeFrom="column">
              <wp:posOffset>-47699</wp:posOffset>
            </wp:positionH>
            <wp:positionV relativeFrom="paragraph">
              <wp:posOffset>709</wp:posOffset>
            </wp:positionV>
            <wp:extent cx="6158466" cy="1616149"/>
            <wp:effectExtent l="19050" t="0" r="0" b="0"/>
            <wp:wrapNone/>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6158466" cy="1616149"/>
                    </a:xfrm>
                    <a:prstGeom prst="rect">
                      <a:avLst/>
                    </a:prstGeom>
                    <a:noFill/>
                    <a:ln w="9525">
                      <a:noFill/>
                      <a:miter lim="800000"/>
                      <a:headEnd/>
                      <a:tailEnd/>
                    </a:ln>
                  </pic:spPr>
                </pic:pic>
              </a:graphicData>
            </a:graphic>
          </wp:anchor>
        </w:drawing>
      </w:r>
    </w:p>
    <w:p w:rsidR="003B278C" w:rsidRPr="00D6449A" w:rsidRDefault="003B278C" w:rsidP="003B278C">
      <w:pPr>
        <w:pStyle w:val="BodyText2"/>
        <w:tabs>
          <w:tab w:val="left" w:pos="810"/>
          <w:tab w:val="left" w:pos="1440"/>
        </w:tabs>
        <w:rPr>
          <w:b/>
          <w:bCs/>
          <w:highlight w:val="yellow"/>
        </w:rPr>
      </w:pPr>
    </w:p>
    <w:p w:rsidR="003B278C" w:rsidRPr="008B41AB" w:rsidRDefault="003B278C" w:rsidP="003B278C">
      <w:pPr>
        <w:pStyle w:val="BodyText2"/>
        <w:tabs>
          <w:tab w:val="left" w:pos="810"/>
          <w:tab w:val="left" w:pos="1440"/>
        </w:tabs>
        <w:rPr>
          <w:b/>
          <w:bCs/>
        </w:rPr>
      </w:pPr>
    </w:p>
    <w:p w:rsidR="003B278C" w:rsidRPr="008B41AB" w:rsidRDefault="003B278C" w:rsidP="003B278C">
      <w:pPr>
        <w:pStyle w:val="BodyText2"/>
        <w:tabs>
          <w:tab w:val="left" w:pos="810"/>
          <w:tab w:val="left" w:pos="1440"/>
        </w:tabs>
        <w:rPr>
          <w:b/>
          <w:bCs/>
        </w:rPr>
      </w:pPr>
      <w:r w:rsidRPr="008B41AB">
        <w:rPr>
          <w:b/>
          <w:bCs/>
        </w:rPr>
        <w:tab/>
      </w:r>
    </w:p>
    <w:p w:rsidR="0022502F" w:rsidRDefault="0022502F" w:rsidP="003B278C">
      <w:pPr>
        <w:pStyle w:val="BodyText2"/>
        <w:tabs>
          <w:tab w:val="left" w:pos="810"/>
          <w:tab w:val="left" w:pos="1440"/>
        </w:tabs>
        <w:rPr>
          <w:bCs/>
        </w:rPr>
      </w:pPr>
    </w:p>
    <w:p w:rsidR="003B278C" w:rsidRPr="00294B78" w:rsidRDefault="004043D5" w:rsidP="003B278C">
      <w:pPr>
        <w:pStyle w:val="BodyText2"/>
        <w:tabs>
          <w:tab w:val="left" w:pos="810"/>
          <w:tab w:val="left" w:pos="1440"/>
        </w:tabs>
        <w:rPr>
          <w:bCs/>
        </w:rPr>
      </w:pPr>
      <w:r>
        <w:rPr>
          <w:bCs/>
        </w:rPr>
        <w:t>T</w:t>
      </w:r>
      <w:r w:rsidR="003B278C" w:rsidRPr="00294B78">
        <w:rPr>
          <w:bCs/>
        </w:rPr>
        <w:t xml:space="preserve">he impact of the Company’s proposed change to the basic charge varies based on monthly consumption.  For an electric customer who uses </w:t>
      </w:r>
      <w:r w:rsidR="003B278C" w:rsidRPr="00294B78">
        <w:rPr>
          <w:bCs/>
          <w:u w:val="single"/>
        </w:rPr>
        <w:t>less</w:t>
      </w:r>
      <w:r w:rsidR="003B278C" w:rsidRPr="00294B78">
        <w:rPr>
          <w:bCs/>
        </w:rPr>
        <w:t xml:space="preserve"> than the average </w:t>
      </w:r>
      <w:r w:rsidR="0022502F">
        <w:rPr>
          <w:bCs/>
        </w:rPr>
        <w:t xml:space="preserve">965 </w:t>
      </w:r>
      <w:proofErr w:type="gramStart"/>
      <w:r w:rsidR="003B278C" w:rsidRPr="00294B78">
        <w:rPr>
          <w:bCs/>
        </w:rPr>
        <w:t>kWh’s</w:t>
      </w:r>
      <w:proofErr w:type="gramEnd"/>
      <w:r w:rsidR="003B278C" w:rsidRPr="00294B78">
        <w:rPr>
          <w:bCs/>
        </w:rPr>
        <w:t xml:space="preserve"> and</w:t>
      </w:r>
      <w:r w:rsidR="003B278C" w:rsidRPr="00BA66BC">
        <w:rPr>
          <w:bCs/>
        </w:rPr>
        <w:t xml:space="preserve">/or </w:t>
      </w:r>
      <w:r w:rsidR="0022502F">
        <w:rPr>
          <w:bCs/>
        </w:rPr>
        <w:t>65</w:t>
      </w:r>
      <w:r w:rsidR="003B278C" w:rsidRPr="00BA66BC">
        <w:rPr>
          <w:bCs/>
        </w:rPr>
        <w:t xml:space="preserve"> therms</w:t>
      </w:r>
      <w:r w:rsidR="003B278C" w:rsidRPr="00294B78">
        <w:rPr>
          <w:bCs/>
        </w:rPr>
        <w:t xml:space="preserve"> per month, the percentage impact will be slightly higher than for those customers who use </w:t>
      </w:r>
      <w:r w:rsidR="003B278C" w:rsidRPr="00294B78">
        <w:rPr>
          <w:bCs/>
          <w:u w:val="single"/>
        </w:rPr>
        <w:t>more</w:t>
      </w:r>
      <w:r w:rsidR="003B278C" w:rsidRPr="00294B78">
        <w:rPr>
          <w:bCs/>
        </w:rPr>
        <w:t xml:space="preserve"> than the average.  </w:t>
      </w:r>
      <w:r w:rsidR="003B278C">
        <w:rPr>
          <w:bCs/>
        </w:rPr>
        <w:t xml:space="preserve">That makes sense in that, with fixed costs being recovered in variable energy rates, customers with higher use are subsidizing lower use customers.  </w:t>
      </w:r>
      <w:r w:rsidR="003B278C" w:rsidRPr="00294B78">
        <w:rPr>
          <w:bCs/>
        </w:rPr>
        <w:t>We believe the improvement in matching customer payment of fixed costs with the fixed costs to serve customers, together with removing part of the inequity among customers on the amount of fixed costs paid, warrants this relatively small bill impact.</w:t>
      </w:r>
    </w:p>
    <w:p w:rsidR="0017074B" w:rsidRDefault="003B278C" w:rsidP="0017074B">
      <w:pPr>
        <w:pStyle w:val="BodyText2"/>
        <w:tabs>
          <w:tab w:val="left" w:pos="810"/>
          <w:tab w:val="left" w:pos="1440"/>
        </w:tabs>
        <w:ind w:firstLine="720"/>
        <w:outlineLvl w:val="0"/>
        <w:rPr>
          <w:bCs/>
        </w:rPr>
      </w:pPr>
      <w:r>
        <w:rPr>
          <w:bCs/>
        </w:rPr>
        <w:t>Table 1</w:t>
      </w:r>
      <w:r w:rsidR="001B0AC2">
        <w:rPr>
          <w:bCs/>
        </w:rPr>
        <w:t>3</w:t>
      </w:r>
      <w:r w:rsidRPr="00294B78">
        <w:rPr>
          <w:bCs/>
        </w:rPr>
        <w:t xml:space="preserve"> below shows a comparison of monthly bills for an electric customer with average usage for a 12-month period.  It shows the difference in the monthly bills with a uniform percentage increase to the basic charge and </w:t>
      </w:r>
      <w:r>
        <w:rPr>
          <w:bCs/>
        </w:rPr>
        <w:t>a uniform cent</w:t>
      </w:r>
      <w:r w:rsidR="004043D5">
        <w:rPr>
          <w:bCs/>
        </w:rPr>
        <w:t>s/kWh</w:t>
      </w:r>
      <w:r>
        <w:rPr>
          <w:bCs/>
        </w:rPr>
        <w:t xml:space="preserve"> increase to the </w:t>
      </w:r>
      <w:r w:rsidRPr="00294B78">
        <w:rPr>
          <w:bCs/>
        </w:rPr>
        <w:t xml:space="preserve">volumetric rates, versus the Company’s proposal.  The table illustrates the reduction in payment of fixed costs in the winter months, and increased payment in the summer, with the net result being improved alignment of payment of fixed costs by customers with the fixed </w:t>
      </w:r>
      <w:r w:rsidRPr="0055278A">
        <w:rPr>
          <w:bCs/>
        </w:rPr>
        <w:t xml:space="preserve">costs to serve customers, </w:t>
      </w:r>
      <w:r w:rsidR="00CB153A">
        <w:rPr>
          <w:bCs/>
        </w:rPr>
        <w:t>with a 0.4%</w:t>
      </w:r>
      <w:r w:rsidRPr="0055278A">
        <w:rPr>
          <w:bCs/>
        </w:rPr>
        <w:t xml:space="preserve"> annual difference in overall payment.</w:t>
      </w:r>
    </w:p>
    <w:p w:rsidR="004043D5" w:rsidRDefault="004043D5" w:rsidP="005E2247">
      <w:pPr>
        <w:pStyle w:val="BodyText2"/>
        <w:tabs>
          <w:tab w:val="left" w:pos="810"/>
          <w:tab w:val="left" w:pos="1440"/>
        </w:tabs>
        <w:spacing w:line="240" w:lineRule="auto"/>
        <w:outlineLvl w:val="0"/>
        <w:rPr>
          <w:b/>
          <w:bCs/>
          <w:u w:val="single"/>
        </w:rPr>
      </w:pPr>
    </w:p>
    <w:p w:rsidR="003B278C" w:rsidRDefault="003B278C" w:rsidP="005E2247">
      <w:pPr>
        <w:pStyle w:val="BodyText2"/>
        <w:tabs>
          <w:tab w:val="left" w:pos="810"/>
          <w:tab w:val="left" w:pos="1440"/>
        </w:tabs>
        <w:spacing w:line="240" w:lineRule="auto"/>
        <w:outlineLvl w:val="0"/>
        <w:rPr>
          <w:b/>
          <w:bCs/>
          <w:u w:val="single"/>
        </w:rPr>
      </w:pPr>
      <w:r w:rsidRPr="0055278A">
        <w:rPr>
          <w:b/>
          <w:bCs/>
          <w:u w:val="single"/>
        </w:rPr>
        <w:lastRenderedPageBreak/>
        <w:t xml:space="preserve">Table </w:t>
      </w:r>
      <w:r w:rsidR="002C1009">
        <w:rPr>
          <w:b/>
          <w:bCs/>
          <w:u w:val="single"/>
        </w:rPr>
        <w:t>1</w:t>
      </w:r>
      <w:r w:rsidR="00D52400">
        <w:rPr>
          <w:b/>
          <w:bCs/>
          <w:u w:val="single"/>
        </w:rPr>
        <w:t>3</w:t>
      </w:r>
      <w:r w:rsidR="005E2247">
        <w:rPr>
          <w:b/>
          <w:bCs/>
          <w:u w:val="single"/>
        </w:rPr>
        <w:t xml:space="preserve"> – Monthly Bills for a</w:t>
      </w:r>
      <w:r w:rsidR="004043D5">
        <w:rPr>
          <w:b/>
          <w:bCs/>
          <w:u w:val="single"/>
        </w:rPr>
        <w:t xml:space="preserve"> Residential Schedule 1</w:t>
      </w:r>
      <w:r w:rsidR="005E2247">
        <w:rPr>
          <w:b/>
          <w:bCs/>
          <w:u w:val="single"/>
        </w:rPr>
        <w:t xml:space="preserve"> Electric Customer using an Average of 965 kWhs per Month</w:t>
      </w:r>
    </w:p>
    <w:p w:rsidR="005E2247" w:rsidRDefault="005E2247" w:rsidP="005E2247">
      <w:pPr>
        <w:pStyle w:val="BodyText2"/>
        <w:tabs>
          <w:tab w:val="left" w:pos="810"/>
          <w:tab w:val="left" w:pos="1440"/>
        </w:tabs>
        <w:spacing w:line="240" w:lineRule="auto"/>
        <w:outlineLvl w:val="0"/>
        <w:rPr>
          <w:b/>
          <w:bCs/>
          <w:u w:val="single"/>
        </w:rPr>
      </w:pPr>
    </w:p>
    <w:p w:rsidR="003B278C" w:rsidRPr="00737CA1" w:rsidRDefault="00284C92" w:rsidP="003B278C">
      <w:pPr>
        <w:pStyle w:val="BodyText2"/>
        <w:tabs>
          <w:tab w:val="left" w:pos="810"/>
          <w:tab w:val="left" w:pos="1440"/>
        </w:tabs>
        <w:outlineLvl w:val="0"/>
        <w:rPr>
          <w:b/>
          <w:bCs/>
          <w:u w:val="single"/>
        </w:rPr>
      </w:pPr>
      <w:r w:rsidRPr="00284C92">
        <w:rPr>
          <w:noProof/>
        </w:rPr>
        <w:drawing>
          <wp:anchor distT="0" distB="0" distL="114300" distR="114300" simplePos="0" relativeHeight="251893248" behindDoc="1" locked="0" layoutInCell="1" allowOverlap="1">
            <wp:simplePos x="0" y="0"/>
            <wp:positionH relativeFrom="column">
              <wp:posOffset>12744</wp:posOffset>
            </wp:positionH>
            <wp:positionV relativeFrom="paragraph">
              <wp:posOffset>-5518</wp:posOffset>
            </wp:positionV>
            <wp:extent cx="5293929" cy="3279228"/>
            <wp:effectExtent l="19050" t="0" r="1971"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5293929" cy="3279228"/>
                    </a:xfrm>
                    <a:prstGeom prst="rect">
                      <a:avLst/>
                    </a:prstGeom>
                    <a:noFill/>
                    <a:ln w="9525">
                      <a:noFill/>
                      <a:miter lim="800000"/>
                      <a:headEnd/>
                      <a:tailEnd/>
                    </a:ln>
                  </pic:spPr>
                </pic:pic>
              </a:graphicData>
            </a:graphic>
          </wp:anchor>
        </w:drawing>
      </w: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Default="003B278C" w:rsidP="003B278C">
      <w:pPr>
        <w:spacing w:line="480" w:lineRule="auto"/>
        <w:jc w:val="both"/>
        <w:rPr>
          <w:bCs/>
        </w:rPr>
      </w:pPr>
    </w:p>
    <w:p w:rsidR="005E2247" w:rsidRPr="005E2247" w:rsidRDefault="003B278C" w:rsidP="005E2247">
      <w:pPr>
        <w:spacing w:line="480" w:lineRule="auto"/>
        <w:ind w:firstLine="720"/>
        <w:jc w:val="both"/>
        <w:rPr>
          <w:bCs/>
        </w:rPr>
      </w:pPr>
      <w:r>
        <w:rPr>
          <w:bCs/>
        </w:rPr>
        <w:t xml:space="preserve">Table </w:t>
      </w:r>
      <w:r w:rsidR="002C1009">
        <w:rPr>
          <w:bCs/>
        </w:rPr>
        <w:t>1</w:t>
      </w:r>
      <w:r w:rsidR="00D52400">
        <w:rPr>
          <w:bCs/>
        </w:rPr>
        <w:t>4</w:t>
      </w:r>
      <w:r w:rsidRPr="00294B78">
        <w:rPr>
          <w:bCs/>
        </w:rPr>
        <w:t xml:space="preserve"> below provides a similar comparison for a 12-month period for a natural gas customer with </w:t>
      </w:r>
      <w:r w:rsidRPr="00BA66BC">
        <w:rPr>
          <w:bCs/>
        </w:rPr>
        <w:t xml:space="preserve">average usage.  The net result is similar to the electric results above, namely a better alignment of payment of fixed costs by customers with the fixed costs to </w:t>
      </w:r>
      <w:r w:rsidRPr="00A522F4">
        <w:rPr>
          <w:bCs/>
        </w:rPr>
        <w:t>serve customers.</w:t>
      </w:r>
      <w:r w:rsidR="005E2247">
        <w:rPr>
          <w:b/>
          <w:bCs/>
          <w:u w:val="single"/>
        </w:rPr>
        <w:br w:type="page"/>
      </w:r>
    </w:p>
    <w:p w:rsidR="003B278C" w:rsidRPr="00737CA1" w:rsidRDefault="003B278C" w:rsidP="005E2247">
      <w:pPr>
        <w:jc w:val="both"/>
        <w:outlineLvl w:val="0"/>
        <w:rPr>
          <w:b/>
          <w:bCs/>
          <w:u w:val="single"/>
        </w:rPr>
      </w:pPr>
      <w:r w:rsidRPr="00A522F4">
        <w:rPr>
          <w:b/>
          <w:bCs/>
          <w:u w:val="single"/>
        </w:rPr>
        <w:lastRenderedPageBreak/>
        <w:t>Table 1</w:t>
      </w:r>
      <w:r w:rsidR="00D52400">
        <w:rPr>
          <w:b/>
          <w:bCs/>
          <w:u w:val="single"/>
        </w:rPr>
        <w:t>4</w:t>
      </w:r>
      <w:r w:rsidR="005E2247">
        <w:rPr>
          <w:b/>
          <w:bCs/>
          <w:u w:val="single"/>
        </w:rPr>
        <w:t xml:space="preserve"> – Monthly Bills for a </w:t>
      </w:r>
      <w:r w:rsidR="004043D5">
        <w:rPr>
          <w:b/>
          <w:bCs/>
          <w:u w:val="single"/>
        </w:rPr>
        <w:t xml:space="preserve">Schedule 101 </w:t>
      </w:r>
      <w:r w:rsidR="005E2247">
        <w:rPr>
          <w:b/>
          <w:bCs/>
          <w:u w:val="single"/>
        </w:rPr>
        <w:t>Natural Gas Customer using an Average of 65 therms per Month</w:t>
      </w:r>
    </w:p>
    <w:p w:rsidR="003B278C" w:rsidRPr="00D6449A" w:rsidRDefault="00284C92" w:rsidP="003B278C">
      <w:pPr>
        <w:spacing w:line="480" w:lineRule="auto"/>
        <w:jc w:val="both"/>
        <w:outlineLvl w:val="0"/>
        <w:rPr>
          <w:b/>
          <w:bCs/>
          <w:highlight w:val="yellow"/>
          <w:u w:val="single"/>
        </w:rPr>
      </w:pPr>
      <w:r w:rsidRPr="00284C92">
        <w:rPr>
          <w:noProof/>
        </w:rPr>
        <w:drawing>
          <wp:anchor distT="0" distB="0" distL="114300" distR="114300" simplePos="0" relativeHeight="251892224" behindDoc="1" locked="0" layoutInCell="1" allowOverlap="1">
            <wp:simplePos x="0" y="0"/>
            <wp:positionH relativeFrom="column">
              <wp:posOffset>12744</wp:posOffset>
            </wp:positionH>
            <wp:positionV relativeFrom="paragraph">
              <wp:posOffset>169742</wp:posOffset>
            </wp:positionV>
            <wp:extent cx="5341226" cy="3216166"/>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341226" cy="3216166"/>
                    </a:xfrm>
                    <a:prstGeom prst="rect">
                      <a:avLst/>
                    </a:prstGeom>
                    <a:noFill/>
                    <a:ln w="9525">
                      <a:noFill/>
                      <a:miter lim="800000"/>
                      <a:headEnd/>
                      <a:tailEnd/>
                    </a:ln>
                  </pic:spPr>
                </pic:pic>
              </a:graphicData>
            </a:graphic>
          </wp:anchor>
        </w:drawing>
      </w:r>
    </w:p>
    <w:p w:rsidR="003B278C" w:rsidRPr="00D6449A" w:rsidRDefault="003B278C" w:rsidP="003B278C">
      <w:pPr>
        <w:spacing w:line="480" w:lineRule="auto"/>
        <w:jc w:val="both"/>
        <w:outlineLvl w:val="0"/>
        <w:rPr>
          <w:b/>
          <w:bCs/>
          <w:highlight w:val="yellow"/>
          <w:u w:val="single"/>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294B78" w:rsidRDefault="003B278C" w:rsidP="003B278C">
      <w:pPr>
        <w:pStyle w:val="BodyText2"/>
        <w:tabs>
          <w:tab w:val="left" w:pos="810"/>
          <w:tab w:val="left" w:pos="1440"/>
        </w:tabs>
        <w:rPr>
          <w:b/>
          <w:bCs/>
        </w:rPr>
      </w:pPr>
    </w:p>
    <w:p w:rsidR="003B278C" w:rsidRPr="00294B78" w:rsidRDefault="003B278C" w:rsidP="003B278C">
      <w:pPr>
        <w:pStyle w:val="BodyText2"/>
        <w:tabs>
          <w:tab w:val="left" w:pos="810"/>
          <w:tab w:val="left" w:pos="1440"/>
        </w:tabs>
        <w:rPr>
          <w:b/>
          <w:bCs/>
        </w:rPr>
      </w:pPr>
    </w:p>
    <w:p w:rsidR="003B278C" w:rsidRPr="00294B78" w:rsidRDefault="003B278C" w:rsidP="003B278C">
      <w:pPr>
        <w:pStyle w:val="BodyText2"/>
        <w:tabs>
          <w:tab w:val="left" w:pos="720"/>
          <w:tab w:val="left" w:pos="1440"/>
        </w:tabs>
        <w:rPr>
          <w:b/>
          <w:bCs/>
        </w:rPr>
      </w:pPr>
    </w:p>
    <w:p w:rsidR="003E71B4" w:rsidRDefault="003E71B4" w:rsidP="003B278C">
      <w:pPr>
        <w:pStyle w:val="BodyText2"/>
        <w:tabs>
          <w:tab w:val="left" w:pos="720"/>
          <w:tab w:val="left" w:pos="1440"/>
        </w:tabs>
        <w:ind w:firstLine="720"/>
        <w:rPr>
          <w:b/>
          <w:bCs/>
        </w:rPr>
      </w:pPr>
    </w:p>
    <w:p w:rsidR="003B278C" w:rsidRPr="00F557D5" w:rsidRDefault="003B278C" w:rsidP="003B278C">
      <w:pPr>
        <w:pStyle w:val="BodyText2"/>
        <w:tabs>
          <w:tab w:val="left" w:pos="720"/>
          <w:tab w:val="left" w:pos="1440"/>
        </w:tabs>
        <w:ind w:firstLine="720"/>
        <w:rPr>
          <w:b/>
          <w:bCs/>
        </w:rPr>
      </w:pPr>
      <w:r w:rsidRPr="00F557D5">
        <w:rPr>
          <w:b/>
          <w:bCs/>
        </w:rPr>
        <w:t>Q.</w:t>
      </w:r>
      <w:r w:rsidRPr="00F557D5">
        <w:rPr>
          <w:b/>
          <w:bCs/>
        </w:rPr>
        <w:tab/>
      </w:r>
      <w:r w:rsidR="001B0AC2">
        <w:rPr>
          <w:b/>
          <w:bCs/>
        </w:rPr>
        <w:t>How will the proposed change in the residential basic charge affect limited income customers?</w:t>
      </w:r>
    </w:p>
    <w:p w:rsidR="003B278C" w:rsidRPr="00F557D5" w:rsidRDefault="003B278C" w:rsidP="003B278C">
      <w:pPr>
        <w:pStyle w:val="BodyText2"/>
        <w:tabs>
          <w:tab w:val="left" w:pos="720"/>
          <w:tab w:val="left" w:pos="1440"/>
        </w:tabs>
        <w:ind w:firstLine="720"/>
        <w:rPr>
          <w:bCs/>
        </w:rPr>
      </w:pPr>
      <w:r w:rsidRPr="00F557D5">
        <w:rPr>
          <w:bCs/>
        </w:rPr>
        <w:t xml:space="preserve">A.  </w:t>
      </w:r>
      <w:r>
        <w:rPr>
          <w:bCs/>
        </w:rPr>
        <w:tab/>
      </w:r>
      <w:r w:rsidRPr="00F557D5">
        <w:rPr>
          <w:bCs/>
        </w:rPr>
        <w:t>Traditional thinking might lead one to believe that a l</w:t>
      </w:r>
      <w:r>
        <w:rPr>
          <w:bCs/>
        </w:rPr>
        <w:t>imited</w:t>
      </w:r>
      <w:r w:rsidRPr="00F557D5">
        <w:rPr>
          <w:bCs/>
        </w:rPr>
        <w:t xml:space="preserve"> income electric customer would tend to be a low user of electricity.  Although the Company has not conducted a demographic survey of its customers in recent years, the data that we do have </w:t>
      </w:r>
      <w:r w:rsidR="001B0AC2">
        <w:rPr>
          <w:bCs/>
        </w:rPr>
        <w:t xml:space="preserve">available </w:t>
      </w:r>
      <w:r w:rsidRPr="00F557D5">
        <w:rPr>
          <w:bCs/>
        </w:rPr>
        <w:t>suggest</w:t>
      </w:r>
      <w:r w:rsidR="001B0AC2">
        <w:rPr>
          <w:bCs/>
        </w:rPr>
        <w:t>s</w:t>
      </w:r>
      <w:r w:rsidRPr="00F557D5">
        <w:rPr>
          <w:bCs/>
        </w:rPr>
        <w:t xml:space="preserve"> that just the opposite is true.  </w:t>
      </w:r>
    </w:p>
    <w:p w:rsidR="0022502F" w:rsidRDefault="003B278C" w:rsidP="003B278C">
      <w:pPr>
        <w:pStyle w:val="BodyText2"/>
        <w:tabs>
          <w:tab w:val="left" w:pos="720"/>
          <w:tab w:val="left" w:pos="1440"/>
        </w:tabs>
        <w:ind w:firstLine="720"/>
        <w:rPr>
          <w:bCs/>
        </w:rPr>
      </w:pPr>
      <w:r w:rsidRPr="00F557D5">
        <w:rPr>
          <w:bCs/>
        </w:rPr>
        <w:t>A majority of our customers have natural gas for space and water heating, and therefore may have</w:t>
      </w:r>
      <w:r w:rsidR="0030040F">
        <w:rPr>
          <w:bCs/>
        </w:rPr>
        <w:t>, on average, lower</w:t>
      </w:r>
      <w:r w:rsidRPr="00F557D5">
        <w:rPr>
          <w:bCs/>
        </w:rPr>
        <w:t xml:space="preserve"> electric usage during the winter.  However, many </w:t>
      </w:r>
      <w:r>
        <w:rPr>
          <w:bCs/>
          <w:u w:val="single"/>
        </w:rPr>
        <w:t>limited</w:t>
      </w:r>
      <w:r w:rsidRPr="00F557D5">
        <w:rPr>
          <w:bCs/>
          <w:u w:val="single"/>
        </w:rPr>
        <w:t xml:space="preserve"> income</w:t>
      </w:r>
      <w:r w:rsidRPr="00F557D5">
        <w:rPr>
          <w:bCs/>
        </w:rPr>
        <w:t xml:space="preserve"> customers</w:t>
      </w:r>
      <w:r w:rsidR="001B0AC2">
        <w:rPr>
          <w:bCs/>
        </w:rPr>
        <w:t xml:space="preserve"> </w:t>
      </w:r>
      <w:r w:rsidRPr="00F557D5">
        <w:rPr>
          <w:bCs/>
        </w:rPr>
        <w:t xml:space="preserve">still </w:t>
      </w:r>
      <w:r w:rsidRPr="00F557D5">
        <w:rPr>
          <w:bCs/>
          <w:u w:val="single"/>
        </w:rPr>
        <w:t>use electricity for space and water heating</w:t>
      </w:r>
      <w:r w:rsidRPr="00F557D5">
        <w:rPr>
          <w:bCs/>
        </w:rPr>
        <w:t xml:space="preserve">.  </w:t>
      </w:r>
      <w:r w:rsidR="001B0AC2">
        <w:rPr>
          <w:bCs/>
        </w:rPr>
        <w:t>Many of t</w:t>
      </w:r>
      <w:r w:rsidRPr="00F557D5">
        <w:rPr>
          <w:bCs/>
        </w:rPr>
        <w:t xml:space="preserve">hese customers live in apartments (which in Avista’s service territory predominantly have electric space and water heat), live in areas where natural gas is not available, or live in areas </w:t>
      </w:r>
      <w:r w:rsidR="00284C92">
        <w:rPr>
          <w:bCs/>
        </w:rPr>
        <w:t xml:space="preserve">where </w:t>
      </w:r>
      <w:r w:rsidR="00284C92">
        <w:rPr>
          <w:bCs/>
        </w:rPr>
        <w:lastRenderedPageBreak/>
        <w:t>natural gas is available</w:t>
      </w:r>
      <w:r w:rsidRPr="00F557D5">
        <w:rPr>
          <w:bCs/>
        </w:rPr>
        <w:t>, but cannot afford to convert.  These l</w:t>
      </w:r>
      <w:r>
        <w:rPr>
          <w:bCs/>
        </w:rPr>
        <w:t>imited</w:t>
      </w:r>
      <w:r w:rsidRPr="00F557D5">
        <w:rPr>
          <w:bCs/>
        </w:rPr>
        <w:t xml:space="preserve"> income customers, with electric space and water heat, can have electric usage in the tail-block (above 1,</w:t>
      </w:r>
      <w:r>
        <w:rPr>
          <w:bCs/>
        </w:rPr>
        <w:t>5</w:t>
      </w:r>
      <w:r w:rsidRPr="00F557D5">
        <w:rPr>
          <w:bCs/>
        </w:rPr>
        <w:t xml:space="preserve">00 </w:t>
      </w:r>
      <w:proofErr w:type="gramStart"/>
      <w:r w:rsidRPr="00F557D5">
        <w:rPr>
          <w:bCs/>
        </w:rPr>
        <w:t>kWh’s</w:t>
      </w:r>
      <w:proofErr w:type="gramEnd"/>
      <w:r w:rsidRPr="00F557D5">
        <w:rPr>
          <w:bCs/>
        </w:rPr>
        <w:t xml:space="preserve">) during the winter months.  </w:t>
      </w:r>
    </w:p>
    <w:p w:rsidR="004D7861" w:rsidRPr="004D7861" w:rsidRDefault="004D7861" w:rsidP="003B278C">
      <w:pPr>
        <w:pStyle w:val="BodyText2"/>
        <w:tabs>
          <w:tab w:val="left" w:pos="720"/>
          <w:tab w:val="left" w:pos="1440"/>
        </w:tabs>
        <w:ind w:firstLine="720"/>
        <w:rPr>
          <w:b/>
          <w:bCs/>
        </w:rPr>
      </w:pPr>
      <w:r w:rsidRPr="004D7861">
        <w:rPr>
          <w:b/>
          <w:bCs/>
        </w:rPr>
        <w:t>Q.</w:t>
      </w:r>
      <w:r w:rsidRPr="004D7861">
        <w:rPr>
          <w:b/>
          <w:bCs/>
        </w:rPr>
        <w:tab/>
        <w:t xml:space="preserve">Does the Company </w:t>
      </w:r>
      <w:proofErr w:type="gramStart"/>
      <w:r w:rsidRPr="004D7861">
        <w:rPr>
          <w:b/>
          <w:bCs/>
        </w:rPr>
        <w:t>have</w:t>
      </w:r>
      <w:proofErr w:type="gramEnd"/>
      <w:r w:rsidRPr="004D7861">
        <w:rPr>
          <w:b/>
          <w:bCs/>
        </w:rPr>
        <w:t xml:space="preserve"> any analysis showing that limited income customers tend to use more electricity than </w:t>
      </w:r>
      <w:r w:rsidR="0022502F">
        <w:rPr>
          <w:b/>
          <w:bCs/>
        </w:rPr>
        <w:t>other residential</w:t>
      </w:r>
      <w:r w:rsidRPr="004D7861">
        <w:rPr>
          <w:b/>
          <w:bCs/>
        </w:rPr>
        <w:t xml:space="preserve"> customers?</w:t>
      </w:r>
    </w:p>
    <w:p w:rsidR="002C1009" w:rsidRPr="005E2247" w:rsidRDefault="004D7861" w:rsidP="005E2247">
      <w:pPr>
        <w:pStyle w:val="BodyText2"/>
        <w:tabs>
          <w:tab w:val="left" w:pos="720"/>
          <w:tab w:val="left" w:pos="1440"/>
        </w:tabs>
        <w:ind w:firstLine="720"/>
        <w:rPr>
          <w:bCs/>
        </w:rPr>
      </w:pPr>
      <w:r>
        <w:rPr>
          <w:bCs/>
        </w:rPr>
        <w:t>A.</w:t>
      </w:r>
      <w:r>
        <w:rPr>
          <w:bCs/>
        </w:rPr>
        <w:tab/>
        <w:t xml:space="preserve">Yes. The Company recently conducted </w:t>
      </w:r>
      <w:r w:rsidR="00284C92">
        <w:rPr>
          <w:bCs/>
        </w:rPr>
        <w:t xml:space="preserve">an </w:t>
      </w:r>
      <w:r>
        <w:rPr>
          <w:bCs/>
        </w:rPr>
        <w:t xml:space="preserve">analysis which shows that limited income customers, on average, do use more electricity than </w:t>
      </w:r>
      <w:r w:rsidR="0022502F">
        <w:rPr>
          <w:bCs/>
        </w:rPr>
        <w:t xml:space="preserve">other residential </w:t>
      </w:r>
      <w:r>
        <w:rPr>
          <w:bCs/>
        </w:rPr>
        <w:t xml:space="preserve">customers.  For the analysis, the Company looked at those limited income customers who received a LIHEAP or LIRAP grant during the July 2012 through June 2013 time period, and compared their annual usage to </w:t>
      </w:r>
      <w:r w:rsidR="0022502F">
        <w:rPr>
          <w:bCs/>
        </w:rPr>
        <w:t>the usage of all other residential customers</w:t>
      </w:r>
      <w:r>
        <w:rPr>
          <w:bCs/>
        </w:rPr>
        <w:t>.</w:t>
      </w:r>
      <w:r w:rsidR="0022502F">
        <w:rPr>
          <w:rStyle w:val="FootnoteReference"/>
          <w:bCs/>
        </w:rPr>
        <w:footnoteReference w:id="11"/>
      </w:r>
      <w:r>
        <w:rPr>
          <w:bCs/>
        </w:rPr>
        <w:t xml:space="preserve">  The results of the analysis are shown in the </w:t>
      </w:r>
      <w:r w:rsidR="001B0AC2">
        <w:rPr>
          <w:bCs/>
        </w:rPr>
        <w:t>Table 15</w:t>
      </w:r>
      <w:r>
        <w:rPr>
          <w:bCs/>
        </w:rPr>
        <w:t xml:space="preserve"> below:</w:t>
      </w:r>
      <w:r w:rsidR="002C1009">
        <w:rPr>
          <w:b/>
          <w:bCs/>
          <w:u w:val="single"/>
        </w:rPr>
        <w:br w:type="page"/>
      </w:r>
    </w:p>
    <w:p w:rsidR="0017074B" w:rsidRPr="002C1009" w:rsidRDefault="002C1009" w:rsidP="002C1009">
      <w:pPr>
        <w:spacing w:line="480" w:lineRule="auto"/>
        <w:jc w:val="both"/>
        <w:outlineLvl w:val="0"/>
        <w:rPr>
          <w:b/>
          <w:bCs/>
          <w:u w:val="single"/>
        </w:rPr>
      </w:pPr>
      <w:r w:rsidRPr="00A522F4">
        <w:rPr>
          <w:b/>
          <w:bCs/>
          <w:u w:val="single"/>
        </w:rPr>
        <w:lastRenderedPageBreak/>
        <w:t>Table 1</w:t>
      </w:r>
      <w:r w:rsidR="001B0AC2">
        <w:rPr>
          <w:b/>
          <w:bCs/>
          <w:u w:val="single"/>
        </w:rPr>
        <w:t>5</w:t>
      </w:r>
    </w:p>
    <w:p w:rsidR="0022502F" w:rsidRDefault="0022502F" w:rsidP="003B278C">
      <w:pPr>
        <w:pStyle w:val="BodyText2"/>
        <w:tabs>
          <w:tab w:val="left" w:pos="720"/>
          <w:tab w:val="left" w:pos="1440"/>
        </w:tabs>
        <w:ind w:firstLine="720"/>
        <w:rPr>
          <w:bCs/>
        </w:rPr>
      </w:pPr>
    </w:p>
    <w:p w:rsidR="0022502F" w:rsidRDefault="00D34F06" w:rsidP="003B278C">
      <w:pPr>
        <w:pStyle w:val="BodyText2"/>
        <w:tabs>
          <w:tab w:val="left" w:pos="720"/>
          <w:tab w:val="left" w:pos="1440"/>
        </w:tabs>
        <w:ind w:firstLine="720"/>
        <w:rPr>
          <w:bCs/>
        </w:rPr>
      </w:pPr>
      <w:r>
        <w:rPr>
          <w:bCs/>
          <w:noProof/>
        </w:rPr>
        <w:drawing>
          <wp:anchor distT="0" distB="0" distL="114300" distR="114300" simplePos="0" relativeHeight="251857408" behindDoc="1" locked="0" layoutInCell="1" allowOverlap="1">
            <wp:simplePos x="0" y="0"/>
            <wp:positionH relativeFrom="column">
              <wp:posOffset>-34925</wp:posOffset>
            </wp:positionH>
            <wp:positionV relativeFrom="paragraph">
              <wp:posOffset>8255</wp:posOffset>
            </wp:positionV>
            <wp:extent cx="6104890" cy="3279140"/>
            <wp:effectExtent l="19050" t="0" r="0" b="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6104890" cy="3279140"/>
                    </a:xfrm>
                    <a:prstGeom prst="rect">
                      <a:avLst/>
                    </a:prstGeom>
                    <a:noFill/>
                    <a:ln w="9525">
                      <a:noFill/>
                      <a:miter lim="800000"/>
                      <a:headEnd/>
                      <a:tailEnd/>
                    </a:ln>
                  </pic:spPr>
                </pic:pic>
              </a:graphicData>
            </a:graphic>
          </wp:anchor>
        </w:drawing>
      </w: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1B0AC2" w:rsidRDefault="001B0AC2" w:rsidP="003B278C">
      <w:pPr>
        <w:pStyle w:val="BodyText2"/>
        <w:tabs>
          <w:tab w:val="left" w:pos="720"/>
          <w:tab w:val="left" w:pos="1440"/>
        </w:tabs>
        <w:ind w:firstLine="720"/>
        <w:rPr>
          <w:bCs/>
        </w:rPr>
      </w:pPr>
    </w:p>
    <w:p w:rsidR="00D34F06" w:rsidRDefault="00D34F06" w:rsidP="003B278C">
      <w:pPr>
        <w:pStyle w:val="BodyText2"/>
        <w:tabs>
          <w:tab w:val="left" w:pos="720"/>
          <w:tab w:val="left" w:pos="1440"/>
        </w:tabs>
        <w:ind w:firstLine="720"/>
        <w:rPr>
          <w:bCs/>
        </w:rPr>
      </w:pPr>
    </w:p>
    <w:p w:rsidR="00D34F06" w:rsidRDefault="00D34F06" w:rsidP="003B278C">
      <w:pPr>
        <w:pStyle w:val="BodyText2"/>
        <w:tabs>
          <w:tab w:val="left" w:pos="720"/>
          <w:tab w:val="left" w:pos="1440"/>
        </w:tabs>
        <w:ind w:firstLine="720"/>
        <w:rPr>
          <w:bCs/>
        </w:rPr>
      </w:pPr>
    </w:p>
    <w:p w:rsidR="004D7861" w:rsidRDefault="004D7861" w:rsidP="003B278C">
      <w:pPr>
        <w:pStyle w:val="BodyText2"/>
        <w:tabs>
          <w:tab w:val="left" w:pos="720"/>
          <w:tab w:val="left" w:pos="1440"/>
        </w:tabs>
        <w:ind w:firstLine="720"/>
        <w:rPr>
          <w:bCs/>
        </w:rPr>
      </w:pPr>
      <w:r>
        <w:rPr>
          <w:bCs/>
        </w:rPr>
        <w:t xml:space="preserve">The analysis shows that limited income customers who only have electric service use 983 kWhs more per year than the </w:t>
      </w:r>
      <w:r w:rsidR="00CF4E3A">
        <w:rPr>
          <w:bCs/>
        </w:rPr>
        <w:t xml:space="preserve">residential </w:t>
      </w:r>
      <w:r>
        <w:rPr>
          <w:bCs/>
        </w:rPr>
        <w:t xml:space="preserve">population.  For those limited income customers who have electric and natural gas service, they </w:t>
      </w:r>
      <w:r w:rsidR="00284C92">
        <w:rPr>
          <w:bCs/>
        </w:rPr>
        <w:t xml:space="preserve">tend </w:t>
      </w:r>
      <w:r>
        <w:rPr>
          <w:bCs/>
        </w:rPr>
        <w:t>to use more electricity on an annual basis.</w:t>
      </w:r>
    </w:p>
    <w:p w:rsidR="00B17703" w:rsidRDefault="00B17703" w:rsidP="00B17703">
      <w:pPr>
        <w:pStyle w:val="BodyText2"/>
        <w:tabs>
          <w:tab w:val="left" w:pos="720"/>
          <w:tab w:val="left" w:pos="1440"/>
        </w:tabs>
        <w:ind w:firstLine="720"/>
        <w:rPr>
          <w:bCs/>
        </w:rPr>
      </w:pPr>
      <w:r>
        <w:rPr>
          <w:bCs/>
        </w:rPr>
        <w:t xml:space="preserve">This analysis shows that limited income customers may be harmed by having a rate design with a lower basic </w:t>
      </w:r>
      <w:r w:rsidRPr="00F557D5">
        <w:rPr>
          <w:bCs/>
        </w:rPr>
        <w:t xml:space="preserve">charge and </w:t>
      </w:r>
      <w:r>
        <w:rPr>
          <w:bCs/>
        </w:rPr>
        <w:t xml:space="preserve">a </w:t>
      </w:r>
      <w:r w:rsidRPr="00F557D5">
        <w:rPr>
          <w:bCs/>
        </w:rPr>
        <w:t xml:space="preserve">higher tail-block rate, as these customers are more susceptible to use in the tail-block.  A higher basic charge, on the other hand, would result in lower volumetric rates (than </w:t>
      </w:r>
      <w:r>
        <w:rPr>
          <w:bCs/>
        </w:rPr>
        <w:t xml:space="preserve">would </w:t>
      </w:r>
      <w:r w:rsidRPr="00F557D5">
        <w:rPr>
          <w:bCs/>
        </w:rPr>
        <w:t xml:space="preserve">otherwise be </w:t>
      </w:r>
      <w:r w:rsidRPr="0017074B">
        <w:rPr>
          <w:bCs/>
        </w:rPr>
        <w:t xml:space="preserve">the case), providing some relief to these high use customers during the winter months (as demonstrated </w:t>
      </w:r>
      <w:r w:rsidR="0017074B">
        <w:rPr>
          <w:bCs/>
        </w:rPr>
        <w:t xml:space="preserve">earlier </w:t>
      </w:r>
      <w:r w:rsidRPr="0017074B">
        <w:rPr>
          <w:bCs/>
        </w:rPr>
        <w:t xml:space="preserve">in Table </w:t>
      </w:r>
      <w:r w:rsidR="002C1009">
        <w:rPr>
          <w:bCs/>
        </w:rPr>
        <w:t xml:space="preserve">10 </w:t>
      </w:r>
      <w:r w:rsidRPr="0017074B">
        <w:rPr>
          <w:bCs/>
        </w:rPr>
        <w:t>where higher use customers would have less of an overall bill impact with a $15 basic charge).</w:t>
      </w:r>
    </w:p>
    <w:p w:rsidR="003B278C" w:rsidRPr="00F557D5" w:rsidRDefault="003B278C" w:rsidP="003B278C">
      <w:pPr>
        <w:pStyle w:val="BodyText2"/>
        <w:tabs>
          <w:tab w:val="left" w:pos="720"/>
          <w:tab w:val="left" w:pos="1440"/>
        </w:tabs>
        <w:rPr>
          <w:bCs/>
        </w:rPr>
      </w:pPr>
      <w:r w:rsidRPr="00F557D5">
        <w:rPr>
          <w:b/>
          <w:bCs/>
        </w:rPr>
        <w:lastRenderedPageBreak/>
        <w:tab/>
        <w:t>Q.</w:t>
      </w:r>
      <w:r w:rsidRPr="00F557D5">
        <w:rPr>
          <w:b/>
          <w:bCs/>
        </w:rPr>
        <w:tab/>
        <w:t>What are the implications for limited income natural gas customers?</w:t>
      </w:r>
    </w:p>
    <w:p w:rsidR="003B278C" w:rsidRPr="0050216C" w:rsidRDefault="003B278C" w:rsidP="003B278C">
      <w:pPr>
        <w:pStyle w:val="BodyText2"/>
        <w:tabs>
          <w:tab w:val="left" w:pos="720"/>
          <w:tab w:val="left" w:pos="1440"/>
        </w:tabs>
        <w:rPr>
          <w:bCs/>
        </w:rPr>
      </w:pPr>
      <w:r w:rsidRPr="00F557D5">
        <w:rPr>
          <w:bCs/>
        </w:rPr>
        <w:tab/>
        <w:t xml:space="preserve">A.  </w:t>
      </w:r>
      <w:r w:rsidRPr="00F557D5">
        <w:rPr>
          <w:bCs/>
        </w:rPr>
        <w:tab/>
        <w:t>Average</w:t>
      </w:r>
      <w:r>
        <w:rPr>
          <w:bCs/>
        </w:rPr>
        <w:t>-</w:t>
      </w:r>
      <w:r w:rsidRPr="00F557D5">
        <w:rPr>
          <w:bCs/>
        </w:rPr>
        <w:t xml:space="preserve">use limited income natural gas customers would tend to pay slightly higher natural gas bills </w:t>
      </w:r>
      <w:r>
        <w:rPr>
          <w:bCs/>
        </w:rPr>
        <w:t>under the Company’s proposed rate design (i.e., $1</w:t>
      </w:r>
      <w:r w:rsidR="00B17703">
        <w:rPr>
          <w:bCs/>
        </w:rPr>
        <w:t>2</w:t>
      </w:r>
      <w:r>
        <w:rPr>
          <w:bCs/>
        </w:rPr>
        <w:t xml:space="preserve"> basic charge) than if the basic charge and volumetric rate were increased by a uniform or equal percentage.  </w:t>
      </w:r>
      <w:r w:rsidRPr="00F557D5">
        <w:rPr>
          <w:bCs/>
        </w:rPr>
        <w:t xml:space="preserve">Data gathered as part of the review of the Company’s </w:t>
      </w:r>
      <w:r>
        <w:rPr>
          <w:bCs/>
        </w:rPr>
        <w:t>N</w:t>
      </w:r>
      <w:r w:rsidRPr="00F557D5">
        <w:rPr>
          <w:bCs/>
        </w:rPr>
        <w:t xml:space="preserve">atural </w:t>
      </w:r>
      <w:r>
        <w:rPr>
          <w:bCs/>
        </w:rPr>
        <w:t>G</w:t>
      </w:r>
      <w:r w:rsidRPr="00F557D5">
        <w:rPr>
          <w:bCs/>
        </w:rPr>
        <w:t xml:space="preserve">as Decoupling Mechanism showed that limited income natural </w:t>
      </w:r>
      <w:r w:rsidRPr="0017074B">
        <w:rPr>
          <w:bCs/>
        </w:rPr>
        <w:t>gas customers tend to use slightly less natural gas (58 therms per month</w:t>
      </w:r>
      <w:r w:rsidRPr="0017074B">
        <w:rPr>
          <w:rStyle w:val="FootnoteReference"/>
          <w:bCs/>
        </w:rPr>
        <w:footnoteReference w:id="12"/>
      </w:r>
      <w:r w:rsidRPr="0017074B">
        <w:rPr>
          <w:bCs/>
        </w:rPr>
        <w:t>) than the residential customer</w:t>
      </w:r>
      <w:r w:rsidR="001B0AC2">
        <w:rPr>
          <w:bCs/>
        </w:rPr>
        <w:t xml:space="preserve"> population</w:t>
      </w:r>
      <w:r w:rsidRPr="0017074B">
        <w:rPr>
          <w:bCs/>
        </w:rPr>
        <w:t xml:space="preserve"> (6</w:t>
      </w:r>
      <w:r w:rsidR="0017074B" w:rsidRPr="0017074B">
        <w:rPr>
          <w:bCs/>
        </w:rPr>
        <w:t>5</w:t>
      </w:r>
      <w:r w:rsidRPr="0017074B">
        <w:rPr>
          <w:bCs/>
        </w:rPr>
        <w:t xml:space="preserve"> therms per month).  As shown in Table </w:t>
      </w:r>
      <w:r w:rsidR="002C1009">
        <w:rPr>
          <w:bCs/>
        </w:rPr>
        <w:t>1</w:t>
      </w:r>
      <w:r w:rsidR="001B0AC2">
        <w:rPr>
          <w:bCs/>
        </w:rPr>
        <w:t>6</w:t>
      </w:r>
      <w:r w:rsidRPr="0017074B">
        <w:rPr>
          <w:bCs/>
        </w:rPr>
        <w:t xml:space="preserve"> below, while there is an impact, it is relatively </w:t>
      </w:r>
      <w:r w:rsidRPr="0017074B">
        <w:rPr>
          <w:bCs/>
          <w:u w:val="single"/>
        </w:rPr>
        <w:t>small</w:t>
      </w:r>
      <w:r w:rsidRPr="0017074B">
        <w:rPr>
          <w:bCs/>
        </w:rPr>
        <w:t xml:space="preserve"> both on a dollar and percentage basis (between 0.</w:t>
      </w:r>
      <w:r w:rsidR="0017074B" w:rsidRPr="0017074B">
        <w:rPr>
          <w:bCs/>
        </w:rPr>
        <w:t>2</w:t>
      </w:r>
      <w:r w:rsidRPr="0017074B">
        <w:rPr>
          <w:bCs/>
        </w:rPr>
        <w:t>% and 0.</w:t>
      </w:r>
      <w:r w:rsidR="0017074B" w:rsidRPr="0017074B">
        <w:rPr>
          <w:bCs/>
        </w:rPr>
        <w:t>8</w:t>
      </w:r>
      <w:r w:rsidRPr="0017074B">
        <w:rPr>
          <w:bCs/>
        </w:rPr>
        <w:t>%).</w:t>
      </w:r>
    </w:p>
    <w:p w:rsidR="00F10C1F" w:rsidRPr="0050216C" w:rsidRDefault="00F10C1F" w:rsidP="00F10C1F">
      <w:pPr>
        <w:pStyle w:val="BodyText2"/>
        <w:tabs>
          <w:tab w:val="left" w:pos="810"/>
          <w:tab w:val="left" w:pos="1440"/>
        </w:tabs>
        <w:jc w:val="left"/>
        <w:outlineLvl w:val="0"/>
        <w:rPr>
          <w:b/>
          <w:bCs/>
          <w:u w:val="single"/>
        </w:rPr>
      </w:pPr>
      <w:r w:rsidRPr="0050216C">
        <w:rPr>
          <w:b/>
          <w:bCs/>
          <w:u w:val="single"/>
        </w:rPr>
        <w:t>Table</w:t>
      </w:r>
      <w:r w:rsidR="001B0AC2">
        <w:rPr>
          <w:b/>
          <w:bCs/>
          <w:u w:val="single"/>
        </w:rPr>
        <w:t xml:space="preserve"> 16</w:t>
      </w:r>
    </w:p>
    <w:p w:rsidR="00F10C1F" w:rsidRPr="00D6449A" w:rsidRDefault="0017074B" w:rsidP="00F10C1F">
      <w:pPr>
        <w:pStyle w:val="BodyText2"/>
        <w:tabs>
          <w:tab w:val="left" w:pos="810"/>
          <w:tab w:val="left" w:pos="1440"/>
        </w:tabs>
        <w:rPr>
          <w:bCs/>
          <w:highlight w:val="yellow"/>
        </w:rPr>
      </w:pPr>
      <w:r w:rsidRPr="0017074B">
        <w:rPr>
          <w:noProof/>
        </w:rPr>
        <w:drawing>
          <wp:anchor distT="0" distB="0" distL="114300" distR="114300" simplePos="0" relativeHeight="251874816" behindDoc="1" locked="0" layoutInCell="1" allowOverlap="1">
            <wp:simplePos x="0" y="0"/>
            <wp:positionH relativeFrom="column">
              <wp:posOffset>20955</wp:posOffset>
            </wp:positionH>
            <wp:positionV relativeFrom="paragraph">
              <wp:posOffset>22860</wp:posOffset>
            </wp:positionV>
            <wp:extent cx="5669280" cy="1123950"/>
            <wp:effectExtent l="19050" t="0" r="7620" b="0"/>
            <wp:wrapNone/>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5669280" cy="1123950"/>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Cs/>
          <w:highlight w:val="yellow"/>
        </w:rPr>
      </w:pPr>
    </w:p>
    <w:p w:rsidR="00F10C1F" w:rsidRPr="00D6449A" w:rsidRDefault="00F10C1F" w:rsidP="00F10C1F">
      <w:pPr>
        <w:spacing w:line="480" w:lineRule="auto"/>
        <w:rPr>
          <w:highlight w:val="yellow"/>
        </w:rPr>
      </w:pPr>
    </w:p>
    <w:p w:rsidR="00B220C2" w:rsidRPr="005410BB" w:rsidRDefault="00F10C1F" w:rsidP="005410BB">
      <w:pPr>
        <w:pStyle w:val="BodyText2"/>
        <w:tabs>
          <w:tab w:val="left" w:pos="720"/>
          <w:tab w:val="left" w:pos="1440"/>
        </w:tabs>
        <w:rPr>
          <w:b/>
          <w:bCs/>
        </w:rPr>
      </w:pPr>
      <w:r w:rsidRPr="00F557D5">
        <w:rPr>
          <w:b/>
          <w:bCs/>
        </w:rPr>
        <w:tab/>
      </w:r>
    </w:p>
    <w:p w:rsidR="005410BB" w:rsidRDefault="005410BB" w:rsidP="00882549">
      <w:pPr>
        <w:pStyle w:val="P267"/>
        <w:tabs>
          <w:tab w:val="clear" w:pos="360"/>
          <w:tab w:val="left" w:pos="0"/>
        </w:tabs>
        <w:ind w:left="0"/>
        <w:jc w:val="center"/>
        <w:rPr>
          <w:rFonts w:ascii="Times New Roman" w:hAnsi="Times New Roman" w:cs="Times New Roman"/>
        </w:rPr>
      </w:pPr>
    </w:p>
    <w:p w:rsidR="00882549" w:rsidRPr="00B361D5" w:rsidRDefault="00882549" w:rsidP="00882549">
      <w:pPr>
        <w:pStyle w:val="P267"/>
        <w:tabs>
          <w:tab w:val="clear" w:pos="360"/>
          <w:tab w:val="left" w:pos="0"/>
        </w:tabs>
        <w:ind w:left="0"/>
        <w:jc w:val="center"/>
        <w:rPr>
          <w:rFonts w:ascii="Times New Roman" w:hAnsi="Times New Roman" w:cs="Times New Roman"/>
        </w:rPr>
      </w:pPr>
      <w:r w:rsidRPr="00B361D5">
        <w:rPr>
          <w:rFonts w:ascii="Times New Roman" w:hAnsi="Times New Roman" w:cs="Times New Roman"/>
        </w:rPr>
        <w:t>VI</w:t>
      </w:r>
      <w:proofErr w:type="gramStart"/>
      <w:r w:rsidRPr="00B361D5">
        <w:rPr>
          <w:rFonts w:ascii="Times New Roman" w:hAnsi="Times New Roman" w:cs="Times New Roman"/>
        </w:rPr>
        <w:t xml:space="preserve">.  </w:t>
      </w:r>
      <w:r w:rsidR="00802819" w:rsidRPr="00B361D5">
        <w:rPr>
          <w:rFonts w:ascii="Times New Roman" w:hAnsi="Times New Roman" w:cs="Times New Roman"/>
        </w:rPr>
        <w:t>DSM</w:t>
      </w:r>
      <w:proofErr w:type="gramEnd"/>
      <w:r w:rsidR="00802819" w:rsidRPr="00B361D5">
        <w:rPr>
          <w:rFonts w:ascii="Times New Roman" w:hAnsi="Times New Roman" w:cs="Times New Roman"/>
        </w:rPr>
        <w:t xml:space="preserve"> </w:t>
      </w:r>
      <w:r w:rsidR="00185D46" w:rsidRPr="00B361D5">
        <w:rPr>
          <w:rFonts w:ascii="Times New Roman" w:hAnsi="Times New Roman" w:cs="Times New Roman"/>
        </w:rPr>
        <w:t xml:space="preserve">COMPONENT OF THE </w:t>
      </w:r>
      <w:r w:rsidR="009577D0">
        <w:rPr>
          <w:rFonts w:ascii="Times New Roman" w:hAnsi="Times New Roman" w:cs="Times New Roman"/>
        </w:rPr>
        <w:t>PRO FORMA CROSS CHECK STUDY</w:t>
      </w:r>
    </w:p>
    <w:p w:rsidR="00872D83" w:rsidRPr="00AD7E0C" w:rsidRDefault="00872D83" w:rsidP="00872D83">
      <w:pPr>
        <w:spacing w:line="480" w:lineRule="auto"/>
        <w:ind w:firstLine="720"/>
        <w:jc w:val="both"/>
        <w:rPr>
          <w:b/>
        </w:rPr>
      </w:pPr>
      <w:proofErr w:type="gramStart"/>
      <w:r w:rsidRPr="00B361D5">
        <w:rPr>
          <w:b/>
        </w:rPr>
        <w:t>Q.</w:t>
      </w:r>
      <w:r w:rsidRPr="00B361D5">
        <w:rPr>
          <w:b/>
        </w:rPr>
        <w:tab/>
        <w:t xml:space="preserve">Would you briefly describe the Company's DSM </w:t>
      </w:r>
      <w:r w:rsidR="00772721" w:rsidRPr="00B361D5">
        <w:rPr>
          <w:b/>
        </w:rPr>
        <w:t>Component</w:t>
      </w:r>
      <w:r w:rsidR="00185D46" w:rsidRPr="00B361D5">
        <w:rPr>
          <w:b/>
        </w:rPr>
        <w:t xml:space="preserve"> of the </w:t>
      </w:r>
      <w:r w:rsidR="009577D0" w:rsidRPr="009577D0">
        <w:rPr>
          <w:b/>
        </w:rPr>
        <w:t>Pro Forma Cross Check Study</w:t>
      </w:r>
      <w:r w:rsidRPr="00B361D5">
        <w:rPr>
          <w:b/>
        </w:rPr>
        <w:t>?</w:t>
      </w:r>
      <w:proofErr w:type="gramEnd"/>
    </w:p>
    <w:p w:rsidR="00872D83" w:rsidRDefault="00872D83" w:rsidP="00872D83">
      <w:pPr>
        <w:spacing w:line="480" w:lineRule="auto"/>
        <w:ind w:firstLine="720"/>
        <w:jc w:val="both"/>
      </w:pPr>
      <w:r w:rsidRPr="00AD7E0C">
        <w:t>A.</w:t>
      </w:r>
      <w:r w:rsidRPr="00AD7E0C">
        <w:tab/>
        <w:t xml:space="preserve">Yes.  </w:t>
      </w:r>
      <w:r w:rsidR="00CF4E3A">
        <w:t>O</w:t>
      </w:r>
      <w:r w:rsidR="00B361D5">
        <w:t>ne of the reasons Avista is experiencing attrition is due to our success in assisting our customers with electric energy efficiency through our Demand Side Management (DSM) programs.  This portion of my testimony will quantify how much of Avista’s attrition problem is being cause</w:t>
      </w:r>
      <w:r w:rsidR="00F04E95">
        <w:t>d</w:t>
      </w:r>
      <w:r w:rsidR="00B361D5">
        <w:t xml:space="preserve"> by electric energy savings through DSM.</w:t>
      </w:r>
    </w:p>
    <w:p w:rsidR="009577D0" w:rsidRPr="00AD7E0C" w:rsidRDefault="009577D0" w:rsidP="00872D83">
      <w:pPr>
        <w:spacing w:line="480" w:lineRule="auto"/>
        <w:ind w:firstLine="720"/>
        <w:jc w:val="both"/>
      </w:pPr>
      <w:r>
        <w:lastRenderedPageBreak/>
        <w:t>Avista’s proposed electric and natural gas revenue increases in this filing are based on its Attrition Study, and the resulting Attrition Adjustment.  As we have explained in our filing, Avista is experiencing attrition because investment in plant and operating costs are growing at a faster rate than revenue.  One of the reasons for slow revenue growth is the reduced sales from our DSM programs.  Ms. Andrews explains the Pro Forma Cross Check Study the Company has provided in this filing, which identifies the various components of the changes in rate base, operating costs, and revenues from the historical test year to the 2015 rate year.   This calculation of DSM lost margin represents one of the components of the Pro Forma Cross Check analysis, and is part of the explanation of why utility costs are growing faster than revenues.</w:t>
      </w:r>
    </w:p>
    <w:p w:rsidR="00B361D5" w:rsidRPr="00AD7E0C" w:rsidRDefault="00B361D5" w:rsidP="00B361D5">
      <w:pPr>
        <w:spacing w:line="480" w:lineRule="auto"/>
        <w:ind w:firstLine="720"/>
        <w:jc w:val="both"/>
        <w:rPr>
          <w:b/>
        </w:rPr>
      </w:pPr>
      <w:r w:rsidRPr="00AD7E0C">
        <w:rPr>
          <w:b/>
        </w:rPr>
        <w:t>Q.</w:t>
      </w:r>
      <w:r w:rsidRPr="00AD7E0C">
        <w:rPr>
          <w:b/>
        </w:rPr>
        <w:tab/>
      </w:r>
      <w:r>
        <w:rPr>
          <w:b/>
        </w:rPr>
        <w:t>How did you go about quantifying this component</w:t>
      </w:r>
      <w:r w:rsidRPr="00AD7E0C">
        <w:rPr>
          <w:b/>
        </w:rPr>
        <w:t>?</w:t>
      </w:r>
    </w:p>
    <w:p w:rsidR="000844DB" w:rsidRDefault="00B361D5" w:rsidP="00B03DF0">
      <w:pPr>
        <w:spacing w:line="480" w:lineRule="auto"/>
        <w:ind w:firstLine="720"/>
        <w:jc w:val="both"/>
      </w:pPr>
      <w:r w:rsidRPr="00AD7E0C">
        <w:t>A.</w:t>
      </w:r>
      <w:r w:rsidRPr="00AD7E0C">
        <w:tab/>
      </w:r>
      <w:r w:rsidR="000844DB">
        <w:t xml:space="preserve">As I will describe in further detail later in my testimony, the Company calculated the DSM </w:t>
      </w:r>
      <w:r w:rsidR="00A64306">
        <w:t>C</w:t>
      </w:r>
      <w:r w:rsidR="000844DB">
        <w:t xml:space="preserve">omponent of the </w:t>
      </w:r>
      <w:r w:rsidR="009577D0" w:rsidRPr="009577D0">
        <w:t>Pro Forma Cross Check Study</w:t>
      </w:r>
      <w:r w:rsidR="009577D0">
        <w:t xml:space="preserve"> </w:t>
      </w:r>
      <w:r w:rsidR="000844DB">
        <w:t xml:space="preserve">using the electric DSM savings for </w:t>
      </w:r>
      <w:r w:rsidR="00E726ED">
        <w:t xml:space="preserve">2012 </w:t>
      </w:r>
      <w:r w:rsidR="000844DB">
        <w:t xml:space="preserve">through </w:t>
      </w:r>
      <w:r w:rsidR="00E726ED">
        <w:t>2015</w:t>
      </w:r>
      <w:r w:rsidR="000844DB">
        <w:t>.  This is consistent with Company witness M</w:t>
      </w:r>
      <w:r w:rsidR="002079A8">
        <w:t>s</w:t>
      </w:r>
      <w:r w:rsidR="000844DB">
        <w:t xml:space="preserve">. </w:t>
      </w:r>
      <w:r w:rsidR="002079A8">
        <w:t>Andrews’</w:t>
      </w:r>
      <w:r w:rsidR="000844DB">
        <w:t xml:space="preserve"> attrition analysis which covered the </w:t>
      </w:r>
      <w:r w:rsidR="00E726ED">
        <w:t xml:space="preserve">12-months ending June 2013 </w:t>
      </w:r>
      <w:r w:rsidR="000844DB">
        <w:t xml:space="preserve">historical test year </w:t>
      </w:r>
      <w:r w:rsidR="00F04E95">
        <w:t>through</w:t>
      </w:r>
      <w:r w:rsidR="000844DB">
        <w:t xml:space="preserve"> the </w:t>
      </w:r>
      <w:r w:rsidR="00E726ED">
        <w:t xml:space="preserve">2015 </w:t>
      </w:r>
      <w:r w:rsidR="00DE33BF">
        <w:t>rate</w:t>
      </w:r>
      <w:r w:rsidR="000844DB">
        <w:t xml:space="preserve"> period.  </w:t>
      </w:r>
    </w:p>
    <w:p w:rsidR="00B03DF0" w:rsidRDefault="00CF4E3A" w:rsidP="00B03DF0">
      <w:pPr>
        <w:spacing w:line="480" w:lineRule="auto"/>
        <w:ind w:firstLine="720"/>
        <w:jc w:val="both"/>
      </w:pPr>
      <w:r>
        <w:t>I</w:t>
      </w:r>
      <w:r w:rsidR="00B03DF0" w:rsidRPr="00B952E0">
        <w:rPr>
          <w:rStyle w:val="LineNumber"/>
        </w:rPr>
        <w:t xml:space="preserve">n a general rate case we begin with historical test period </w:t>
      </w:r>
      <w:r w:rsidR="00B03DF0">
        <w:rPr>
          <w:rStyle w:val="LineNumber"/>
        </w:rPr>
        <w:t>kWh</w:t>
      </w:r>
      <w:r w:rsidR="00B03DF0" w:rsidRPr="00B952E0">
        <w:rPr>
          <w:rStyle w:val="LineNumber"/>
        </w:rPr>
        <w:t xml:space="preserve"> sales</w:t>
      </w:r>
      <w:r w:rsidR="000844DB">
        <w:rPr>
          <w:rStyle w:val="LineNumber"/>
        </w:rPr>
        <w:t xml:space="preserve"> (</w:t>
      </w:r>
      <w:r w:rsidR="00E726ED">
        <w:rPr>
          <w:rStyle w:val="LineNumber"/>
        </w:rPr>
        <w:t>12-months ending June 2013</w:t>
      </w:r>
      <w:r w:rsidR="000844DB">
        <w:rPr>
          <w:rStyle w:val="LineNumber"/>
        </w:rPr>
        <w:t>)</w:t>
      </w:r>
      <w:r w:rsidR="00B03DF0" w:rsidRPr="00B952E0">
        <w:rPr>
          <w:rStyle w:val="LineNumber"/>
        </w:rPr>
        <w:t xml:space="preserve">, and then </w:t>
      </w:r>
      <w:r w:rsidR="00A64306">
        <w:rPr>
          <w:rStyle w:val="LineNumber"/>
        </w:rPr>
        <w:t>a</w:t>
      </w:r>
      <w:r w:rsidR="00B03DF0" w:rsidRPr="00B952E0">
        <w:rPr>
          <w:rStyle w:val="LineNumber"/>
        </w:rPr>
        <w:t>ssume that all of those historical retail sales, and revenues, continue into</w:t>
      </w:r>
      <w:r w:rsidR="00B03DF0">
        <w:rPr>
          <w:rStyle w:val="LineNumber"/>
        </w:rPr>
        <w:t xml:space="preserve"> the future rate year.  </w:t>
      </w:r>
      <w:r w:rsidR="009F5837">
        <w:rPr>
          <w:rStyle w:val="LineNumber"/>
        </w:rPr>
        <w:t>W</w:t>
      </w:r>
      <w:r w:rsidR="000844DB">
        <w:rPr>
          <w:rStyle w:val="LineNumber"/>
        </w:rPr>
        <w:t>e</w:t>
      </w:r>
      <w:r w:rsidR="00B03DF0" w:rsidRPr="00B952E0">
        <w:rPr>
          <w:rStyle w:val="LineNumber"/>
        </w:rPr>
        <w:t xml:space="preserve"> know with certainty</w:t>
      </w:r>
      <w:r w:rsidR="009F5837">
        <w:rPr>
          <w:rStyle w:val="LineNumber"/>
        </w:rPr>
        <w:t>, however,</w:t>
      </w:r>
      <w:r w:rsidR="00B03DF0" w:rsidRPr="00B952E0">
        <w:rPr>
          <w:rStyle w:val="LineNumber"/>
        </w:rPr>
        <w:t xml:space="preserve"> that part of </w:t>
      </w:r>
      <w:r w:rsidR="00DE33BF">
        <w:rPr>
          <w:rStyle w:val="LineNumber"/>
        </w:rPr>
        <w:t>that</w:t>
      </w:r>
      <w:r w:rsidR="009F5837">
        <w:rPr>
          <w:rStyle w:val="LineNumber"/>
        </w:rPr>
        <w:t xml:space="preserve"> </w:t>
      </w:r>
      <w:r w:rsidR="00B03DF0" w:rsidRPr="00B952E0">
        <w:rPr>
          <w:rStyle w:val="LineNumber"/>
        </w:rPr>
        <w:t>revenue will not occur, because customers have taken steps to use less energy</w:t>
      </w:r>
      <w:r w:rsidR="00B03DF0">
        <w:t>.  This is a known change in revenues following the test year</w:t>
      </w:r>
      <w:r w:rsidR="000844DB">
        <w:t xml:space="preserve"> (</w:t>
      </w:r>
      <w:r w:rsidR="00E726ED">
        <w:rPr>
          <w:rStyle w:val="LineNumber"/>
        </w:rPr>
        <w:t>12-months ending June 2013</w:t>
      </w:r>
      <w:r w:rsidR="000844DB">
        <w:t>)</w:t>
      </w:r>
      <w:r w:rsidR="00B03DF0">
        <w:t xml:space="preserve">, and if that reduction is not reflected in the ratemaking process, then the Company will face earnings attrition.  In essence, without an adjustment to reflect these required savings, you start from </w:t>
      </w:r>
      <w:r w:rsidR="00B03DF0">
        <w:lastRenderedPageBreak/>
        <w:t>“day one,” after new rates are set, knowing that you will not receive the amount of revenue the rates were designed to recover</w:t>
      </w:r>
      <w:r w:rsidR="005410BB">
        <w:t>,</w:t>
      </w:r>
      <w:r w:rsidR="00B03DF0">
        <w:t xml:space="preserve"> because the kWh sales to existing customers following the test year will be less</w:t>
      </w:r>
      <w:r w:rsidR="009F5837">
        <w:t xml:space="preserve"> than they otherwise would have been</w:t>
      </w:r>
      <w:r w:rsidR="00B03DF0">
        <w:t xml:space="preserve">. </w:t>
      </w:r>
    </w:p>
    <w:p w:rsidR="00A06D3D" w:rsidRPr="00F540CD" w:rsidRDefault="00A06D3D" w:rsidP="00A06D3D">
      <w:pPr>
        <w:ind w:right="-324"/>
        <w:jc w:val="both"/>
        <w:rPr>
          <w:b/>
          <w:u w:val="single"/>
        </w:rPr>
      </w:pPr>
      <w:r w:rsidRPr="00F540CD">
        <w:rPr>
          <w:b/>
          <w:u w:val="single"/>
        </w:rPr>
        <w:t xml:space="preserve">Illustration </w:t>
      </w:r>
      <w:r w:rsidR="002E7F3A">
        <w:rPr>
          <w:b/>
          <w:u w:val="single"/>
        </w:rPr>
        <w:t>No. 4</w:t>
      </w:r>
      <w:r w:rsidRPr="00F540CD">
        <w:rPr>
          <w:b/>
          <w:u w:val="single"/>
        </w:rPr>
        <w:t>:</w:t>
      </w:r>
    </w:p>
    <w:tbl>
      <w:tblPr>
        <w:tblW w:w="8792" w:type="dxa"/>
        <w:tblInd w:w="91" w:type="dxa"/>
        <w:tblLook w:val="04A0"/>
      </w:tblPr>
      <w:tblGrid>
        <w:gridCol w:w="272"/>
        <w:gridCol w:w="1420"/>
        <w:gridCol w:w="1420"/>
        <w:gridCol w:w="1420"/>
        <w:gridCol w:w="1420"/>
        <w:gridCol w:w="1420"/>
        <w:gridCol w:w="1420"/>
      </w:tblGrid>
      <w:tr w:rsidR="00A06D3D" w:rsidRPr="00F540CD" w:rsidTr="004034D5">
        <w:trPr>
          <w:trHeight w:val="375"/>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r w:rsidRPr="00F540CD">
              <w:rPr>
                <w:sz w:val="20"/>
                <w:szCs w:val="20"/>
              </w:rPr>
              <w:t> </w:t>
            </w:r>
          </w:p>
        </w:tc>
        <w:tc>
          <w:tcPr>
            <w:tcW w:w="8520" w:type="dxa"/>
            <w:gridSpan w:val="6"/>
            <w:tcBorders>
              <w:top w:val="nil"/>
              <w:left w:val="nil"/>
              <w:bottom w:val="nil"/>
              <w:right w:val="nil"/>
            </w:tcBorders>
            <w:shd w:val="clear" w:color="000000" w:fill="FFFFFF"/>
            <w:noWrap/>
            <w:vAlign w:val="bottom"/>
          </w:tcPr>
          <w:p w:rsidR="00A06D3D" w:rsidRPr="00F540CD" w:rsidRDefault="00A06D3D" w:rsidP="004034D5">
            <w:pPr>
              <w:autoSpaceDE/>
              <w:jc w:val="center"/>
              <w:rPr>
                <w:b/>
                <w:bCs/>
                <w:sz w:val="28"/>
                <w:szCs w:val="28"/>
              </w:rPr>
            </w:pPr>
            <w:r w:rsidRPr="00F540CD">
              <w:rPr>
                <w:b/>
                <w:bCs/>
                <w:sz w:val="28"/>
                <w:szCs w:val="28"/>
              </w:rPr>
              <w:t>TIMELINE</w:t>
            </w:r>
          </w:p>
        </w:tc>
      </w:tr>
      <w:tr w:rsidR="00A06D3D" w:rsidRPr="00F540CD" w:rsidTr="004034D5">
        <w:trPr>
          <w:trHeight w:val="315"/>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r w:rsidRPr="00F540CD">
              <w:rPr>
                <w:sz w:val="20"/>
                <w:szCs w:val="20"/>
              </w:rPr>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r>
      <w:tr w:rsidR="00A06D3D" w:rsidRPr="00F540CD" w:rsidTr="004034D5">
        <w:trPr>
          <w:trHeight w:val="330"/>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r w:rsidRPr="00F540CD">
              <w:rPr>
                <w:sz w:val="20"/>
                <w:szCs w:val="20"/>
              </w:rPr>
              <w:t> </w:t>
            </w:r>
          </w:p>
        </w:tc>
        <w:tc>
          <w:tcPr>
            <w:tcW w:w="2840" w:type="dxa"/>
            <w:gridSpan w:val="2"/>
            <w:tcBorders>
              <w:top w:val="nil"/>
              <w:left w:val="nil"/>
              <w:bottom w:val="single" w:sz="8" w:space="0" w:color="auto"/>
              <w:right w:val="nil"/>
            </w:tcBorders>
            <w:shd w:val="clear" w:color="000000" w:fill="FFFFFF"/>
            <w:noWrap/>
            <w:vAlign w:val="bottom"/>
          </w:tcPr>
          <w:p w:rsidR="00A06D3D" w:rsidRPr="00F540CD" w:rsidRDefault="00A06D3D" w:rsidP="004034D5">
            <w:pPr>
              <w:autoSpaceDE/>
              <w:jc w:val="center"/>
              <w:rPr>
                <w:b/>
                <w:bCs/>
              </w:rPr>
            </w:pPr>
            <w:r>
              <w:rPr>
                <w:b/>
                <w:bCs/>
              </w:rPr>
              <w:t>June 2013</w:t>
            </w:r>
          </w:p>
        </w:tc>
        <w:tc>
          <w:tcPr>
            <w:tcW w:w="2840" w:type="dxa"/>
            <w:gridSpan w:val="2"/>
            <w:tcBorders>
              <w:top w:val="nil"/>
              <w:left w:val="nil"/>
              <w:bottom w:val="single" w:sz="8" w:space="0" w:color="auto"/>
              <w:right w:val="nil"/>
            </w:tcBorders>
            <w:shd w:val="clear" w:color="000000" w:fill="FFFFFF"/>
            <w:noWrap/>
            <w:vAlign w:val="bottom"/>
          </w:tcPr>
          <w:p w:rsidR="00A06D3D" w:rsidRPr="00F540CD" w:rsidRDefault="00A06D3D" w:rsidP="00A06D3D">
            <w:pPr>
              <w:autoSpaceDE/>
              <w:jc w:val="center"/>
              <w:rPr>
                <w:b/>
                <w:bCs/>
              </w:rPr>
            </w:pPr>
            <w:r w:rsidRPr="00F540CD">
              <w:rPr>
                <w:b/>
                <w:bCs/>
              </w:rPr>
              <w:t>2</w:t>
            </w:r>
            <w:r>
              <w:rPr>
                <w:b/>
                <w:bCs/>
              </w:rPr>
              <w:t>014</w:t>
            </w:r>
          </w:p>
        </w:tc>
        <w:tc>
          <w:tcPr>
            <w:tcW w:w="2840" w:type="dxa"/>
            <w:gridSpan w:val="2"/>
            <w:tcBorders>
              <w:top w:val="nil"/>
              <w:left w:val="nil"/>
              <w:bottom w:val="single" w:sz="8" w:space="0" w:color="auto"/>
              <w:right w:val="nil"/>
            </w:tcBorders>
            <w:shd w:val="clear" w:color="000000" w:fill="FFFFFF"/>
            <w:noWrap/>
            <w:vAlign w:val="bottom"/>
          </w:tcPr>
          <w:p w:rsidR="00A06D3D" w:rsidRPr="00F540CD" w:rsidRDefault="00A06D3D" w:rsidP="00A06D3D">
            <w:pPr>
              <w:autoSpaceDE/>
              <w:jc w:val="center"/>
              <w:rPr>
                <w:b/>
                <w:bCs/>
              </w:rPr>
            </w:pPr>
            <w:r w:rsidRPr="00F540CD">
              <w:rPr>
                <w:b/>
                <w:bCs/>
              </w:rPr>
              <w:t>20</w:t>
            </w:r>
            <w:r>
              <w:rPr>
                <w:b/>
                <w:bCs/>
              </w:rPr>
              <w:t>15</w:t>
            </w:r>
          </w:p>
        </w:tc>
      </w:tr>
      <w:tr w:rsidR="00A06D3D" w:rsidRPr="00F540CD" w:rsidTr="004034D5">
        <w:trPr>
          <w:trHeight w:val="240"/>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r w:rsidRPr="00F540CD">
              <w:rPr>
                <w:sz w:val="20"/>
                <w:szCs w:val="20"/>
              </w:rPr>
              <w:t> </w:t>
            </w:r>
          </w:p>
        </w:tc>
        <w:tc>
          <w:tcPr>
            <w:tcW w:w="1420" w:type="dxa"/>
            <w:tcBorders>
              <w:top w:val="nil"/>
              <w:left w:val="single" w:sz="8" w:space="0" w:color="auto"/>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single" w:sz="8" w:space="0" w:color="auto"/>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single" w:sz="8" w:space="0" w:color="auto"/>
              <w:bottom w:val="nil"/>
              <w:right w:val="nil"/>
            </w:tcBorders>
            <w:shd w:val="clear" w:color="000000" w:fill="FFFFFF"/>
            <w:noWrap/>
            <w:vAlign w:val="bottom"/>
          </w:tcPr>
          <w:p w:rsidR="00A06D3D" w:rsidRPr="00F540CD" w:rsidRDefault="00A06D3D" w:rsidP="004034D5">
            <w:pPr>
              <w:autoSpaceDE/>
            </w:pPr>
            <w:r w:rsidRPr="00F540CD">
              <w:t> </w:t>
            </w:r>
          </w:p>
        </w:tc>
        <w:tc>
          <w:tcPr>
            <w:tcW w:w="1420" w:type="dxa"/>
            <w:tcBorders>
              <w:top w:val="nil"/>
              <w:left w:val="nil"/>
              <w:bottom w:val="nil"/>
              <w:right w:val="single" w:sz="8" w:space="0" w:color="auto"/>
            </w:tcBorders>
            <w:shd w:val="clear" w:color="000000" w:fill="FFFFFF"/>
            <w:noWrap/>
            <w:vAlign w:val="bottom"/>
          </w:tcPr>
          <w:p w:rsidR="00A06D3D" w:rsidRPr="00F540CD" w:rsidRDefault="00A06D3D" w:rsidP="004034D5">
            <w:pPr>
              <w:autoSpaceDE/>
            </w:pPr>
            <w:r w:rsidRPr="00F540CD">
              <w:t> </w:t>
            </w:r>
          </w:p>
        </w:tc>
      </w:tr>
      <w:tr w:rsidR="00A06D3D" w:rsidRPr="00F540CD" w:rsidTr="004034D5">
        <w:trPr>
          <w:trHeight w:val="240"/>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r w:rsidRPr="00F540CD">
              <w:rPr>
                <w:sz w:val="20"/>
                <w:szCs w:val="20"/>
              </w:rPr>
              <w:t> </w:t>
            </w:r>
          </w:p>
        </w:tc>
        <w:tc>
          <w:tcPr>
            <w:tcW w:w="2840" w:type="dxa"/>
            <w:gridSpan w:val="2"/>
            <w:tcBorders>
              <w:top w:val="nil"/>
              <w:left w:val="single" w:sz="8" w:space="0" w:color="auto"/>
              <w:bottom w:val="nil"/>
              <w:right w:val="single" w:sz="8" w:space="0" w:color="000000"/>
            </w:tcBorders>
            <w:shd w:val="clear" w:color="000000" w:fill="FFFFFF"/>
            <w:noWrap/>
            <w:vAlign w:val="bottom"/>
          </w:tcPr>
          <w:p w:rsidR="00A06D3D" w:rsidRPr="00F540CD" w:rsidRDefault="00A06D3D" w:rsidP="004034D5">
            <w:pPr>
              <w:autoSpaceDE/>
              <w:jc w:val="center"/>
            </w:pPr>
            <w:r w:rsidRPr="00F540CD">
              <w:t>TEST YEAR</w:t>
            </w:r>
          </w:p>
        </w:tc>
        <w:tc>
          <w:tcPr>
            <w:tcW w:w="2840" w:type="dxa"/>
            <w:gridSpan w:val="2"/>
            <w:tcBorders>
              <w:top w:val="nil"/>
              <w:left w:val="nil"/>
              <w:bottom w:val="nil"/>
              <w:right w:val="nil"/>
            </w:tcBorders>
            <w:shd w:val="clear" w:color="000000" w:fill="FFFFFF"/>
            <w:noWrap/>
            <w:vAlign w:val="bottom"/>
          </w:tcPr>
          <w:p w:rsidR="00A06D3D" w:rsidRPr="00F540CD" w:rsidRDefault="00A06D3D" w:rsidP="004034D5">
            <w:pPr>
              <w:autoSpaceDE/>
              <w:jc w:val="center"/>
            </w:pPr>
            <w:r w:rsidRPr="00F540CD">
              <w:t> </w:t>
            </w:r>
          </w:p>
        </w:tc>
        <w:tc>
          <w:tcPr>
            <w:tcW w:w="2840" w:type="dxa"/>
            <w:gridSpan w:val="2"/>
            <w:tcBorders>
              <w:top w:val="nil"/>
              <w:left w:val="single" w:sz="8" w:space="0" w:color="auto"/>
              <w:bottom w:val="nil"/>
              <w:right w:val="single" w:sz="8" w:space="0" w:color="000000"/>
            </w:tcBorders>
            <w:shd w:val="clear" w:color="000000" w:fill="FFFFFF"/>
            <w:noWrap/>
            <w:vAlign w:val="bottom"/>
          </w:tcPr>
          <w:p w:rsidR="00A06D3D" w:rsidRPr="00F540CD" w:rsidRDefault="00A06D3D" w:rsidP="004034D5">
            <w:pPr>
              <w:autoSpaceDE/>
              <w:jc w:val="center"/>
            </w:pPr>
            <w:r w:rsidRPr="00F540CD">
              <w:t>RATE YEAR</w:t>
            </w:r>
          </w:p>
        </w:tc>
      </w:tr>
      <w:tr w:rsidR="00A06D3D" w:rsidRPr="00F540CD" w:rsidTr="004034D5">
        <w:trPr>
          <w:trHeight w:val="240"/>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r w:rsidRPr="00F540CD">
              <w:rPr>
                <w:sz w:val="20"/>
                <w:szCs w:val="20"/>
              </w:rPr>
              <w:t> </w:t>
            </w:r>
          </w:p>
        </w:tc>
        <w:tc>
          <w:tcPr>
            <w:tcW w:w="2840" w:type="dxa"/>
            <w:gridSpan w:val="2"/>
            <w:tcBorders>
              <w:top w:val="nil"/>
              <w:left w:val="single" w:sz="8" w:space="0" w:color="auto"/>
              <w:bottom w:val="nil"/>
              <w:right w:val="single" w:sz="8" w:space="0" w:color="000000"/>
            </w:tcBorders>
            <w:shd w:val="clear" w:color="000000" w:fill="FFFFFF"/>
            <w:noWrap/>
            <w:vAlign w:val="bottom"/>
          </w:tcPr>
          <w:p w:rsidR="00A06D3D" w:rsidRPr="00F540CD" w:rsidRDefault="00A06D3D" w:rsidP="004034D5">
            <w:pPr>
              <w:autoSpaceDE/>
              <w:jc w:val="center"/>
            </w:pPr>
            <w:r w:rsidRPr="00F540CD">
              <w:t> </w:t>
            </w:r>
          </w:p>
        </w:tc>
        <w:tc>
          <w:tcPr>
            <w:tcW w:w="2840" w:type="dxa"/>
            <w:gridSpan w:val="2"/>
            <w:tcBorders>
              <w:top w:val="nil"/>
              <w:left w:val="nil"/>
              <w:bottom w:val="nil"/>
              <w:right w:val="nil"/>
            </w:tcBorders>
            <w:shd w:val="clear" w:color="000000" w:fill="FFFFFF"/>
            <w:noWrap/>
            <w:vAlign w:val="bottom"/>
          </w:tcPr>
          <w:p w:rsidR="00A06D3D" w:rsidRPr="00F540CD" w:rsidRDefault="00A06D3D" w:rsidP="004034D5">
            <w:pPr>
              <w:autoSpaceDE/>
              <w:jc w:val="center"/>
            </w:pPr>
            <w:r w:rsidRPr="00F540CD">
              <w:t> </w:t>
            </w:r>
          </w:p>
        </w:tc>
        <w:tc>
          <w:tcPr>
            <w:tcW w:w="2840" w:type="dxa"/>
            <w:gridSpan w:val="2"/>
            <w:tcBorders>
              <w:top w:val="nil"/>
              <w:left w:val="single" w:sz="8" w:space="0" w:color="auto"/>
              <w:right w:val="single" w:sz="8" w:space="0" w:color="000000"/>
            </w:tcBorders>
            <w:shd w:val="clear" w:color="000000" w:fill="FFFFFF"/>
            <w:noWrap/>
            <w:vAlign w:val="bottom"/>
          </w:tcPr>
          <w:p w:rsidR="00A06D3D" w:rsidRPr="00F540CD" w:rsidRDefault="00A06D3D" w:rsidP="004034D5">
            <w:pPr>
              <w:autoSpaceDE/>
              <w:jc w:val="center"/>
            </w:pPr>
            <w:r w:rsidRPr="00F540CD">
              <w:t> </w:t>
            </w:r>
          </w:p>
        </w:tc>
      </w:tr>
      <w:tr w:rsidR="00A06D3D" w:rsidRPr="00F540CD" w:rsidTr="004034D5">
        <w:trPr>
          <w:trHeight w:val="240"/>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p>
        </w:tc>
        <w:tc>
          <w:tcPr>
            <w:tcW w:w="2840" w:type="dxa"/>
            <w:gridSpan w:val="2"/>
            <w:tcBorders>
              <w:top w:val="nil"/>
              <w:left w:val="single" w:sz="8" w:space="0" w:color="auto"/>
              <w:bottom w:val="nil"/>
              <w:right w:val="single" w:sz="8" w:space="0" w:color="000000"/>
            </w:tcBorders>
            <w:shd w:val="clear" w:color="000000" w:fill="FFFFFF"/>
            <w:noWrap/>
            <w:vAlign w:val="bottom"/>
          </w:tcPr>
          <w:p w:rsidR="00A06D3D" w:rsidRPr="00F540CD" w:rsidRDefault="00177FF7" w:rsidP="004034D5">
            <w:pPr>
              <w:autoSpaceDE/>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36.95pt;margin-top:-5.2pt;width:58.75pt;height:0;flip:x;z-index:251896320;mso-position-horizontal-relative:text;mso-position-vertical-relative:text" o:connectortype="straight">
                  <v:stroke endarrow="block"/>
                </v:shape>
              </w:pict>
            </w:r>
          </w:p>
        </w:tc>
        <w:tc>
          <w:tcPr>
            <w:tcW w:w="5680" w:type="dxa"/>
            <w:gridSpan w:val="4"/>
            <w:tcBorders>
              <w:top w:val="nil"/>
              <w:left w:val="nil"/>
              <w:bottom w:val="nil"/>
              <w:right w:val="single" w:sz="8" w:space="0" w:color="000000"/>
            </w:tcBorders>
            <w:shd w:val="clear" w:color="000000" w:fill="FFFFFF"/>
            <w:noWrap/>
            <w:vAlign w:val="center"/>
          </w:tcPr>
          <w:p w:rsidR="00A06D3D" w:rsidRDefault="00177FF7" w:rsidP="004034D5">
            <w:pPr>
              <w:autoSpaceDE/>
              <w:jc w:val="center"/>
            </w:pPr>
            <w:r>
              <w:rPr>
                <w:noProof/>
              </w:rPr>
              <w:pict>
                <v:shape id="_x0000_s1026" type="#_x0000_t32" style="position:absolute;left:0;text-align:left;margin-left:219.9pt;margin-top:8.65pt;width:58.6pt;height:0;z-index:251895296;mso-position-horizontal-relative:text;mso-position-vertical-relative:text" o:connectortype="straight">
                  <v:stroke endarrow="block"/>
                </v:shape>
              </w:pict>
            </w:r>
            <w:r w:rsidR="00A06D3D">
              <w:t xml:space="preserve">$5.1 million of lost margin due to </w:t>
            </w:r>
          </w:p>
          <w:p w:rsidR="00A06D3D" w:rsidRPr="00F540CD" w:rsidRDefault="00A06D3D" w:rsidP="004034D5">
            <w:pPr>
              <w:autoSpaceDE/>
              <w:jc w:val="center"/>
            </w:pPr>
            <w:r>
              <w:t xml:space="preserve">energy efficiency programs (111,937,334 kWhs) </w:t>
            </w:r>
          </w:p>
        </w:tc>
      </w:tr>
      <w:tr w:rsidR="00A06D3D" w:rsidRPr="00F540CD" w:rsidTr="004034D5">
        <w:trPr>
          <w:trHeight w:val="240"/>
        </w:trPr>
        <w:tc>
          <w:tcPr>
            <w:tcW w:w="272" w:type="dxa"/>
            <w:tcBorders>
              <w:top w:val="nil"/>
              <w:left w:val="nil"/>
              <w:bottom w:val="nil"/>
              <w:right w:val="nil"/>
            </w:tcBorders>
            <w:shd w:val="clear" w:color="000000" w:fill="FFFFFF"/>
            <w:noWrap/>
            <w:vAlign w:val="bottom"/>
          </w:tcPr>
          <w:p w:rsidR="00A06D3D" w:rsidRPr="00F540CD" w:rsidRDefault="00A06D3D" w:rsidP="004034D5">
            <w:pPr>
              <w:autoSpaceDE/>
              <w:rPr>
                <w:sz w:val="20"/>
                <w:szCs w:val="20"/>
              </w:rPr>
            </w:pPr>
          </w:p>
        </w:tc>
        <w:tc>
          <w:tcPr>
            <w:tcW w:w="2840" w:type="dxa"/>
            <w:gridSpan w:val="2"/>
            <w:tcBorders>
              <w:top w:val="nil"/>
              <w:left w:val="single" w:sz="8" w:space="0" w:color="auto"/>
              <w:bottom w:val="nil"/>
              <w:right w:val="single" w:sz="8" w:space="0" w:color="000000"/>
            </w:tcBorders>
            <w:shd w:val="clear" w:color="000000" w:fill="FFFFFF"/>
            <w:noWrap/>
            <w:vAlign w:val="bottom"/>
          </w:tcPr>
          <w:p w:rsidR="00A06D3D" w:rsidRPr="00F540CD" w:rsidRDefault="00A06D3D" w:rsidP="004034D5">
            <w:pPr>
              <w:autoSpaceDE/>
              <w:jc w:val="center"/>
            </w:pPr>
          </w:p>
        </w:tc>
        <w:tc>
          <w:tcPr>
            <w:tcW w:w="5680" w:type="dxa"/>
            <w:gridSpan w:val="4"/>
            <w:tcBorders>
              <w:top w:val="nil"/>
              <w:left w:val="nil"/>
              <w:bottom w:val="nil"/>
              <w:right w:val="single" w:sz="8" w:space="0" w:color="000000"/>
            </w:tcBorders>
            <w:shd w:val="clear" w:color="000000" w:fill="FFFFFF"/>
            <w:noWrap/>
            <w:vAlign w:val="center"/>
          </w:tcPr>
          <w:p w:rsidR="00A06D3D" w:rsidRDefault="00A06D3D" w:rsidP="004034D5">
            <w:pPr>
              <w:autoSpaceDE/>
              <w:jc w:val="center"/>
            </w:pPr>
          </w:p>
        </w:tc>
      </w:tr>
    </w:tbl>
    <w:p w:rsidR="00A06D3D" w:rsidRDefault="00A06D3D" w:rsidP="00B03DF0">
      <w:pPr>
        <w:spacing w:line="480" w:lineRule="auto"/>
        <w:ind w:firstLine="720"/>
        <w:jc w:val="both"/>
      </w:pPr>
    </w:p>
    <w:p w:rsidR="000844DB" w:rsidRPr="00AD7E0C" w:rsidRDefault="000844DB" w:rsidP="000844DB">
      <w:pPr>
        <w:spacing w:line="480" w:lineRule="auto"/>
        <w:ind w:firstLine="720"/>
        <w:jc w:val="both"/>
        <w:rPr>
          <w:b/>
        </w:rPr>
      </w:pPr>
      <w:r w:rsidRPr="00AD7E0C">
        <w:rPr>
          <w:b/>
        </w:rPr>
        <w:t>Q.</w:t>
      </w:r>
      <w:r w:rsidRPr="00AD7E0C">
        <w:rPr>
          <w:b/>
        </w:rPr>
        <w:tab/>
      </w:r>
      <w:r>
        <w:rPr>
          <w:b/>
        </w:rPr>
        <w:t>How did you quantify these DSM energy efficiency savings</w:t>
      </w:r>
      <w:r w:rsidRPr="00AD7E0C">
        <w:rPr>
          <w:b/>
        </w:rPr>
        <w:t>?</w:t>
      </w:r>
    </w:p>
    <w:p w:rsidR="000C21C5" w:rsidRDefault="000844DB" w:rsidP="00872D83">
      <w:pPr>
        <w:spacing w:line="480" w:lineRule="auto"/>
        <w:ind w:firstLine="720"/>
        <w:jc w:val="both"/>
      </w:pPr>
      <w:r w:rsidRPr="00AD7E0C">
        <w:t>A.</w:t>
      </w:r>
      <w:r w:rsidRPr="00AD7E0C">
        <w:tab/>
      </w:r>
      <w:r w:rsidR="00872D83">
        <w:t xml:space="preserve">Effective January 1, 2010, the Company </w:t>
      </w:r>
      <w:r w:rsidR="00B03DF0">
        <w:t>wa</w:t>
      </w:r>
      <w:r w:rsidR="00872D83">
        <w:t>s mandated to obtain a certain level of electric energy efficiency savings pursuant to RCW Chapter 19.285, the Energy Independence Act.   Under this act, Avista is required to “</w:t>
      </w:r>
      <w:r w:rsidR="00872D83" w:rsidRPr="00FD7B8D">
        <w:t>identify its achievable cost-effective conservation potential through 2019</w:t>
      </w:r>
      <w:r w:rsidR="00872D83">
        <w:t>”, and beginning in January 2010, “</w:t>
      </w:r>
      <w:r w:rsidR="00872D83" w:rsidRPr="00FD7B8D">
        <w:t xml:space="preserve">establish and make publicly available a biennial acquisition target for cost-effective conservation consistent with its identification of achievable opportunities </w:t>
      </w:r>
      <w:r w:rsidR="00872D83">
        <w:t>…</w:t>
      </w:r>
      <w:r w:rsidR="00872D83" w:rsidRPr="00FD7B8D">
        <w:t xml:space="preserve"> and meet that target during the subsequent two-year period</w:t>
      </w:r>
      <w:r w:rsidR="00872D83">
        <w:t xml:space="preserve">”.  </w:t>
      </w:r>
      <w:r w:rsidR="00904ACA">
        <w:t>(RCW Chapter 19.285)</w:t>
      </w:r>
    </w:p>
    <w:p w:rsidR="00466E60" w:rsidRPr="00872D83" w:rsidRDefault="00466E60" w:rsidP="00466E60">
      <w:pPr>
        <w:spacing w:line="480" w:lineRule="auto"/>
        <w:ind w:firstLine="720"/>
        <w:jc w:val="both"/>
        <w:rPr>
          <w:b/>
        </w:rPr>
      </w:pPr>
      <w:proofErr w:type="gramStart"/>
      <w:r w:rsidRPr="00872D83">
        <w:rPr>
          <w:b/>
        </w:rPr>
        <w:t>Q.</w:t>
      </w:r>
      <w:r w:rsidRPr="00872D83">
        <w:rPr>
          <w:b/>
        </w:rPr>
        <w:tab/>
      </w:r>
      <w:r>
        <w:rPr>
          <w:b/>
        </w:rPr>
        <w:t>What were the Company’s electric energy efficiency savings for 2012 and 2013</w:t>
      </w:r>
      <w:r w:rsidRPr="00872D83">
        <w:rPr>
          <w:b/>
        </w:rPr>
        <w:t>?</w:t>
      </w:r>
      <w:proofErr w:type="gramEnd"/>
    </w:p>
    <w:p w:rsidR="00466E60" w:rsidRDefault="00466E60" w:rsidP="00872D83">
      <w:pPr>
        <w:spacing w:line="480" w:lineRule="auto"/>
        <w:ind w:firstLine="720"/>
        <w:jc w:val="both"/>
        <w:rPr>
          <w:b/>
        </w:rPr>
      </w:pPr>
      <w:r w:rsidRPr="00872D83">
        <w:t>A.</w:t>
      </w:r>
      <w:r w:rsidRPr="00872D83">
        <w:tab/>
      </w:r>
      <w:r>
        <w:t>In 2012, the electric energy efficiency savings resulting from the Company’s energy efficiency programs w</w:t>
      </w:r>
      <w:r w:rsidR="00DE33BF">
        <w:t>ere</w:t>
      </w:r>
      <w:r>
        <w:t xml:space="preserve"> 64,192,378 kWhs.  For 2013, the Company is estimating that customers will further reduce their usage by 43,497,456 kWhs.  This is based on actual, unverified electric savings from January through October 2013, and an estimate for the </w:t>
      </w:r>
      <w:r>
        <w:lastRenderedPageBreak/>
        <w:t xml:space="preserve">November-December 2013 time period.  </w:t>
      </w:r>
      <w:r w:rsidR="005410BB">
        <w:t>V</w:t>
      </w:r>
      <w:r>
        <w:t>erification of the savings for the</w:t>
      </w:r>
      <w:r w:rsidR="00642E83">
        <w:t xml:space="preserve"> </w:t>
      </w:r>
      <w:r w:rsidR="005410BB">
        <w:t>2012-2013</w:t>
      </w:r>
      <w:r>
        <w:t xml:space="preserve"> two-year </w:t>
      </w:r>
      <w:proofErr w:type="gramStart"/>
      <w:r>
        <w:t>period</w:t>
      </w:r>
      <w:proofErr w:type="gramEnd"/>
      <w:r>
        <w:t xml:space="preserve"> will be completed in April 2014.</w:t>
      </w:r>
    </w:p>
    <w:p w:rsidR="00872D83" w:rsidRPr="00872D83" w:rsidRDefault="00872D83" w:rsidP="00872D83">
      <w:pPr>
        <w:spacing w:line="480" w:lineRule="auto"/>
        <w:ind w:firstLine="720"/>
        <w:jc w:val="both"/>
        <w:rPr>
          <w:b/>
        </w:rPr>
      </w:pPr>
      <w:r w:rsidRPr="00872D83">
        <w:rPr>
          <w:b/>
        </w:rPr>
        <w:t>Q.</w:t>
      </w:r>
      <w:r w:rsidRPr="00872D83">
        <w:rPr>
          <w:b/>
        </w:rPr>
        <w:tab/>
      </w:r>
      <w:r w:rsidR="000844DB">
        <w:rPr>
          <w:b/>
        </w:rPr>
        <w:t xml:space="preserve">What are the Company’s planned electric energy efficiency savings for the period </w:t>
      </w:r>
      <w:r w:rsidR="00E726ED">
        <w:rPr>
          <w:b/>
        </w:rPr>
        <w:t>20</w:t>
      </w:r>
      <w:r w:rsidR="00466E60">
        <w:rPr>
          <w:b/>
        </w:rPr>
        <w:t>14</w:t>
      </w:r>
      <w:r w:rsidR="00E726ED">
        <w:rPr>
          <w:b/>
        </w:rPr>
        <w:t xml:space="preserve"> </w:t>
      </w:r>
      <w:r w:rsidR="000844DB">
        <w:rPr>
          <w:b/>
        </w:rPr>
        <w:t xml:space="preserve">through </w:t>
      </w:r>
      <w:r w:rsidR="00E726ED">
        <w:rPr>
          <w:b/>
        </w:rPr>
        <w:t>2015</w:t>
      </w:r>
      <w:r w:rsidRPr="00872D83">
        <w:rPr>
          <w:b/>
        </w:rPr>
        <w:t>?</w:t>
      </w:r>
    </w:p>
    <w:p w:rsidR="00514E80" w:rsidRPr="003C53DB" w:rsidRDefault="00872D83" w:rsidP="00872D83">
      <w:pPr>
        <w:spacing w:line="480" w:lineRule="auto"/>
        <w:ind w:firstLine="720"/>
        <w:jc w:val="both"/>
      </w:pPr>
      <w:r w:rsidRPr="00872D83">
        <w:t>A.</w:t>
      </w:r>
      <w:r w:rsidRPr="00872D83">
        <w:tab/>
      </w:r>
      <w:r w:rsidR="000844DB">
        <w:t>O</w:t>
      </w:r>
      <w:r w:rsidRPr="00872D83">
        <w:t xml:space="preserve">n </w:t>
      </w:r>
      <w:r>
        <w:t>November 1</w:t>
      </w:r>
      <w:r w:rsidRPr="00872D83">
        <w:t xml:space="preserve">, </w:t>
      </w:r>
      <w:r w:rsidR="00466E60" w:rsidRPr="00872D83">
        <w:t>201</w:t>
      </w:r>
      <w:r w:rsidR="00466E60">
        <w:t>3</w:t>
      </w:r>
      <w:r w:rsidRPr="00872D83">
        <w:t>, th</w:t>
      </w:r>
      <w:r w:rsidR="000C21C5">
        <w:t>e Company filed with the UTC the</w:t>
      </w:r>
      <w:r w:rsidRPr="00872D83">
        <w:t xml:space="preserve"> “</w:t>
      </w:r>
      <w:r w:rsidR="00DE00E2">
        <w:t>2014-2015</w:t>
      </w:r>
      <w:r w:rsidR="00DE00E2" w:rsidRPr="001A7B6D">
        <w:t xml:space="preserve"> Biennial Conservation Plan</w:t>
      </w:r>
      <w:r w:rsidRPr="00872D83">
        <w:t xml:space="preserve">” </w:t>
      </w:r>
      <w:r w:rsidR="003C53DB">
        <w:t>(Docket UE-</w:t>
      </w:r>
      <w:r w:rsidR="00DE00E2">
        <w:t>132045</w:t>
      </w:r>
      <w:r w:rsidR="003C53DB">
        <w:t xml:space="preserve">) </w:t>
      </w:r>
      <w:r w:rsidRPr="00872D83">
        <w:t xml:space="preserve">which included the Company’s </w:t>
      </w:r>
      <w:r w:rsidR="00DE00E2">
        <w:t>third</w:t>
      </w:r>
      <w:r w:rsidR="000C21C5">
        <w:t>,</w:t>
      </w:r>
      <w:r w:rsidRPr="00872D83">
        <w:t xml:space="preserve"> two-year biennial electric conservation target.  </w:t>
      </w:r>
      <w:r w:rsidR="00200521">
        <w:t xml:space="preserve">In </w:t>
      </w:r>
      <w:r w:rsidR="00AC32BF">
        <w:t>the Biennial Conservation Plan (“BCP”)</w:t>
      </w:r>
      <w:r w:rsidR="00200521">
        <w:t xml:space="preserve">, </w:t>
      </w:r>
      <w:r w:rsidRPr="00872D83">
        <w:t xml:space="preserve">Avista identified a ten-year conservation potential </w:t>
      </w:r>
      <w:r w:rsidR="00146C46">
        <w:t>of approximately 394,200</w:t>
      </w:r>
      <w:r w:rsidRPr="00872D83">
        <w:t xml:space="preserve"> megawatt-hours</w:t>
      </w:r>
      <w:r w:rsidR="00146C46">
        <w:t xml:space="preserve">, </w:t>
      </w:r>
      <w:r w:rsidR="00CF4E3A">
        <w:t xml:space="preserve">and </w:t>
      </w:r>
      <w:r w:rsidR="00146C46">
        <w:t>for the 2014-2015</w:t>
      </w:r>
      <w:r w:rsidRPr="00872D83">
        <w:t xml:space="preserve"> </w:t>
      </w:r>
      <w:r w:rsidR="00146C46">
        <w:t>biennium, a target of 65,131</w:t>
      </w:r>
      <w:r w:rsidR="00200521">
        <w:t xml:space="preserve"> megawatt-hours</w:t>
      </w:r>
      <w:r w:rsidRPr="00872D83">
        <w:t xml:space="preserve">. </w:t>
      </w:r>
      <w:r w:rsidR="00514E80">
        <w:t>Including the estimated savings</w:t>
      </w:r>
      <w:r w:rsidR="005410BB">
        <w:t xml:space="preserve"> from the Northwest Energy Efficiency Alliance (“NEEA”)</w:t>
      </w:r>
      <w:r w:rsidR="00514E80">
        <w:t xml:space="preserve">, the estimated kWh savings for 2014-2015 is </w:t>
      </w:r>
      <w:r w:rsidR="00514E80" w:rsidRPr="00F058FA">
        <w:rPr>
          <w:u w:val="single"/>
        </w:rPr>
        <w:t>82,972</w:t>
      </w:r>
      <w:r w:rsidR="00514E80">
        <w:t xml:space="preserve"> megawatt-hours.</w:t>
      </w:r>
      <w:r w:rsidR="00F058FA">
        <w:t xml:space="preserve">  </w:t>
      </w:r>
      <w:r w:rsidR="005410BB">
        <w:t>T</w:t>
      </w:r>
      <w:r w:rsidR="00F058FA">
        <w:t xml:space="preserve">his two-year target does not include </w:t>
      </w:r>
      <w:r w:rsidR="00CF4E3A">
        <w:t>the 5</w:t>
      </w:r>
      <w:r w:rsidR="00F058FA">
        <w:t xml:space="preserve">% increase </w:t>
      </w:r>
      <w:r w:rsidR="00CF4E3A">
        <w:t xml:space="preserve">in the 2015 </w:t>
      </w:r>
      <w:r w:rsidR="005410BB">
        <w:t xml:space="preserve">kWh </w:t>
      </w:r>
      <w:r w:rsidR="00CF4E3A">
        <w:t xml:space="preserve">savings target </w:t>
      </w:r>
      <w:r w:rsidR="00F058FA">
        <w:t xml:space="preserve">related to the Company’s </w:t>
      </w:r>
      <w:r w:rsidR="00CF4E3A">
        <w:t>E</w:t>
      </w:r>
      <w:r w:rsidR="00F058FA">
        <w:t xml:space="preserve">lectric </w:t>
      </w:r>
      <w:r w:rsidR="00CF4E3A">
        <w:t>D</w:t>
      </w:r>
      <w:r w:rsidR="00F058FA">
        <w:t xml:space="preserve">ecoupling </w:t>
      </w:r>
      <w:r w:rsidR="00CF4E3A">
        <w:t>M</w:t>
      </w:r>
      <w:r w:rsidR="00F058FA">
        <w:t>echanism request</w:t>
      </w:r>
      <w:r w:rsidR="00CF4E3A">
        <w:t xml:space="preserve"> discussed later in my testimony</w:t>
      </w:r>
      <w:r w:rsidR="00F058FA">
        <w:t>.  Including the 5% adde</w:t>
      </w:r>
      <w:r w:rsidR="00C227DF">
        <w:t>r in 2015, the two-year target become</w:t>
      </w:r>
      <w:r w:rsidR="00F058FA">
        <w:t xml:space="preserve">s </w:t>
      </w:r>
      <w:r w:rsidR="00F058FA" w:rsidRPr="00F058FA">
        <w:rPr>
          <w:u w:val="single"/>
        </w:rPr>
        <w:t>85,046</w:t>
      </w:r>
      <w:r w:rsidR="00F058FA">
        <w:t xml:space="preserve"> megawatt-hours.</w:t>
      </w:r>
    </w:p>
    <w:p w:rsidR="00872D83" w:rsidRPr="006C6690" w:rsidRDefault="00872D83" w:rsidP="00872D83">
      <w:pPr>
        <w:spacing w:line="480" w:lineRule="auto"/>
        <w:ind w:firstLine="720"/>
        <w:jc w:val="both"/>
        <w:rPr>
          <w:b/>
        </w:rPr>
      </w:pPr>
      <w:r w:rsidRPr="006C6690">
        <w:rPr>
          <w:b/>
        </w:rPr>
        <w:t>Q.</w:t>
      </w:r>
      <w:r w:rsidRPr="006C6690">
        <w:rPr>
          <w:b/>
        </w:rPr>
        <w:tab/>
      </w:r>
      <w:r w:rsidR="00F058FA">
        <w:rPr>
          <w:b/>
        </w:rPr>
        <w:t xml:space="preserve">Prior to the application of the </w:t>
      </w:r>
      <w:r w:rsidR="00DE33BF">
        <w:rPr>
          <w:b/>
        </w:rPr>
        <w:t xml:space="preserve">additional </w:t>
      </w:r>
      <w:r w:rsidR="00F058FA">
        <w:rPr>
          <w:b/>
        </w:rPr>
        <w:t xml:space="preserve">5% </w:t>
      </w:r>
      <w:r w:rsidR="00B71BE8">
        <w:rPr>
          <w:b/>
        </w:rPr>
        <w:t xml:space="preserve">electric savings </w:t>
      </w:r>
      <w:r w:rsidR="00DE33BF">
        <w:rPr>
          <w:b/>
        </w:rPr>
        <w:t xml:space="preserve">for </w:t>
      </w:r>
      <w:r w:rsidR="00F058FA">
        <w:rPr>
          <w:b/>
        </w:rPr>
        <w:t>2015 related to the Company’s decoupling mechanism request, a</w:t>
      </w:r>
      <w:r w:rsidR="00514E80">
        <w:rPr>
          <w:b/>
        </w:rPr>
        <w:t>re the electric energy efficiency savings of 82,972 megawatt-hours for</w:t>
      </w:r>
      <w:r w:rsidR="006C6690" w:rsidRPr="006C6690">
        <w:rPr>
          <w:b/>
        </w:rPr>
        <w:t xml:space="preserve"> </w:t>
      </w:r>
      <w:r w:rsidR="00514E80">
        <w:rPr>
          <w:b/>
        </w:rPr>
        <w:t xml:space="preserve">the </w:t>
      </w:r>
      <w:r w:rsidR="00514E80" w:rsidRPr="006C6690">
        <w:rPr>
          <w:b/>
        </w:rPr>
        <w:t>201</w:t>
      </w:r>
      <w:r w:rsidR="00514E80">
        <w:rPr>
          <w:b/>
        </w:rPr>
        <w:t>4</w:t>
      </w:r>
      <w:r w:rsidR="006C6690" w:rsidRPr="006C6690">
        <w:rPr>
          <w:b/>
        </w:rPr>
        <w:t>-</w:t>
      </w:r>
      <w:r w:rsidR="00514E80" w:rsidRPr="006C6690">
        <w:rPr>
          <w:b/>
        </w:rPr>
        <w:t>201</w:t>
      </w:r>
      <w:r w:rsidR="00514E80">
        <w:rPr>
          <w:b/>
        </w:rPr>
        <w:t>5</w:t>
      </w:r>
      <w:r w:rsidR="00514E80" w:rsidRPr="006C6690">
        <w:rPr>
          <w:b/>
        </w:rPr>
        <w:t xml:space="preserve"> </w:t>
      </w:r>
      <w:r w:rsidR="00514E80">
        <w:rPr>
          <w:b/>
        </w:rPr>
        <w:t xml:space="preserve">time </w:t>
      </w:r>
      <w:r w:rsidR="006C6690" w:rsidRPr="006C6690">
        <w:rPr>
          <w:b/>
        </w:rPr>
        <w:t xml:space="preserve">period symmetrical? </w:t>
      </w:r>
    </w:p>
    <w:p w:rsidR="00872D83" w:rsidRPr="00407743" w:rsidRDefault="00872D83" w:rsidP="00872D83">
      <w:pPr>
        <w:spacing w:line="480" w:lineRule="auto"/>
        <w:ind w:firstLine="720"/>
        <w:jc w:val="both"/>
      </w:pPr>
      <w:r w:rsidRPr="006C6690">
        <w:t>A.</w:t>
      </w:r>
      <w:r w:rsidRPr="006C6690">
        <w:tab/>
      </w:r>
      <w:r w:rsidR="00514E80">
        <w:t>Yes</w:t>
      </w:r>
      <w:r w:rsidR="006C6690" w:rsidRPr="006C6690">
        <w:t xml:space="preserve">, the savings for </w:t>
      </w:r>
      <w:r w:rsidR="00514E80" w:rsidRPr="006C6690">
        <w:t>201</w:t>
      </w:r>
      <w:r w:rsidR="00514E80">
        <w:t>4</w:t>
      </w:r>
      <w:r w:rsidR="00514E80" w:rsidRPr="006C6690">
        <w:t xml:space="preserve"> </w:t>
      </w:r>
      <w:r w:rsidR="00514E80">
        <w:t xml:space="preserve">and 2015 </w:t>
      </w:r>
      <w:r w:rsidR="005410BB">
        <w:t>are expected to be</w:t>
      </w:r>
      <w:r w:rsidR="006C6690" w:rsidRPr="006C6690">
        <w:t xml:space="preserve"> </w:t>
      </w:r>
      <w:r w:rsidR="00260171">
        <w:t>symmetrical</w:t>
      </w:r>
      <w:r w:rsidR="006C6690" w:rsidRPr="006C6690">
        <w:t xml:space="preserve">.  Avista </w:t>
      </w:r>
      <w:r w:rsidR="009026B3">
        <w:t>plans to</w:t>
      </w:r>
      <w:r w:rsidR="006C6690" w:rsidRPr="006C6690">
        <w:t xml:space="preserve"> obtain </w:t>
      </w:r>
      <w:r w:rsidR="00514E80">
        <w:t>41,486</w:t>
      </w:r>
      <w:r w:rsidR="006C6690" w:rsidRPr="006C6690">
        <w:t xml:space="preserve"> </w:t>
      </w:r>
      <w:r w:rsidR="006C6690" w:rsidRPr="00407743">
        <w:t xml:space="preserve">megawatt-hours of savings in </w:t>
      </w:r>
      <w:r w:rsidR="00514E80" w:rsidRPr="00407743">
        <w:t>201</w:t>
      </w:r>
      <w:r w:rsidR="00514E80">
        <w:t>4 and in 2015.</w:t>
      </w:r>
      <w:r w:rsidRPr="00407743">
        <w:t xml:space="preserve"> </w:t>
      </w:r>
      <w:r w:rsidR="00F058FA">
        <w:t xml:space="preserve">The </w:t>
      </w:r>
      <w:r w:rsidR="005410BB">
        <w:t xml:space="preserve">proposed </w:t>
      </w:r>
      <w:r w:rsidR="00F058FA">
        <w:t>level in 2015, after application of the 5% adder related to the proposed decoupling mechanism, is 43,560 megawatt-hours.</w:t>
      </w:r>
    </w:p>
    <w:p w:rsidR="00135AD1" w:rsidRPr="00CF227B" w:rsidRDefault="00135AD1" w:rsidP="00135AD1">
      <w:pPr>
        <w:spacing w:line="480" w:lineRule="auto"/>
        <w:ind w:firstLine="720"/>
        <w:jc w:val="both"/>
        <w:rPr>
          <w:b/>
        </w:rPr>
      </w:pPr>
      <w:r w:rsidRPr="00CF227B">
        <w:rPr>
          <w:b/>
        </w:rPr>
        <w:lastRenderedPageBreak/>
        <w:t>Q.</w:t>
      </w:r>
      <w:r w:rsidRPr="00CF227B">
        <w:rPr>
          <w:b/>
        </w:rPr>
        <w:tab/>
        <w:t xml:space="preserve">How is the </w:t>
      </w:r>
      <w:r w:rsidR="00C92A6D" w:rsidRPr="006C6690">
        <w:rPr>
          <w:b/>
        </w:rPr>
        <w:t xml:space="preserve">DSM </w:t>
      </w:r>
      <w:r w:rsidR="00C92A6D">
        <w:rPr>
          <w:b/>
        </w:rPr>
        <w:t xml:space="preserve">Component of </w:t>
      </w:r>
      <w:r w:rsidR="00C92A6D" w:rsidRPr="00DE33BF">
        <w:rPr>
          <w:b/>
        </w:rPr>
        <w:t xml:space="preserve">the </w:t>
      </w:r>
      <w:r w:rsidR="00DE33BF" w:rsidRPr="00DE33BF">
        <w:rPr>
          <w:b/>
        </w:rPr>
        <w:t>Pro Forma Cross Check Study</w:t>
      </w:r>
      <w:r w:rsidR="00DE33BF" w:rsidRPr="00CF227B">
        <w:rPr>
          <w:b/>
        </w:rPr>
        <w:t xml:space="preserve"> </w:t>
      </w:r>
      <w:r w:rsidRPr="00CF227B">
        <w:rPr>
          <w:b/>
        </w:rPr>
        <w:t>calculated?</w:t>
      </w:r>
    </w:p>
    <w:p w:rsidR="00135AD1" w:rsidRPr="00CF227B" w:rsidRDefault="00135AD1" w:rsidP="00135AD1">
      <w:pPr>
        <w:spacing w:line="480" w:lineRule="auto"/>
        <w:ind w:firstLine="720"/>
        <w:jc w:val="both"/>
      </w:pPr>
      <w:r w:rsidRPr="00CF227B">
        <w:t>A.</w:t>
      </w:r>
      <w:r w:rsidRPr="00CF227B">
        <w:tab/>
        <w:t xml:space="preserve">The first step in the calculation is to determine the level of electric energy efficiency savings from the Company’s DSM programs.  In </w:t>
      </w:r>
      <w:r w:rsidR="00260171" w:rsidRPr="00CF227B">
        <w:t>201</w:t>
      </w:r>
      <w:r w:rsidR="00260171">
        <w:t>2</w:t>
      </w:r>
      <w:r w:rsidRPr="00CF227B">
        <w:t xml:space="preserve">, customers who took part in the Company’s DSM programs saved </w:t>
      </w:r>
      <w:r w:rsidR="00B71BE8">
        <w:t>64</w:t>
      </w:r>
      <w:r w:rsidR="007A73E1">
        <w:t>,192,378</w:t>
      </w:r>
      <w:r w:rsidRPr="00CF227B">
        <w:t xml:space="preserve"> kWhs.  Table 1</w:t>
      </w:r>
      <w:r w:rsidR="00DE33BF">
        <w:t>7</w:t>
      </w:r>
      <w:r w:rsidRPr="00CF227B">
        <w:t xml:space="preserve"> below shows the savings by rate schedule:  </w:t>
      </w:r>
    </w:p>
    <w:p w:rsidR="00135AD1" w:rsidRPr="00CF227B" w:rsidRDefault="00135AD1" w:rsidP="00135AD1">
      <w:pPr>
        <w:spacing w:line="480" w:lineRule="auto"/>
        <w:jc w:val="both"/>
        <w:rPr>
          <w:b/>
          <w:u w:val="single"/>
        </w:rPr>
      </w:pPr>
      <w:r w:rsidRPr="00CF227B">
        <w:rPr>
          <w:b/>
          <w:u w:val="single"/>
        </w:rPr>
        <w:t>Table 1</w:t>
      </w:r>
      <w:r w:rsidR="00DE33BF">
        <w:rPr>
          <w:b/>
          <w:u w:val="single"/>
        </w:rPr>
        <w:t>7</w:t>
      </w:r>
      <w:r w:rsidRPr="00CF227B">
        <w:rPr>
          <w:b/>
          <w:u w:val="single"/>
        </w:rPr>
        <w:t xml:space="preserve"> – </w:t>
      </w:r>
      <w:r w:rsidR="007A73E1" w:rsidRPr="00CF227B">
        <w:rPr>
          <w:b/>
          <w:u w:val="single"/>
        </w:rPr>
        <w:t>201</w:t>
      </w:r>
      <w:r w:rsidR="007A73E1">
        <w:rPr>
          <w:b/>
          <w:u w:val="single"/>
        </w:rPr>
        <w:t>2</w:t>
      </w:r>
      <w:r w:rsidR="007A73E1" w:rsidRPr="00CF227B">
        <w:rPr>
          <w:b/>
          <w:u w:val="single"/>
        </w:rPr>
        <w:t xml:space="preserve"> </w:t>
      </w:r>
      <w:r w:rsidRPr="00CF227B">
        <w:rPr>
          <w:b/>
          <w:u w:val="single"/>
        </w:rPr>
        <w:t>Electric Energy Savings by Rate Schedule</w:t>
      </w:r>
    </w:p>
    <w:p w:rsidR="00135AD1" w:rsidRPr="00CF227B" w:rsidRDefault="00226A86" w:rsidP="00135AD1">
      <w:pPr>
        <w:spacing w:line="480" w:lineRule="auto"/>
        <w:jc w:val="both"/>
      </w:pPr>
      <w:r>
        <w:rPr>
          <w:noProof/>
        </w:rPr>
        <w:drawing>
          <wp:anchor distT="0" distB="0" distL="114300" distR="114300" simplePos="0" relativeHeight="251840000" behindDoc="1" locked="0" layoutInCell="1" allowOverlap="1">
            <wp:simplePos x="0" y="0"/>
            <wp:positionH relativeFrom="column">
              <wp:posOffset>1222656</wp:posOffset>
            </wp:positionH>
            <wp:positionV relativeFrom="paragraph">
              <wp:posOffset>97465</wp:posOffset>
            </wp:positionV>
            <wp:extent cx="2841108" cy="1414130"/>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2841108" cy="1414130"/>
                    </a:xfrm>
                    <a:prstGeom prst="rect">
                      <a:avLst/>
                    </a:prstGeom>
                    <a:noFill/>
                    <a:ln w="9525">
                      <a:noFill/>
                      <a:miter lim="800000"/>
                      <a:headEnd/>
                      <a:tailEnd/>
                    </a:ln>
                  </pic:spPr>
                </pic:pic>
              </a:graphicData>
            </a:graphic>
          </wp:anchor>
        </w:drawing>
      </w: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Default="00135AD1" w:rsidP="00135AD1">
      <w:pPr>
        <w:spacing w:line="480" w:lineRule="auto"/>
        <w:ind w:firstLine="720"/>
        <w:jc w:val="both"/>
      </w:pPr>
      <w:r w:rsidRPr="00CF227B">
        <w:t xml:space="preserve">Because customers installed energy efficiency measures throughout </w:t>
      </w:r>
      <w:r w:rsidR="007A73E1" w:rsidRPr="00CF227B">
        <w:t>201</w:t>
      </w:r>
      <w:r w:rsidR="007A73E1">
        <w:t>2</w:t>
      </w:r>
      <w:r w:rsidRPr="00CF227B">
        <w:t xml:space="preserve">, </w:t>
      </w:r>
      <w:r w:rsidRPr="00E8422E">
        <w:t xml:space="preserve">approximately </w:t>
      </w:r>
      <w:r w:rsidR="007A73E1">
        <w:t>three-quarters</w:t>
      </w:r>
      <w:r w:rsidRPr="00E8422E">
        <w:t xml:space="preserve"> of the annual savings were already included in the normalized test year usage.  Therefore, for </w:t>
      </w:r>
      <w:r w:rsidR="007A73E1">
        <w:t>2012</w:t>
      </w:r>
      <w:r w:rsidRPr="00E8422E">
        <w:t xml:space="preserve">, </w:t>
      </w:r>
      <w:r w:rsidR="005410BB">
        <w:t xml:space="preserve">approximately </w:t>
      </w:r>
      <w:r w:rsidR="007A73E1">
        <w:t>16,048,093</w:t>
      </w:r>
      <w:r w:rsidRPr="00E8422E">
        <w:t xml:space="preserve"> kWhs were not already included in the normalized test year </w:t>
      </w:r>
      <w:r w:rsidR="00DE33BF">
        <w:t xml:space="preserve">(July 2012 – June 2013) </w:t>
      </w:r>
      <w:r w:rsidRPr="00E8422E">
        <w:t>usage.  The lost margin for the approximately</w:t>
      </w:r>
      <w:r w:rsidRPr="00CF227B">
        <w:t xml:space="preserve"> </w:t>
      </w:r>
      <w:r w:rsidR="007A73E1">
        <w:t>one-quarter</w:t>
      </w:r>
      <w:r w:rsidRPr="00CF227B">
        <w:t xml:space="preserve"> of the annual savings </w:t>
      </w:r>
      <w:r>
        <w:t xml:space="preserve">not included in the normalized test year usage is included in the DSM </w:t>
      </w:r>
      <w:r w:rsidR="00F553EF">
        <w:t xml:space="preserve">Component of the </w:t>
      </w:r>
      <w:r w:rsidR="00DE33BF" w:rsidRPr="009577D0">
        <w:t>Pro Forma Cross Check Study</w:t>
      </w:r>
      <w:r>
        <w:t xml:space="preserve">.  </w:t>
      </w:r>
    </w:p>
    <w:p w:rsidR="007A73E1" w:rsidRPr="00E8422E" w:rsidRDefault="007A73E1" w:rsidP="007A73E1">
      <w:pPr>
        <w:spacing w:line="480" w:lineRule="auto"/>
        <w:ind w:firstLine="720"/>
        <w:jc w:val="both"/>
        <w:rPr>
          <w:b/>
        </w:rPr>
      </w:pPr>
      <w:r w:rsidRPr="00E8422E">
        <w:rPr>
          <w:b/>
        </w:rPr>
        <w:t>Q.</w:t>
      </w:r>
      <w:r w:rsidRPr="00E8422E">
        <w:rPr>
          <w:b/>
        </w:rPr>
        <w:tab/>
      </w:r>
      <w:r w:rsidR="005410BB">
        <w:rPr>
          <w:b/>
        </w:rPr>
        <w:t>P</w:t>
      </w:r>
      <w:r>
        <w:rPr>
          <w:b/>
        </w:rPr>
        <w:t xml:space="preserve">lease describe the level of savings included in the DSM Component of </w:t>
      </w:r>
      <w:r w:rsidRPr="00DE33BF">
        <w:rPr>
          <w:b/>
        </w:rPr>
        <w:t xml:space="preserve">the </w:t>
      </w:r>
      <w:r w:rsidR="00DE33BF" w:rsidRPr="00DE33BF">
        <w:rPr>
          <w:b/>
        </w:rPr>
        <w:t xml:space="preserve">Pro Forma Cross Check Study </w:t>
      </w:r>
      <w:r w:rsidRPr="00DE33BF">
        <w:rPr>
          <w:b/>
        </w:rPr>
        <w:t>for 2013,</w:t>
      </w:r>
      <w:r>
        <w:rPr>
          <w:b/>
        </w:rPr>
        <w:t xml:space="preserve"> 2014, and 2015</w:t>
      </w:r>
      <w:r w:rsidRPr="00E8422E">
        <w:rPr>
          <w:b/>
        </w:rPr>
        <w:t>?</w:t>
      </w:r>
    </w:p>
    <w:p w:rsidR="005410BB" w:rsidRDefault="007A73E1" w:rsidP="005410BB">
      <w:pPr>
        <w:spacing w:line="480" w:lineRule="auto"/>
        <w:ind w:firstLine="720"/>
        <w:jc w:val="both"/>
      </w:pPr>
      <w:r w:rsidRPr="00E8422E">
        <w:t>A.</w:t>
      </w:r>
      <w:r w:rsidRPr="00E8422E">
        <w:tab/>
      </w:r>
      <w:r w:rsidR="005410BB">
        <w:t>The kWh savings for 2013 is approximately 43,497,456.  B</w:t>
      </w:r>
      <w:r w:rsidRPr="00CF227B">
        <w:t>ecause customers installed energy efficiency measures throughout 201</w:t>
      </w:r>
      <w:r>
        <w:t>3 (but only six months of 2013 is included in the test year)</w:t>
      </w:r>
      <w:r w:rsidRPr="00CF227B">
        <w:t xml:space="preserve">, </w:t>
      </w:r>
      <w:r w:rsidRPr="00E8422E">
        <w:t xml:space="preserve">approximately </w:t>
      </w:r>
      <w:r>
        <w:t>one-quarter</w:t>
      </w:r>
      <w:r w:rsidR="005410BB">
        <w:t xml:space="preserve"> of the annual savings, or 10,874,365 </w:t>
      </w:r>
      <w:r w:rsidR="005410BB">
        <w:lastRenderedPageBreak/>
        <w:t>kWhs were</w:t>
      </w:r>
      <w:r w:rsidRPr="00E8422E">
        <w:t xml:space="preserve"> already included in the normalized test year usage.  Therefore, for the </w:t>
      </w:r>
      <w:r w:rsidR="005410BB">
        <w:t>test</w:t>
      </w:r>
      <w:r w:rsidRPr="00E8422E">
        <w:t xml:space="preserve"> year, </w:t>
      </w:r>
      <w:r>
        <w:t>32,623,091 kWh</w:t>
      </w:r>
      <w:r w:rsidRPr="00E8422E">
        <w:t>s were not already included in the normalized test year usage.  The lost margin for the approximately</w:t>
      </w:r>
      <w:r w:rsidRPr="00CF227B">
        <w:t xml:space="preserve"> </w:t>
      </w:r>
      <w:r>
        <w:t>three-quarters</w:t>
      </w:r>
      <w:r w:rsidRPr="00CF227B">
        <w:t xml:space="preserve"> of the annual savings </w:t>
      </w:r>
      <w:r>
        <w:t xml:space="preserve">not included in the normalized test year usage is included in the DSM Component of </w:t>
      </w:r>
      <w:r w:rsidRPr="007A73E1">
        <w:t xml:space="preserve">the </w:t>
      </w:r>
      <w:r w:rsidR="00DE33BF" w:rsidRPr="009577D0">
        <w:t>Pro Forma Cross Check Study</w:t>
      </w:r>
      <w:r w:rsidRPr="007A73E1">
        <w:t xml:space="preserve">.  </w:t>
      </w:r>
    </w:p>
    <w:p w:rsidR="005410BB" w:rsidRPr="005410BB" w:rsidRDefault="00720F15" w:rsidP="005410BB">
      <w:pPr>
        <w:spacing w:line="480" w:lineRule="auto"/>
        <w:ind w:firstLine="720"/>
        <w:jc w:val="both"/>
      </w:pPr>
      <w:r w:rsidRPr="00720F15">
        <w:t>For 2014</w:t>
      </w:r>
      <w:r w:rsidR="007A73E1">
        <w:t xml:space="preserve">, the entire </w:t>
      </w:r>
      <w:proofErr w:type="gramStart"/>
      <w:r w:rsidR="007A73E1">
        <w:t>level of estimated annual savings, approximately 41,486,000 kWhs, were</w:t>
      </w:r>
      <w:proofErr w:type="gramEnd"/>
      <w:r w:rsidR="007A73E1">
        <w:t xml:space="preserve"> included in the Adjustment.  For </w:t>
      </w:r>
      <w:r w:rsidR="005410BB">
        <w:t xml:space="preserve">the </w:t>
      </w:r>
      <w:r w:rsidR="007A73E1">
        <w:t>2015 rate year, the Company included one-half, or 20,743,000 kWhs, of the estimated annual savings</w:t>
      </w:r>
      <w:r w:rsidR="00DE33BF">
        <w:t>.</w:t>
      </w:r>
      <w:r w:rsidR="007A73E1">
        <w:t xml:space="preserve">  Illust</w:t>
      </w:r>
      <w:r w:rsidR="00135AD1" w:rsidRPr="00586BE2">
        <w:t>ration</w:t>
      </w:r>
      <w:r w:rsidR="007A73E1">
        <w:t xml:space="preserve"> No</w:t>
      </w:r>
      <w:r w:rsidR="002E7F3A">
        <w:t>. 5</w:t>
      </w:r>
      <w:r w:rsidR="007A73E1">
        <w:t xml:space="preserve"> </w:t>
      </w:r>
      <w:r w:rsidR="00135AD1" w:rsidRPr="00586BE2">
        <w:t xml:space="preserve">below is a chart showing the savings included in the </w:t>
      </w:r>
      <w:r w:rsidR="00F553EF">
        <w:t xml:space="preserve">DSM Component of the </w:t>
      </w:r>
      <w:r w:rsidR="00DE33BF" w:rsidRPr="009577D0">
        <w:t>Pro Forma Cross Check Study</w:t>
      </w:r>
      <w:r w:rsidR="00F553EF" w:rsidRPr="00586BE2">
        <w:t xml:space="preserve"> </w:t>
      </w:r>
      <w:r w:rsidR="00135AD1" w:rsidRPr="00586BE2">
        <w:t>by year:</w:t>
      </w:r>
      <w:r w:rsidR="005410BB">
        <w:rPr>
          <w:b/>
          <w:u w:val="single"/>
        </w:rPr>
        <w:br w:type="page"/>
      </w:r>
    </w:p>
    <w:p w:rsidR="00135AD1" w:rsidRDefault="00135AD1" w:rsidP="00015AD9">
      <w:pPr>
        <w:autoSpaceDE/>
        <w:autoSpaceDN/>
        <w:spacing w:line="480" w:lineRule="auto"/>
        <w:rPr>
          <w:b/>
          <w:u w:val="single"/>
        </w:rPr>
      </w:pPr>
      <w:r w:rsidRPr="00586BE2">
        <w:rPr>
          <w:b/>
          <w:u w:val="single"/>
        </w:rPr>
        <w:lastRenderedPageBreak/>
        <w:t xml:space="preserve">Illustration No. </w:t>
      </w:r>
      <w:r w:rsidR="002E7F3A">
        <w:rPr>
          <w:b/>
          <w:u w:val="single"/>
        </w:rPr>
        <w:t>5</w:t>
      </w:r>
    </w:p>
    <w:p w:rsidR="00135AD1" w:rsidRPr="00586BE2" w:rsidRDefault="00214D76" w:rsidP="00015AD9">
      <w:pPr>
        <w:spacing w:line="480" w:lineRule="auto"/>
        <w:ind w:firstLine="720"/>
        <w:jc w:val="both"/>
      </w:pPr>
      <w:r w:rsidRPr="00214D76">
        <w:rPr>
          <w:noProof/>
        </w:rPr>
        <w:drawing>
          <wp:anchor distT="0" distB="0" distL="114300" distR="114300" simplePos="0" relativeHeight="251915776" behindDoc="1" locked="0" layoutInCell="1" allowOverlap="1">
            <wp:simplePos x="0" y="0"/>
            <wp:positionH relativeFrom="column">
              <wp:posOffset>30480</wp:posOffset>
            </wp:positionH>
            <wp:positionV relativeFrom="paragraph">
              <wp:posOffset>163830</wp:posOffset>
            </wp:positionV>
            <wp:extent cx="5669280" cy="2914650"/>
            <wp:effectExtent l="19050" t="0" r="762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5669280" cy="2914650"/>
                    </a:xfrm>
                    <a:prstGeom prst="rect">
                      <a:avLst/>
                    </a:prstGeom>
                    <a:noFill/>
                    <a:ln w="9525">
                      <a:noFill/>
                      <a:miter lim="800000"/>
                      <a:headEnd/>
                      <a:tailEnd/>
                    </a:ln>
                  </pic:spPr>
                </pic:pic>
              </a:graphicData>
            </a:graphic>
          </wp:anchor>
        </w:drawing>
      </w: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Default="00135AD1" w:rsidP="00135AD1">
      <w:pPr>
        <w:spacing w:line="480" w:lineRule="auto"/>
        <w:ind w:firstLine="720"/>
        <w:jc w:val="both"/>
      </w:pPr>
    </w:p>
    <w:p w:rsidR="00FB0DE4" w:rsidRDefault="00FB0DE4" w:rsidP="00135AD1">
      <w:pPr>
        <w:spacing w:line="480" w:lineRule="auto"/>
        <w:ind w:firstLine="720"/>
        <w:jc w:val="both"/>
      </w:pPr>
    </w:p>
    <w:p w:rsidR="00FB0DE4" w:rsidRDefault="00FB0DE4" w:rsidP="00135AD1">
      <w:pPr>
        <w:spacing w:line="480" w:lineRule="auto"/>
        <w:ind w:firstLine="720"/>
        <w:jc w:val="both"/>
      </w:pPr>
    </w:p>
    <w:p w:rsidR="00FB0DE4" w:rsidRDefault="00FB0DE4" w:rsidP="00135AD1">
      <w:pPr>
        <w:spacing w:line="480" w:lineRule="auto"/>
        <w:ind w:firstLine="720"/>
        <w:jc w:val="both"/>
      </w:pPr>
    </w:p>
    <w:p w:rsidR="00FB0DE4" w:rsidRDefault="00FB0DE4" w:rsidP="00135AD1">
      <w:pPr>
        <w:spacing w:line="480" w:lineRule="auto"/>
        <w:ind w:firstLine="720"/>
        <w:jc w:val="both"/>
      </w:pPr>
    </w:p>
    <w:p w:rsidR="00DB0086" w:rsidRDefault="00DB0086" w:rsidP="00135AD1">
      <w:pPr>
        <w:spacing w:line="480" w:lineRule="auto"/>
        <w:ind w:firstLine="720"/>
        <w:jc w:val="both"/>
      </w:pPr>
      <w:r>
        <w:t>From the 12-months ended June 2013 test year to the 2015 rate year, there is a total of 111,937,334 kWhs of reduced energy usage through Avista’s DSM efforts that need to be accounted for in the ratemaking process.</w:t>
      </w:r>
    </w:p>
    <w:p w:rsidR="00135AD1" w:rsidRPr="00586BE2" w:rsidRDefault="00135AD1" w:rsidP="00135AD1">
      <w:pPr>
        <w:spacing w:line="480" w:lineRule="auto"/>
        <w:ind w:firstLine="720"/>
        <w:jc w:val="both"/>
        <w:rPr>
          <w:b/>
        </w:rPr>
      </w:pPr>
      <w:r w:rsidRPr="00586BE2">
        <w:rPr>
          <w:b/>
        </w:rPr>
        <w:t>Q.</w:t>
      </w:r>
      <w:r w:rsidRPr="00586BE2">
        <w:rPr>
          <w:b/>
        </w:rPr>
        <w:tab/>
        <w:t xml:space="preserve">How were </w:t>
      </w:r>
      <w:r w:rsidR="007A73E1" w:rsidRPr="00586BE2">
        <w:rPr>
          <w:b/>
        </w:rPr>
        <w:t>20</w:t>
      </w:r>
      <w:r w:rsidR="007A73E1">
        <w:rPr>
          <w:b/>
        </w:rPr>
        <w:t>14</w:t>
      </w:r>
      <w:r w:rsidR="007A73E1" w:rsidRPr="00586BE2">
        <w:rPr>
          <w:b/>
        </w:rPr>
        <w:t xml:space="preserve"> </w:t>
      </w:r>
      <w:r w:rsidRPr="00586BE2">
        <w:rPr>
          <w:b/>
        </w:rPr>
        <w:t xml:space="preserve">and </w:t>
      </w:r>
      <w:r w:rsidR="007A73E1" w:rsidRPr="00586BE2">
        <w:rPr>
          <w:b/>
        </w:rPr>
        <w:t>20</w:t>
      </w:r>
      <w:r w:rsidR="007A73E1">
        <w:rPr>
          <w:b/>
        </w:rPr>
        <w:t>15</w:t>
      </w:r>
      <w:r w:rsidR="007A73E1" w:rsidRPr="00586BE2">
        <w:rPr>
          <w:b/>
        </w:rPr>
        <w:t xml:space="preserve"> </w:t>
      </w:r>
      <w:r w:rsidRPr="00586BE2">
        <w:rPr>
          <w:b/>
        </w:rPr>
        <w:t>electric energy efficiency savings spread by rate schedule?</w:t>
      </w:r>
    </w:p>
    <w:p w:rsidR="002A7002" w:rsidRPr="002A7002" w:rsidRDefault="00135AD1" w:rsidP="002A7002">
      <w:pPr>
        <w:spacing w:line="480" w:lineRule="auto"/>
        <w:ind w:firstLine="720"/>
        <w:jc w:val="both"/>
      </w:pPr>
      <w:r w:rsidRPr="00586BE2">
        <w:t>A.</w:t>
      </w:r>
      <w:r w:rsidRPr="00586BE2">
        <w:tab/>
        <w:t xml:space="preserve">For purposes of spreading the energy savings by rate schedule, the Company used the same percentage spread as was achieved in </w:t>
      </w:r>
      <w:r w:rsidR="007A73E1">
        <w:t>2013</w:t>
      </w:r>
      <w:r w:rsidR="00DE33BF">
        <w:t>.</w:t>
      </w:r>
      <w:r w:rsidR="00DF12F7">
        <w:rPr>
          <w:b/>
        </w:rPr>
        <w:t xml:space="preserve">  </w:t>
      </w:r>
      <w:r w:rsidR="00DF12F7">
        <w:t xml:space="preserve">Table </w:t>
      </w:r>
      <w:r w:rsidR="00FD0445">
        <w:t>1</w:t>
      </w:r>
      <w:r w:rsidR="00DE33BF">
        <w:t>8</w:t>
      </w:r>
      <w:r w:rsidR="00DF12F7">
        <w:t xml:space="preserve"> below shows the kWh savings for </w:t>
      </w:r>
      <w:r w:rsidR="00DE33BF">
        <w:t>2013</w:t>
      </w:r>
      <w:r w:rsidR="00DF12F7">
        <w:t xml:space="preserve">, by rate schedule, and the average savings by schedule over </w:t>
      </w:r>
      <w:proofErr w:type="gramStart"/>
      <w:r w:rsidR="00DF12F7">
        <w:t xml:space="preserve">the </w:t>
      </w:r>
      <w:r w:rsidR="00DE33BF">
        <w:t>that</w:t>
      </w:r>
      <w:proofErr w:type="gramEnd"/>
      <w:r w:rsidR="00DF12F7">
        <w:t xml:space="preserve"> time period:</w:t>
      </w:r>
      <w:r w:rsidR="002A7002">
        <w:rPr>
          <w:b/>
          <w:u w:val="single"/>
        </w:rPr>
        <w:br w:type="page"/>
      </w:r>
    </w:p>
    <w:p w:rsidR="00DF12F7" w:rsidRPr="00CF227B" w:rsidRDefault="00DF12F7" w:rsidP="00DF12F7">
      <w:pPr>
        <w:spacing w:line="480" w:lineRule="auto"/>
        <w:jc w:val="both"/>
        <w:rPr>
          <w:b/>
          <w:u w:val="single"/>
        </w:rPr>
      </w:pPr>
      <w:r w:rsidRPr="00CF227B">
        <w:rPr>
          <w:b/>
          <w:u w:val="single"/>
        </w:rPr>
        <w:lastRenderedPageBreak/>
        <w:t>Table 1</w:t>
      </w:r>
      <w:r w:rsidR="00DE33BF">
        <w:rPr>
          <w:b/>
          <w:u w:val="single"/>
        </w:rPr>
        <w:t>8</w:t>
      </w:r>
      <w:r w:rsidR="00645E0A">
        <w:rPr>
          <w:b/>
          <w:u w:val="single"/>
        </w:rPr>
        <w:t xml:space="preserve"> </w:t>
      </w:r>
      <w:r w:rsidRPr="00CF227B">
        <w:rPr>
          <w:b/>
          <w:u w:val="single"/>
        </w:rPr>
        <w:t>–</w:t>
      </w:r>
      <w:r>
        <w:rPr>
          <w:b/>
          <w:u w:val="single"/>
        </w:rPr>
        <w:t>2013</w:t>
      </w:r>
      <w:r w:rsidRPr="00CF227B">
        <w:rPr>
          <w:b/>
          <w:u w:val="single"/>
        </w:rPr>
        <w:t xml:space="preserve"> Electric Energy Savings by Rate Schedule</w:t>
      </w:r>
    </w:p>
    <w:p w:rsidR="00226A86" w:rsidRDefault="00DB0086">
      <w:pPr>
        <w:spacing w:line="480" w:lineRule="auto"/>
        <w:ind w:firstLine="720"/>
        <w:jc w:val="both"/>
      </w:pPr>
      <w:r w:rsidRPr="00DB0086">
        <w:rPr>
          <w:noProof/>
        </w:rPr>
        <w:drawing>
          <wp:anchor distT="0" distB="0" distL="114300" distR="114300" simplePos="0" relativeHeight="251876864" behindDoc="1" locked="0" layoutInCell="1" allowOverlap="1">
            <wp:simplePos x="0" y="0"/>
            <wp:positionH relativeFrom="column">
              <wp:posOffset>1347899</wp:posOffset>
            </wp:positionH>
            <wp:positionV relativeFrom="paragraph">
              <wp:posOffset>5740</wp:posOffset>
            </wp:positionV>
            <wp:extent cx="2835918" cy="1805049"/>
            <wp:effectExtent l="19050" t="0" r="2532"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2835918" cy="1805049"/>
                    </a:xfrm>
                    <a:prstGeom prst="rect">
                      <a:avLst/>
                    </a:prstGeom>
                    <a:noFill/>
                    <a:ln w="9525">
                      <a:noFill/>
                      <a:miter lim="800000"/>
                      <a:headEnd/>
                      <a:tailEnd/>
                    </a:ln>
                  </pic:spPr>
                </pic:pic>
              </a:graphicData>
            </a:graphic>
          </wp:anchor>
        </w:drawing>
      </w:r>
    </w:p>
    <w:p w:rsidR="00226A86" w:rsidRDefault="00226A86">
      <w:pPr>
        <w:spacing w:line="480" w:lineRule="auto"/>
        <w:ind w:firstLine="720"/>
        <w:jc w:val="both"/>
      </w:pPr>
    </w:p>
    <w:p w:rsidR="00226A86" w:rsidRDefault="00226A86">
      <w:pPr>
        <w:spacing w:line="480" w:lineRule="auto"/>
        <w:ind w:firstLine="720"/>
        <w:jc w:val="both"/>
      </w:pPr>
    </w:p>
    <w:p w:rsidR="00226A86" w:rsidRDefault="00226A86">
      <w:pPr>
        <w:spacing w:line="480" w:lineRule="auto"/>
        <w:ind w:firstLine="720"/>
        <w:jc w:val="both"/>
      </w:pPr>
    </w:p>
    <w:p w:rsidR="00226A86" w:rsidRDefault="00226A86">
      <w:pPr>
        <w:spacing w:line="480" w:lineRule="auto"/>
        <w:ind w:firstLine="720"/>
        <w:jc w:val="both"/>
      </w:pPr>
    </w:p>
    <w:p w:rsidR="00226A86" w:rsidRDefault="00226A86">
      <w:pPr>
        <w:spacing w:line="480" w:lineRule="auto"/>
        <w:ind w:firstLine="720"/>
        <w:jc w:val="both"/>
      </w:pPr>
    </w:p>
    <w:p w:rsidR="00DB0086" w:rsidRDefault="00DB0086" w:rsidP="00DB0086">
      <w:pPr>
        <w:spacing w:line="480" w:lineRule="auto"/>
        <w:ind w:firstLine="720"/>
        <w:jc w:val="both"/>
      </w:pPr>
      <w:r>
        <w:t>F</w:t>
      </w:r>
      <w:r w:rsidR="00DF12F7">
        <w:t xml:space="preserve">or 2014 for example, the estimated annual kWh savings is 41,486,000 kWhs.  Using the “% of Total” from Table </w:t>
      </w:r>
      <w:r w:rsidR="00FD0445">
        <w:t>1</w:t>
      </w:r>
      <w:r w:rsidR="00645E0A">
        <w:t>7</w:t>
      </w:r>
      <w:r w:rsidR="00DF12F7">
        <w:t xml:space="preserve"> above, </w:t>
      </w:r>
      <w:r>
        <w:t>72.9</w:t>
      </w:r>
      <w:r w:rsidR="00DF12F7">
        <w:t>% of 41,486,000 kWhs was allocated to Schedule 1</w:t>
      </w:r>
      <w:r w:rsidR="00996D9A">
        <w:t xml:space="preserve"> (</w:t>
      </w:r>
      <w:r>
        <w:t>30,255,740</w:t>
      </w:r>
      <w:r w:rsidR="00DF12F7">
        <w:t xml:space="preserve"> kWhs</w:t>
      </w:r>
      <w:r w:rsidR="00996D9A">
        <w:t>)</w:t>
      </w:r>
      <w:r w:rsidR="00DF12F7">
        <w:t>.</w:t>
      </w:r>
      <w:r>
        <w:t xml:space="preserve">  </w:t>
      </w:r>
    </w:p>
    <w:p w:rsidR="00135AD1" w:rsidRDefault="00135AD1" w:rsidP="00DB0086">
      <w:pPr>
        <w:spacing w:line="480" w:lineRule="auto"/>
        <w:ind w:firstLine="720"/>
        <w:jc w:val="both"/>
      </w:pPr>
      <w:r>
        <w:t xml:space="preserve">Table </w:t>
      </w:r>
      <w:r w:rsidR="00DE33BF">
        <w:t>19</w:t>
      </w:r>
      <w:r>
        <w:t xml:space="preserve"> below shows the kWh savings by year and by rate schedule (using the </w:t>
      </w:r>
      <w:r w:rsidR="00FD0445">
        <w:t>Average energy efficiency savings by</w:t>
      </w:r>
      <w:r>
        <w:t xml:space="preserve"> rate schedule spread</w:t>
      </w:r>
      <w:r w:rsidR="00FD0445">
        <w:t xml:space="preserve"> discussed above)</w:t>
      </w:r>
      <w:r>
        <w:t xml:space="preserve"> which were used in the DSM </w:t>
      </w:r>
      <w:r w:rsidR="00C92A6D">
        <w:t xml:space="preserve">Component of the </w:t>
      </w:r>
      <w:r w:rsidR="00DE33BF">
        <w:t>Pro Forma Cross Check Study</w:t>
      </w:r>
      <w:r>
        <w:t>:</w:t>
      </w:r>
      <w:r w:rsidR="00DE33BF">
        <w:t xml:space="preserve">  </w:t>
      </w:r>
    </w:p>
    <w:p w:rsidR="00135AD1" w:rsidRPr="00586BE2" w:rsidRDefault="00135AD1" w:rsidP="00135AD1">
      <w:pPr>
        <w:spacing w:line="480" w:lineRule="auto"/>
        <w:jc w:val="both"/>
        <w:rPr>
          <w:b/>
          <w:u w:val="single"/>
        </w:rPr>
      </w:pPr>
      <w:r w:rsidRPr="00586BE2">
        <w:rPr>
          <w:b/>
          <w:u w:val="single"/>
        </w:rPr>
        <w:t xml:space="preserve">Table </w:t>
      </w:r>
      <w:r w:rsidR="00DE33BF">
        <w:rPr>
          <w:b/>
          <w:u w:val="single"/>
        </w:rPr>
        <w:t>19</w:t>
      </w:r>
      <w:r w:rsidRPr="00586BE2">
        <w:rPr>
          <w:b/>
          <w:u w:val="single"/>
        </w:rPr>
        <w:t xml:space="preserve"> – Load Adjustment Electric Energy Savings by Rate Schedule</w:t>
      </w:r>
    </w:p>
    <w:p w:rsidR="00135AD1" w:rsidRPr="00586BE2" w:rsidRDefault="00DB0086" w:rsidP="00135AD1">
      <w:pPr>
        <w:spacing w:line="480" w:lineRule="auto"/>
        <w:jc w:val="both"/>
        <w:rPr>
          <w:b/>
          <w:u w:val="single"/>
        </w:rPr>
      </w:pPr>
      <w:r w:rsidRPr="00DB0086">
        <w:rPr>
          <w:noProof/>
        </w:rPr>
        <w:drawing>
          <wp:anchor distT="0" distB="0" distL="114300" distR="114300" simplePos="0" relativeHeight="251877888" behindDoc="1" locked="0" layoutInCell="1" allowOverlap="1">
            <wp:simplePos x="0" y="0"/>
            <wp:positionH relativeFrom="column">
              <wp:posOffset>-127679</wp:posOffset>
            </wp:positionH>
            <wp:positionV relativeFrom="paragraph">
              <wp:posOffset>186350</wp:posOffset>
            </wp:positionV>
            <wp:extent cx="6137201" cy="135033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6137201" cy="1350335"/>
                    </a:xfrm>
                    <a:prstGeom prst="rect">
                      <a:avLst/>
                    </a:prstGeom>
                    <a:noFill/>
                    <a:ln w="9525">
                      <a:noFill/>
                      <a:miter lim="800000"/>
                      <a:headEnd/>
                      <a:tailEnd/>
                    </a:ln>
                  </pic:spPr>
                </pic:pic>
              </a:graphicData>
            </a:graphic>
          </wp:anchor>
        </w:drawing>
      </w:r>
    </w:p>
    <w:p w:rsidR="00135AD1" w:rsidRPr="00586BE2" w:rsidRDefault="00135AD1" w:rsidP="00135AD1">
      <w:pPr>
        <w:spacing w:line="480" w:lineRule="auto"/>
        <w:jc w:val="both"/>
      </w:pPr>
    </w:p>
    <w:p w:rsidR="00135AD1" w:rsidRPr="00586BE2" w:rsidRDefault="00135AD1" w:rsidP="00135AD1">
      <w:pPr>
        <w:spacing w:line="480" w:lineRule="auto"/>
        <w:jc w:val="both"/>
      </w:pPr>
    </w:p>
    <w:p w:rsidR="00135AD1" w:rsidRDefault="00135AD1" w:rsidP="00135AD1">
      <w:pPr>
        <w:autoSpaceDE/>
        <w:autoSpaceDN/>
        <w:spacing w:line="480" w:lineRule="auto"/>
        <w:rPr>
          <w:b/>
        </w:rPr>
      </w:pPr>
    </w:p>
    <w:p w:rsidR="00DE33BF" w:rsidRDefault="00DE33BF" w:rsidP="00135AD1">
      <w:pPr>
        <w:spacing w:line="480" w:lineRule="auto"/>
        <w:ind w:firstLine="720"/>
        <w:jc w:val="both"/>
        <w:rPr>
          <w:b/>
        </w:rPr>
      </w:pPr>
    </w:p>
    <w:p w:rsidR="00135AD1" w:rsidRPr="006D0C1F" w:rsidRDefault="00135AD1" w:rsidP="00135AD1">
      <w:pPr>
        <w:spacing w:line="480" w:lineRule="auto"/>
        <w:ind w:firstLine="720"/>
        <w:jc w:val="both"/>
        <w:rPr>
          <w:b/>
        </w:rPr>
      </w:pPr>
      <w:r w:rsidRPr="006D0C1F">
        <w:rPr>
          <w:b/>
        </w:rPr>
        <w:t>Q.</w:t>
      </w:r>
      <w:r w:rsidRPr="006D0C1F">
        <w:rPr>
          <w:b/>
        </w:rPr>
        <w:tab/>
        <w:t xml:space="preserve">Please continue with your discussion of how the </w:t>
      </w:r>
      <w:r>
        <w:rPr>
          <w:b/>
        </w:rPr>
        <w:t xml:space="preserve">DSM Component of the </w:t>
      </w:r>
      <w:r w:rsidR="00DE33BF" w:rsidRPr="00DE33BF">
        <w:rPr>
          <w:b/>
        </w:rPr>
        <w:t xml:space="preserve">Pro Forma Cross Check Study </w:t>
      </w:r>
      <w:r w:rsidRPr="00DE33BF">
        <w:rPr>
          <w:b/>
        </w:rPr>
        <w:t>was</w:t>
      </w:r>
      <w:r w:rsidRPr="006D0C1F">
        <w:rPr>
          <w:b/>
        </w:rPr>
        <w:t xml:space="preserve"> calculated?</w:t>
      </w:r>
    </w:p>
    <w:p w:rsidR="00135AD1" w:rsidRPr="006D0C1F" w:rsidRDefault="00135AD1" w:rsidP="00135AD1">
      <w:pPr>
        <w:spacing w:line="480" w:lineRule="auto"/>
        <w:ind w:firstLine="720"/>
        <w:jc w:val="both"/>
      </w:pPr>
      <w:r w:rsidRPr="006D0C1F">
        <w:t>A.</w:t>
      </w:r>
      <w:r w:rsidRPr="006D0C1F">
        <w:tab/>
        <w:t>Having calculated the reduction in energy (kWh) by rate schedule, the Company then de</w:t>
      </w:r>
      <w:r w:rsidR="00DB0086">
        <w:t xml:space="preserve">veloped the “Revenue Change” shown </w:t>
      </w:r>
      <w:r w:rsidRPr="006D0C1F">
        <w:t xml:space="preserve">on </w:t>
      </w:r>
      <w:r>
        <w:t xml:space="preserve">line </w:t>
      </w:r>
      <w:r w:rsidR="00562C12">
        <w:t xml:space="preserve">11 </w:t>
      </w:r>
      <w:r>
        <w:t xml:space="preserve">on </w:t>
      </w:r>
      <w:r w:rsidRPr="006D0C1F">
        <w:t xml:space="preserve">Page 1 of </w:t>
      </w:r>
      <w:r>
        <w:t xml:space="preserve">Exhibit </w:t>
      </w:r>
      <w:r>
        <w:lastRenderedPageBreak/>
        <w:t>No.___</w:t>
      </w:r>
      <w:proofErr w:type="gramStart"/>
      <w:r>
        <w:t>_(</w:t>
      </w:r>
      <w:proofErr w:type="gramEnd"/>
      <w:r>
        <w:t>PDE-8)</w:t>
      </w:r>
      <w:r w:rsidRPr="006D0C1F">
        <w:t xml:space="preserve">.  As </w:t>
      </w:r>
      <w:r w:rsidR="00DB0086">
        <w:t>shown</w:t>
      </w:r>
      <w:r w:rsidRPr="006D0C1F">
        <w:t xml:space="preserve"> in that exhibit, the Company developed an </w:t>
      </w:r>
      <w:r>
        <w:t>“</w:t>
      </w:r>
      <w:r w:rsidRPr="006D0C1F">
        <w:t>Average Revenue per kWh</w:t>
      </w:r>
      <w:r>
        <w:t>”</w:t>
      </w:r>
      <w:r w:rsidRPr="006D0C1F">
        <w:t>.  In order to calculate Average Revenue per kWh, total present revenues by rate schedule, excluding fixed charge revenues, ar</w:t>
      </w:r>
      <w:r>
        <w:t xml:space="preserve">e divided by the </w:t>
      </w:r>
      <w:r w:rsidR="00DB0086">
        <w:t>test-period normalized</w:t>
      </w:r>
      <w:r>
        <w:t xml:space="preserve"> kWhs</w:t>
      </w:r>
      <w:r w:rsidRPr="006D0C1F">
        <w:t>.  The result of the calculation is the Average Revenue per kWh.  That rate multiplied by the kWh reduction by rate schedule as shown in Table 1</w:t>
      </w:r>
      <w:r w:rsidR="00DE33BF">
        <w:t>9</w:t>
      </w:r>
      <w:r w:rsidRPr="006D0C1F">
        <w:t xml:space="preserve"> above, </w:t>
      </w:r>
      <w:r>
        <w:t>results in th</w:t>
      </w:r>
      <w:r w:rsidRPr="006D0C1F">
        <w:t>e lost revenue by rate schedule</w:t>
      </w:r>
      <w:r>
        <w:t xml:space="preserve"> (see “Revenue Change” on line </w:t>
      </w:r>
      <w:r w:rsidR="00562C12">
        <w:t xml:space="preserve">11 </w:t>
      </w:r>
      <w:r>
        <w:t>on Page 1 of Exhibit No.___</w:t>
      </w:r>
      <w:proofErr w:type="gramStart"/>
      <w:r>
        <w:t>_(</w:t>
      </w:r>
      <w:proofErr w:type="gramEnd"/>
      <w:r>
        <w:t>PDE-8)</w:t>
      </w:r>
      <w:r w:rsidR="009F5837">
        <w:t>)</w:t>
      </w:r>
      <w:r>
        <w:t>.</w:t>
      </w:r>
    </w:p>
    <w:p w:rsidR="00135AD1" w:rsidRPr="006D0C1F" w:rsidRDefault="00135AD1" w:rsidP="00135AD1">
      <w:pPr>
        <w:spacing w:line="480" w:lineRule="auto"/>
        <w:ind w:firstLine="720"/>
        <w:jc w:val="both"/>
        <w:rPr>
          <w:b/>
        </w:rPr>
      </w:pPr>
      <w:r w:rsidRPr="006D0C1F">
        <w:rPr>
          <w:b/>
        </w:rPr>
        <w:t>Q.</w:t>
      </w:r>
      <w:r w:rsidRPr="006D0C1F">
        <w:rPr>
          <w:b/>
        </w:rPr>
        <w:tab/>
      </w:r>
      <w:r>
        <w:rPr>
          <w:b/>
        </w:rPr>
        <w:t>Why are revenues from fixed charges excluded from the Average Revenue per kWh equation</w:t>
      </w:r>
      <w:r w:rsidRPr="006D0C1F">
        <w:rPr>
          <w:b/>
        </w:rPr>
        <w:t>?</w:t>
      </w:r>
    </w:p>
    <w:p w:rsidR="00135AD1" w:rsidRPr="000C21C5" w:rsidRDefault="00135AD1" w:rsidP="00135AD1">
      <w:pPr>
        <w:spacing w:line="480" w:lineRule="auto"/>
        <w:ind w:firstLine="720"/>
        <w:jc w:val="both"/>
      </w:pPr>
      <w:r w:rsidRPr="006D0C1F">
        <w:t>A.</w:t>
      </w:r>
      <w:r w:rsidRPr="006D0C1F">
        <w:tab/>
      </w:r>
      <w:r>
        <w:t xml:space="preserve">Fixed charge revenues, such as the Basic Charge for Schedule 1, do not vary based on customer usage.  Had that revenue been included in the calculation, the Average </w:t>
      </w:r>
      <w:r w:rsidRPr="000C21C5">
        <w:t>Revenue per kWh would have been overstated.</w:t>
      </w:r>
    </w:p>
    <w:p w:rsidR="00135AD1" w:rsidRPr="000C21C5" w:rsidRDefault="00135AD1" w:rsidP="00135AD1">
      <w:pPr>
        <w:spacing w:line="480" w:lineRule="auto"/>
        <w:ind w:firstLine="720"/>
        <w:jc w:val="both"/>
        <w:rPr>
          <w:b/>
        </w:rPr>
      </w:pPr>
      <w:r w:rsidRPr="000C21C5">
        <w:rPr>
          <w:b/>
        </w:rPr>
        <w:t>Q.</w:t>
      </w:r>
      <w:r w:rsidRPr="000C21C5">
        <w:rPr>
          <w:b/>
        </w:rPr>
        <w:tab/>
        <w:t xml:space="preserve">Did the Company </w:t>
      </w:r>
      <w:proofErr w:type="gramStart"/>
      <w:r w:rsidRPr="000C21C5">
        <w:rPr>
          <w:b/>
        </w:rPr>
        <w:t>include</w:t>
      </w:r>
      <w:proofErr w:type="gramEnd"/>
      <w:r w:rsidRPr="000C21C5">
        <w:rPr>
          <w:b/>
        </w:rPr>
        <w:t xml:space="preserve"> a corresponding power </w:t>
      </w:r>
      <w:r>
        <w:rPr>
          <w:b/>
        </w:rPr>
        <w:t xml:space="preserve">supply </w:t>
      </w:r>
      <w:r w:rsidRPr="000C21C5">
        <w:rPr>
          <w:b/>
        </w:rPr>
        <w:t xml:space="preserve">cost savings reduction in its DSM </w:t>
      </w:r>
      <w:r w:rsidR="00C92A6D">
        <w:rPr>
          <w:b/>
        </w:rPr>
        <w:t xml:space="preserve">Component of </w:t>
      </w:r>
      <w:r w:rsidR="00C92A6D" w:rsidRPr="00DE33BF">
        <w:rPr>
          <w:b/>
        </w:rPr>
        <w:t xml:space="preserve">the </w:t>
      </w:r>
      <w:r w:rsidR="00DE33BF" w:rsidRPr="00DE33BF">
        <w:rPr>
          <w:b/>
        </w:rPr>
        <w:t>Pro Forma Cross Check Study</w:t>
      </w:r>
      <w:r w:rsidRPr="000C21C5">
        <w:rPr>
          <w:b/>
        </w:rPr>
        <w:t>?</w:t>
      </w:r>
    </w:p>
    <w:p w:rsidR="00135AD1" w:rsidRPr="000C21C5" w:rsidRDefault="00135AD1" w:rsidP="00135AD1">
      <w:pPr>
        <w:spacing w:line="480" w:lineRule="auto"/>
        <w:ind w:firstLine="720"/>
        <w:jc w:val="both"/>
      </w:pPr>
      <w:r w:rsidRPr="000C21C5">
        <w:t>A.</w:t>
      </w:r>
      <w:r w:rsidRPr="000C21C5">
        <w:tab/>
        <w:t>Yes</w:t>
      </w:r>
      <w:r w:rsidR="009F5837">
        <w:t>,</w:t>
      </w:r>
      <w:r w:rsidRPr="000C21C5">
        <w:t xml:space="preserve"> it did.  The Power Cost Savings is shown on line </w:t>
      </w:r>
      <w:r w:rsidR="008C630F">
        <w:t>12</w:t>
      </w:r>
      <w:r w:rsidR="008C630F" w:rsidRPr="000C21C5">
        <w:t xml:space="preserve"> </w:t>
      </w:r>
      <w:r w:rsidRPr="000C21C5">
        <w:t xml:space="preserve">on Page 1 of </w:t>
      </w:r>
      <w:r>
        <w:t>Exhibit No.___</w:t>
      </w:r>
      <w:proofErr w:type="gramStart"/>
      <w:r>
        <w:t>_(</w:t>
      </w:r>
      <w:proofErr w:type="gramEnd"/>
      <w:r>
        <w:t>PDE-8)</w:t>
      </w:r>
      <w:r w:rsidRPr="000C21C5">
        <w:t xml:space="preserve">.    </w:t>
      </w:r>
    </w:p>
    <w:p w:rsidR="00135AD1" w:rsidRPr="00BE21E7" w:rsidRDefault="00135AD1" w:rsidP="00135AD1">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What is the appropriate power price to use for the change in power supply cost due to a decrease in retail load</w:t>
      </w:r>
      <w:r w:rsidRPr="00BE21E7">
        <w:rPr>
          <w:rFonts w:ascii="Times New Roman" w:hAnsi="Times New Roman" w:cs="Times New Roman"/>
          <w:b/>
          <w:bCs/>
        </w:rPr>
        <w:t>?</w:t>
      </w:r>
    </w:p>
    <w:p w:rsidR="00135AD1" w:rsidRDefault="00135AD1" w:rsidP="00135AD1">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appropriate power price to use for the change in power supply cost during the </w:t>
      </w:r>
      <w:r w:rsidR="00DE33BF">
        <w:rPr>
          <w:rFonts w:ascii="Times New Roman" w:hAnsi="Times New Roman" w:cs="Times New Roman"/>
        </w:rPr>
        <w:t>2015 rate year</w:t>
      </w:r>
      <w:r>
        <w:rPr>
          <w:rFonts w:ascii="Times New Roman" w:hAnsi="Times New Roman" w:cs="Times New Roman"/>
        </w:rPr>
        <w:t xml:space="preserve"> due to a decrease in retail load is the average cost of spot market sales and purchases included in the pro forma power supply expense.  Any decrease in load will result in decreased spot market purchases and/or increased spot market sales.  This price </w:t>
      </w:r>
      <w:r>
        <w:rPr>
          <w:rFonts w:ascii="Times New Roman" w:hAnsi="Times New Roman" w:cs="Times New Roman"/>
        </w:rPr>
        <w:lastRenderedPageBreak/>
        <w:t>is represented by the average sale and purchase price of $31.</w:t>
      </w:r>
      <w:r w:rsidR="008C630F">
        <w:rPr>
          <w:rFonts w:ascii="Times New Roman" w:hAnsi="Times New Roman" w:cs="Times New Roman"/>
        </w:rPr>
        <w:t>2</w:t>
      </w:r>
      <w:r w:rsidR="00996D9A">
        <w:rPr>
          <w:rFonts w:ascii="Times New Roman" w:hAnsi="Times New Roman" w:cs="Times New Roman"/>
        </w:rPr>
        <w:t>6</w:t>
      </w:r>
      <w:r>
        <w:rPr>
          <w:rFonts w:ascii="Times New Roman" w:hAnsi="Times New Roman" w:cs="Times New Roman"/>
        </w:rPr>
        <w:t>/MWh</w:t>
      </w:r>
      <w:r w:rsidR="00F553EF">
        <w:rPr>
          <w:rStyle w:val="FootnoteReference"/>
          <w:rFonts w:ascii="Times New Roman" w:hAnsi="Times New Roman"/>
        </w:rPr>
        <w:footnoteReference w:id="13"/>
      </w:r>
      <w:r>
        <w:rPr>
          <w:rFonts w:ascii="Times New Roman" w:hAnsi="Times New Roman" w:cs="Times New Roman"/>
        </w:rPr>
        <w:t xml:space="preserve"> as determined by the AURORA</w:t>
      </w:r>
      <w:r w:rsidR="005E2247" w:rsidRPr="005E2247">
        <w:rPr>
          <w:rFonts w:ascii="Times New Roman" w:hAnsi="Times New Roman" w:cs="Times New Roman"/>
          <w:vertAlign w:val="superscript"/>
        </w:rPr>
        <w:t>XMP</w:t>
      </w:r>
      <w:r>
        <w:rPr>
          <w:rFonts w:ascii="Times New Roman" w:hAnsi="Times New Roman" w:cs="Times New Roman"/>
        </w:rPr>
        <w:t xml:space="preserve"> model for </w:t>
      </w:r>
      <w:r w:rsidR="00DE33BF">
        <w:rPr>
          <w:rFonts w:ascii="Times New Roman" w:hAnsi="Times New Roman" w:cs="Times New Roman"/>
        </w:rPr>
        <w:t>the 2015 rate year</w:t>
      </w:r>
      <w:r>
        <w:rPr>
          <w:rFonts w:ascii="Times New Roman" w:hAnsi="Times New Roman" w:cs="Times New Roman"/>
        </w:rPr>
        <w:t>.</w:t>
      </w:r>
    </w:p>
    <w:p w:rsidR="00A64306" w:rsidRPr="00BE21E7" w:rsidRDefault="00A64306" w:rsidP="00A64306">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r>
      <w:r w:rsidR="00DB0086">
        <w:rPr>
          <w:rFonts w:ascii="Times New Roman" w:hAnsi="Times New Roman" w:cs="Times New Roman"/>
          <w:b/>
          <w:bCs/>
        </w:rPr>
        <w:t xml:space="preserve">Would </w:t>
      </w:r>
      <w:r>
        <w:rPr>
          <w:rFonts w:ascii="Times New Roman" w:hAnsi="Times New Roman" w:cs="Times New Roman"/>
          <w:b/>
          <w:bCs/>
        </w:rPr>
        <w:t>you please summarize the calculation of the DSM Component of th</w:t>
      </w:r>
      <w:r w:rsidRPr="00DE33BF">
        <w:rPr>
          <w:rFonts w:ascii="Times New Roman" w:hAnsi="Times New Roman" w:cs="Times New Roman"/>
          <w:b/>
          <w:bCs/>
        </w:rPr>
        <w:t xml:space="preserve">e </w:t>
      </w:r>
      <w:r w:rsidR="00DE33BF" w:rsidRPr="00DE33BF">
        <w:rPr>
          <w:rFonts w:ascii="Times New Roman" w:hAnsi="Times New Roman" w:cs="Times New Roman"/>
          <w:b/>
        </w:rPr>
        <w:t>Pro Forma Cross Check Study</w:t>
      </w:r>
      <w:r w:rsidRPr="00BE21E7">
        <w:rPr>
          <w:rFonts w:ascii="Times New Roman" w:hAnsi="Times New Roman" w:cs="Times New Roman"/>
          <w:b/>
          <w:bCs/>
        </w:rPr>
        <w:t>?</w:t>
      </w:r>
    </w:p>
    <w:p w:rsidR="00A64306" w:rsidRPr="00CF227B" w:rsidRDefault="00A64306" w:rsidP="00996D9A">
      <w:pPr>
        <w:spacing w:line="480" w:lineRule="auto"/>
        <w:ind w:firstLine="720"/>
        <w:jc w:val="both"/>
      </w:pPr>
      <w:r>
        <w:t>A.</w:t>
      </w:r>
      <w:r>
        <w:tab/>
        <w:t xml:space="preserve">Yes.  The DSM Component of the </w:t>
      </w:r>
      <w:r w:rsidR="00DE33BF">
        <w:t xml:space="preserve">Pro Forma Cross Check Study </w:t>
      </w:r>
      <w:r>
        <w:t xml:space="preserve">calculation takes the </w:t>
      </w:r>
      <w:r w:rsidR="0007197F">
        <w:t xml:space="preserve">“Revenue Change” on line </w:t>
      </w:r>
      <w:r w:rsidR="008C630F">
        <w:t xml:space="preserve">11 </w:t>
      </w:r>
      <w:r w:rsidR="0007197F">
        <w:t>on Page 1 of Exhibit No.___</w:t>
      </w:r>
      <w:proofErr w:type="gramStart"/>
      <w:r w:rsidR="0007197F">
        <w:t>_(</w:t>
      </w:r>
      <w:proofErr w:type="gramEnd"/>
      <w:r w:rsidR="0007197F">
        <w:t>PDE-8)</w:t>
      </w:r>
      <w:r w:rsidR="00F04E95">
        <w:t xml:space="preserve"> </w:t>
      </w:r>
      <w:r w:rsidR="0007197F">
        <w:t>and subtracts from that “</w:t>
      </w:r>
      <w:r>
        <w:t>Power Cost Savings</w:t>
      </w:r>
      <w:r w:rsidR="0007197F">
        <w:t>”</w:t>
      </w:r>
      <w:r w:rsidR="00DB40E5">
        <w:t xml:space="preserve"> </w:t>
      </w:r>
      <w:r w:rsidR="0007197F">
        <w:t xml:space="preserve">(line </w:t>
      </w:r>
      <w:r w:rsidR="008C630F">
        <w:t>12</w:t>
      </w:r>
      <w:r w:rsidR="0007197F">
        <w:t xml:space="preserve">) as well as </w:t>
      </w:r>
      <w:r w:rsidR="00DB40E5">
        <w:t>R</w:t>
      </w:r>
      <w:r>
        <w:t xml:space="preserve">evenue </w:t>
      </w:r>
      <w:r w:rsidR="00DB40E5">
        <w:t>R</w:t>
      </w:r>
      <w:r>
        <w:t xml:space="preserve">elated </w:t>
      </w:r>
      <w:r w:rsidR="00DB40E5">
        <w:t>E</w:t>
      </w:r>
      <w:r>
        <w:t>xpenses</w:t>
      </w:r>
      <w:r w:rsidR="0007197F">
        <w:t xml:space="preserve"> (line </w:t>
      </w:r>
      <w:r w:rsidR="008C630F">
        <w:t>13</w:t>
      </w:r>
      <w:r w:rsidR="0007197F">
        <w:t>).</w:t>
      </w:r>
      <w:r w:rsidR="00DB40E5">
        <w:t xml:space="preserve"> </w:t>
      </w:r>
      <w:r w:rsidR="0007197F">
        <w:t xml:space="preserve"> </w:t>
      </w:r>
      <w:r w:rsidR="00DB40E5">
        <w:t xml:space="preserve">The result is shown on line </w:t>
      </w:r>
      <w:r w:rsidR="008C630F">
        <w:t>14</w:t>
      </w:r>
      <w:r w:rsidR="00DB40E5">
        <w:t>, “</w:t>
      </w:r>
      <w:r>
        <w:t xml:space="preserve">DSM Component of the </w:t>
      </w:r>
      <w:r w:rsidR="00DE33BF">
        <w:t>Pro Forma Cross Check Study</w:t>
      </w:r>
      <w:r w:rsidR="00DB40E5">
        <w:t>”</w:t>
      </w:r>
      <w:r>
        <w:t xml:space="preserve"> by rate schedule.  The final result of this component is a $</w:t>
      </w:r>
      <w:r w:rsidR="00A06D3D">
        <w:t>5,112,118</w:t>
      </w:r>
      <w:r>
        <w:t xml:space="preserve"> increase in net expense (line </w:t>
      </w:r>
      <w:r w:rsidR="008C630F">
        <w:t xml:space="preserve">14 </w:t>
      </w:r>
      <w:r>
        <w:t>on Page 1 of Exhibit No.___</w:t>
      </w:r>
      <w:proofErr w:type="gramStart"/>
      <w:r>
        <w:t>_(</w:t>
      </w:r>
      <w:proofErr w:type="gramEnd"/>
      <w:r>
        <w:t xml:space="preserve">PDE-8)) and was given to Company witness Ms. Andrews for incorporation into </w:t>
      </w:r>
      <w:r w:rsidR="00DB0086">
        <w:t xml:space="preserve">her </w:t>
      </w:r>
      <w:r w:rsidR="00083D6D">
        <w:t>Pro Forma Cross Check Study</w:t>
      </w:r>
      <w:r>
        <w:t>.</w:t>
      </w:r>
    </w:p>
    <w:p w:rsidR="00872D83" w:rsidRPr="00407743" w:rsidRDefault="00872D83" w:rsidP="00996D9A">
      <w:pPr>
        <w:spacing w:line="480" w:lineRule="auto"/>
        <w:ind w:firstLine="720"/>
        <w:jc w:val="both"/>
        <w:rPr>
          <w:b/>
        </w:rPr>
      </w:pPr>
      <w:r w:rsidRPr="00407743">
        <w:rPr>
          <w:b/>
        </w:rPr>
        <w:t>Q.</w:t>
      </w:r>
      <w:r w:rsidRPr="00407743">
        <w:rPr>
          <w:b/>
        </w:rPr>
        <w:tab/>
        <w:t xml:space="preserve">Does the Company </w:t>
      </w:r>
      <w:proofErr w:type="gramStart"/>
      <w:r w:rsidRPr="00407743">
        <w:rPr>
          <w:b/>
        </w:rPr>
        <w:t>have</w:t>
      </w:r>
      <w:proofErr w:type="gramEnd"/>
      <w:r w:rsidRPr="00407743">
        <w:rPr>
          <w:b/>
        </w:rPr>
        <w:t xml:space="preserve"> the necessary funding to obtain the mandated conservation targets?</w:t>
      </w:r>
    </w:p>
    <w:p w:rsidR="00C92A6D" w:rsidRDefault="00872D83" w:rsidP="00996D9A">
      <w:pPr>
        <w:spacing w:line="480" w:lineRule="auto"/>
        <w:ind w:firstLine="720"/>
        <w:jc w:val="both"/>
        <w:rPr>
          <w:b/>
        </w:rPr>
      </w:pPr>
      <w:r w:rsidRPr="00407743">
        <w:t>A.</w:t>
      </w:r>
      <w:r w:rsidRPr="00407743">
        <w:tab/>
        <w:t>Yes, it does</w:t>
      </w:r>
      <w:r w:rsidR="00357DE8">
        <w:t xml:space="preserve">. </w:t>
      </w:r>
      <w:proofErr w:type="gramStart"/>
      <w:r w:rsidR="00357DE8" w:rsidRPr="00357DE8">
        <w:t>As part of the conditions approved by the Commission in Docket No.</w:t>
      </w:r>
      <w:proofErr w:type="gramEnd"/>
      <w:r w:rsidR="00357DE8" w:rsidRPr="00357DE8">
        <w:t xml:space="preserve"> UE-111882, Order 01 at Paragraph 30 (d),  Avista must file with the Commission </w:t>
      </w:r>
      <w:r w:rsidR="00357DE8">
        <w:t xml:space="preserve">on an annual basis </w:t>
      </w:r>
      <w:r w:rsidR="00357DE8" w:rsidRPr="00357DE8">
        <w:t>a cost recovery tariff by June 1</w:t>
      </w:r>
      <w:r w:rsidR="00357DE8">
        <w:t xml:space="preserve"> of each year</w:t>
      </w:r>
      <w:r w:rsidR="00357DE8" w:rsidRPr="00357DE8">
        <w:t xml:space="preserve">, with a requested effective date of August 1. </w:t>
      </w:r>
      <w:r w:rsidR="00357DE8">
        <w:t xml:space="preserve"> The Company made such a filing on May 31, 2013 in Docket UE-131213.</w:t>
      </w:r>
      <w:r w:rsidR="00357DE8" w:rsidRPr="00357DE8">
        <w:t xml:space="preserve"> The Company’s tariff rider mechanism is designed to match future revenue with budgeted expenditures. To ensure appropriate recovery, the mechanism includes a true-up feature that reconciles the previous period</w:t>
      </w:r>
      <w:r w:rsidR="00DB0086">
        <w:t>’</w:t>
      </w:r>
      <w:r w:rsidR="00357DE8" w:rsidRPr="00357DE8">
        <w:t>s actual expenditures and collections.</w:t>
      </w:r>
    </w:p>
    <w:p w:rsidR="00872D83" w:rsidRPr="00407743" w:rsidRDefault="00872D83" w:rsidP="00996D9A">
      <w:pPr>
        <w:spacing w:line="480" w:lineRule="auto"/>
        <w:ind w:firstLine="720"/>
        <w:jc w:val="both"/>
        <w:rPr>
          <w:b/>
        </w:rPr>
      </w:pPr>
      <w:r w:rsidRPr="00407743">
        <w:rPr>
          <w:b/>
        </w:rPr>
        <w:t>Q.</w:t>
      </w:r>
      <w:r w:rsidRPr="00407743">
        <w:rPr>
          <w:b/>
        </w:rPr>
        <w:tab/>
        <w:t xml:space="preserve">Does the Company </w:t>
      </w:r>
      <w:proofErr w:type="gramStart"/>
      <w:r w:rsidRPr="00407743">
        <w:rPr>
          <w:b/>
        </w:rPr>
        <w:t>have</w:t>
      </w:r>
      <w:proofErr w:type="gramEnd"/>
      <w:r w:rsidRPr="00407743">
        <w:rPr>
          <w:b/>
        </w:rPr>
        <w:t xml:space="preserve"> the programs in place in order to meet its conservation targets?</w:t>
      </w:r>
    </w:p>
    <w:p w:rsidR="00872D83" w:rsidRPr="00407743" w:rsidRDefault="00872D83" w:rsidP="00996D9A">
      <w:pPr>
        <w:spacing w:line="480" w:lineRule="auto"/>
        <w:ind w:firstLine="720"/>
        <w:jc w:val="both"/>
        <w:rPr>
          <w:b/>
        </w:rPr>
      </w:pPr>
      <w:r w:rsidRPr="00407743">
        <w:lastRenderedPageBreak/>
        <w:t>A.</w:t>
      </w:r>
      <w:r w:rsidRPr="00407743">
        <w:tab/>
        <w:t xml:space="preserve">Yes.  </w:t>
      </w:r>
      <w:r w:rsidR="00407743" w:rsidRPr="00407743">
        <w:t xml:space="preserve">Avista offers a wide range of electric and natural gas efficiency programs to our customers as well as supports outreach, infrastructure and educational programs.  These programs are comprehensively reviewed on an annual basis as part of a business planning process, a process which established an operational plan for </w:t>
      </w:r>
      <w:r w:rsidR="000C21C5" w:rsidRPr="00407743">
        <w:t>achieving</w:t>
      </w:r>
      <w:r w:rsidR="00407743" w:rsidRPr="00407743">
        <w:t xml:space="preserve"> all cost-effective conservation through available or contemplated tools.</w:t>
      </w:r>
      <w:r w:rsidRPr="00407743">
        <w:t xml:space="preserve">  </w:t>
      </w:r>
      <w:r w:rsidR="00407743" w:rsidRPr="00407743">
        <w:t>In short, t</w:t>
      </w:r>
      <w:r w:rsidRPr="00407743">
        <w:t>he Company has the necessary funding and program offerings in place in order to meet its electric conservation targets.</w:t>
      </w:r>
    </w:p>
    <w:p w:rsidR="002079A8" w:rsidRPr="00083D6D" w:rsidRDefault="002079A8" w:rsidP="002079A8">
      <w:pPr>
        <w:spacing w:line="480" w:lineRule="auto"/>
        <w:ind w:firstLine="720"/>
        <w:jc w:val="both"/>
        <w:rPr>
          <w:b/>
        </w:rPr>
      </w:pPr>
      <w:r w:rsidRPr="00407743">
        <w:rPr>
          <w:b/>
        </w:rPr>
        <w:t>Q.</w:t>
      </w:r>
      <w:r w:rsidRPr="00407743">
        <w:rPr>
          <w:b/>
        </w:rPr>
        <w:tab/>
      </w:r>
      <w:r>
        <w:rPr>
          <w:b/>
        </w:rPr>
        <w:t xml:space="preserve">The Company is requesting an electric and natural gas decoupling mechanism in this case.  Is the DSM </w:t>
      </w:r>
      <w:r w:rsidR="00303750">
        <w:rPr>
          <w:b/>
        </w:rPr>
        <w:t>Component</w:t>
      </w:r>
      <w:r>
        <w:rPr>
          <w:b/>
        </w:rPr>
        <w:t xml:space="preserve"> of </w:t>
      </w:r>
      <w:r w:rsidRPr="00083D6D">
        <w:rPr>
          <w:b/>
        </w:rPr>
        <w:t xml:space="preserve">the </w:t>
      </w:r>
      <w:r w:rsidR="00083D6D" w:rsidRPr="00083D6D">
        <w:rPr>
          <w:b/>
        </w:rPr>
        <w:t xml:space="preserve">Pro Forma Cross Check Study </w:t>
      </w:r>
      <w:r w:rsidRPr="00083D6D">
        <w:rPr>
          <w:b/>
        </w:rPr>
        <w:t>duplicative to a decoupling mechanism?</w:t>
      </w:r>
    </w:p>
    <w:p w:rsidR="00444CEA" w:rsidRDefault="002079A8" w:rsidP="00872D83">
      <w:pPr>
        <w:spacing w:line="480" w:lineRule="auto"/>
        <w:ind w:firstLine="720"/>
        <w:jc w:val="both"/>
      </w:pPr>
      <w:r w:rsidRPr="00407743">
        <w:t>A.</w:t>
      </w:r>
      <w:r w:rsidRPr="00407743">
        <w:tab/>
      </w:r>
      <w:r>
        <w:t xml:space="preserve">No, it is not duplicative.  The DSM Component is an adjustment in Ms. Andrews’ </w:t>
      </w:r>
      <w:r w:rsidR="00083D6D">
        <w:t>Pro Forma Cross Check Study</w:t>
      </w:r>
      <w:r>
        <w:t xml:space="preserve">. </w:t>
      </w:r>
      <w:r w:rsidR="00310EBD">
        <w:t>Th</w:t>
      </w:r>
      <w:r w:rsidR="00083D6D">
        <w:t>is</w:t>
      </w:r>
      <w:r w:rsidR="00310EBD">
        <w:t xml:space="preserve"> </w:t>
      </w:r>
      <w:r w:rsidR="00083D6D">
        <w:t>analysis</w:t>
      </w:r>
      <w:r w:rsidR="003636C6">
        <w:t xml:space="preserve"> is being used to support</w:t>
      </w:r>
      <w:r w:rsidR="00DB0086">
        <w:t>, or as a cross-check on,</w:t>
      </w:r>
      <w:r w:rsidR="003636C6">
        <w:t xml:space="preserve"> the Company’s</w:t>
      </w:r>
      <w:r w:rsidR="00310EBD">
        <w:t xml:space="preserve"> </w:t>
      </w:r>
      <w:r w:rsidR="00DB0086">
        <w:t>rate request through its</w:t>
      </w:r>
      <w:r w:rsidR="003636C6">
        <w:t xml:space="preserve"> </w:t>
      </w:r>
      <w:r w:rsidR="00083D6D">
        <w:t>At</w:t>
      </w:r>
      <w:r w:rsidR="003636C6">
        <w:t xml:space="preserve">trition </w:t>
      </w:r>
      <w:r w:rsidR="00083D6D">
        <w:t>A</w:t>
      </w:r>
      <w:r w:rsidR="003636C6">
        <w:t xml:space="preserve">nalysis.  </w:t>
      </w:r>
      <w:r w:rsidR="00444CEA">
        <w:t>The Company did not otherwise adjust its test year billing determinants as a part of this adjustment.</w:t>
      </w:r>
    </w:p>
    <w:p w:rsidR="00D34F06" w:rsidRPr="00D34F06" w:rsidRDefault="002079A8" w:rsidP="00D34F06">
      <w:pPr>
        <w:spacing w:line="480" w:lineRule="auto"/>
        <w:ind w:firstLine="720"/>
        <w:jc w:val="both"/>
      </w:pPr>
      <w:r>
        <w:t>The proposed decoupling mechanism</w:t>
      </w:r>
      <w:r w:rsidR="003636C6">
        <w:t>s</w:t>
      </w:r>
      <w:r>
        <w:t xml:space="preserve">, on the other hand, </w:t>
      </w:r>
      <w:r w:rsidR="00310EBD">
        <w:t>are</w:t>
      </w:r>
      <w:r w:rsidR="003636C6">
        <w:t xml:space="preserve"> mechanisms</w:t>
      </w:r>
      <w:r w:rsidR="00310EBD">
        <w:t xml:space="preserve"> that would go into</w:t>
      </w:r>
      <w:r w:rsidR="003636C6">
        <w:t xml:space="preserve"> effect after new rates go into effect.  The</w:t>
      </w:r>
      <w:r w:rsidR="00310EBD">
        <w:t xml:space="preserve"> decoupling</w:t>
      </w:r>
      <w:r w:rsidR="003636C6">
        <w:t xml:space="preserve"> mechanisms would ensure that the Company would recover an a</w:t>
      </w:r>
      <w:r w:rsidR="00444CEA">
        <w:t>greed upon revenue per customer</w:t>
      </w:r>
      <w:r w:rsidR="00085E52">
        <w:t xml:space="preserve"> going forward</w:t>
      </w:r>
      <w:r w:rsidR="00444CEA">
        <w:t xml:space="preserve"> -</w:t>
      </w:r>
      <w:r w:rsidR="003636C6">
        <w:t xml:space="preserve"> no more and no less.  </w:t>
      </w:r>
      <w:r w:rsidR="00D34F06">
        <w:br w:type="page"/>
      </w:r>
    </w:p>
    <w:p w:rsidR="00FD3616" w:rsidRDefault="00FD3616" w:rsidP="00FD3616">
      <w:pPr>
        <w:pStyle w:val="P267"/>
        <w:tabs>
          <w:tab w:val="clear" w:pos="360"/>
          <w:tab w:val="left" w:pos="0"/>
        </w:tabs>
        <w:ind w:left="0"/>
        <w:jc w:val="center"/>
        <w:rPr>
          <w:rFonts w:ascii="Times New Roman" w:hAnsi="Times New Roman" w:cs="Times New Roman"/>
        </w:rPr>
      </w:pPr>
      <w:r w:rsidRPr="00B361D5">
        <w:rPr>
          <w:rFonts w:ascii="Times New Roman" w:hAnsi="Times New Roman" w:cs="Times New Roman"/>
        </w:rPr>
        <w:lastRenderedPageBreak/>
        <w:t>VI</w:t>
      </w:r>
      <w:r w:rsidR="00E000F4">
        <w:rPr>
          <w:rFonts w:ascii="Times New Roman" w:hAnsi="Times New Roman" w:cs="Times New Roman"/>
        </w:rPr>
        <w:t>I</w:t>
      </w:r>
      <w:proofErr w:type="gramStart"/>
      <w:r w:rsidRPr="00B361D5">
        <w:rPr>
          <w:rFonts w:ascii="Times New Roman" w:hAnsi="Times New Roman" w:cs="Times New Roman"/>
        </w:rPr>
        <w:t xml:space="preserve">.  </w:t>
      </w:r>
      <w:r>
        <w:rPr>
          <w:rFonts w:ascii="Times New Roman" w:hAnsi="Times New Roman" w:cs="Times New Roman"/>
        </w:rPr>
        <w:t>ELECTRIC</w:t>
      </w:r>
      <w:proofErr w:type="gramEnd"/>
      <w:r>
        <w:rPr>
          <w:rFonts w:ascii="Times New Roman" w:hAnsi="Times New Roman" w:cs="Times New Roman"/>
        </w:rPr>
        <w:t xml:space="preserve"> AND NATURAL GAS DECOUPLING MECHANISMS</w:t>
      </w:r>
    </w:p>
    <w:p w:rsidR="0075372F" w:rsidRPr="005540EB" w:rsidRDefault="00FD3616" w:rsidP="0075372F">
      <w:pPr>
        <w:pStyle w:val="P84"/>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0075372F">
        <w:rPr>
          <w:rFonts w:ascii="Times New Roman" w:hAnsi="Times New Roman" w:cs="Times New Roman"/>
        </w:rPr>
        <w:t xml:space="preserve">Q.  </w:t>
      </w:r>
      <w:r w:rsidR="0075372F">
        <w:rPr>
          <w:rFonts w:ascii="Times New Roman" w:hAnsi="Times New Roman" w:cs="Times New Roman"/>
        </w:rPr>
        <w:tab/>
        <w:t>Is the Company requesting an electric and natural gas decoupling mechanism in this general rate case?</w:t>
      </w:r>
      <w:proofErr w:type="gramEnd"/>
    </w:p>
    <w:p w:rsidR="0075372F" w:rsidRDefault="0075372F" w:rsidP="0075372F">
      <w:pPr>
        <w:spacing w:line="480" w:lineRule="auto"/>
        <w:jc w:val="both"/>
      </w:pPr>
      <w:r>
        <w:tab/>
      </w:r>
      <w:r w:rsidRPr="00017B48">
        <w:t>A.</w:t>
      </w:r>
      <w:r w:rsidRPr="00017B48">
        <w:tab/>
      </w:r>
      <w:r>
        <w:t>Yes, t</w:t>
      </w:r>
      <w:r w:rsidR="001E455B">
        <w:t xml:space="preserve">he Company is requesting both an </w:t>
      </w:r>
      <w:r w:rsidR="00D30451">
        <w:t>E</w:t>
      </w:r>
      <w:r>
        <w:t xml:space="preserve">lectric </w:t>
      </w:r>
      <w:r w:rsidR="00D30451">
        <w:t>D</w:t>
      </w:r>
      <w:r>
        <w:t xml:space="preserve">ecoupling </w:t>
      </w:r>
      <w:r w:rsidR="00D30451">
        <w:t>M</w:t>
      </w:r>
      <w:r>
        <w:t xml:space="preserve">echanism, as well as a </w:t>
      </w:r>
      <w:r w:rsidR="00D30451">
        <w:t>Natural Gas D</w:t>
      </w:r>
      <w:r>
        <w:t xml:space="preserve">ecoupling </w:t>
      </w:r>
      <w:r w:rsidR="00D30451">
        <w:t>M</w:t>
      </w:r>
      <w:r>
        <w:t>echanism that would</w:t>
      </w:r>
      <w:r w:rsidR="00444CEA">
        <w:t xml:space="preserve"> replace the Company’s existing limited </w:t>
      </w:r>
      <w:r>
        <w:t xml:space="preserve">natural gas decoupling mechanism.  </w:t>
      </w:r>
      <w:r w:rsidR="00A65961">
        <w:t xml:space="preserve">The </w:t>
      </w:r>
      <w:r w:rsidR="00F51458">
        <w:t>Company</w:t>
      </w:r>
      <w:r w:rsidR="00A65961">
        <w:t xml:space="preserve"> believes, for reasons stated below, that the mechanisms </w:t>
      </w:r>
      <w:r w:rsidR="001E455B">
        <w:t xml:space="preserve">would </w:t>
      </w:r>
      <w:r w:rsidR="00A65961">
        <w:t>provide benefits to both the Company and its customers</w:t>
      </w:r>
      <w:r w:rsidR="00EC06E6">
        <w:t>,</w:t>
      </w:r>
      <w:r w:rsidR="00A65961">
        <w:t xml:space="preserve"> and therefore </w:t>
      </w:r>
      <w:r w:rsidR="00C227DF">
        <w:t>are</w:t>
      </w:r>
      <w:r w:rsidR="00A65961">
        <w:t xml:space="preserve"> in the public interest and should be </w:t>
      </w:r>
      <w:r>
        <w:t>approved</w:t>
      </w:r>
      <w:r w:rsidR="00A65961">
        <w:t xml:space="preserve"> effective</w:t>
      </w:r>
      <w:r>
        <w:t xml:space="preserve"> January 1, 2015.</w:t>
      </w:r>
    </w:p>
    <w:p w:rsidR="0075372F" w:rsidRDefault="0075372F" w:rsidP="0075372F">
      <w:pPr>
        <w:pStyle w:val="P84"/>
        <w:ind w:left="0"/>
        <w:jc w:val="both"/>
        <w:rPr>
          <w:rFonts w:ascii="Times New Roman" w:hAnsi="Times New Roman" w:cs="Times New Roman"/>
        </w:rPr>
      </w:pPr>
      <w:r>
        <w:tab/>
      </w:r>
      <w:r>
        <w:tab/>
      </w:r>
      <w:proofErr w:type="gramStart"/>
      <w:r>
        <w:rPr>
          <w:rFonts w:ascii="Times New Roman" w:hAnsi="Times New Roman" w:cs="Times New Roman"/>
        </w:rPr>
        <w:t xml:space="preserve">Q.  </w:t>
      </w:r>
      <w:r>
        <w:rPr>
          <w:rFonts w:ascii="Times New Roman" w:hAnsi="Times New Roman" w:cs="Times New Roman"/>
        </w:rPr>
        <w:tab/>
        <w:t>What has been the Company’s view on decoupling in the past?</w:t>
      </w:r>
      <w:proofErr w:type="gramEnd"/>
    </w:p>
    <w:p w:rsidR="0075372F" w:rsidRDefault="0075372F" w:rsidP="0075372F">
      <w:pPr>
        <w:spacing w:line="480" w:lineRule="auto"/>
        <w:jc w:val="both"/>
      </w:pPr>
      <w:r>
        <w:tab/>
      </w:r>
      <w:r w:rsidRPr="00017B48">
        <w:t>A.</w:t>
      </w:r>
      <w:r w:rsidRPr="00017B48">
        <w:tab/>
      </w:r>
      <w:r>
        <w:t xml:space="preserve">Avista has had a limited natural gas decoupling mechanism since 2007, and has provided comments both through workshops and in testimony where </w:t>
      </w:r>
      <w:r w:rsidR="00310EBD">
        <w:t xml:space="preserve">it has expressed its </w:t>
      </w:r>
      <w:r>
        <w:t>suppor</w:t>
      </w:r>
      <w:r w:rsidR="00310EBD">
        <w:t>t</w:t>
      </w:r>
      <w:r>
        <w:t xml:space="preserve"> of decoupling in general, as long as such mechanism</w:t>
      </w:r>
      <w:r w:rsidR="00310EBD">
        <w:t>s</w:t>
      </w:r>
      <w:r>
        <w:t xml:space="preserve"> were designed and implemented in a way that truly “fixes” the problem that necessitates a need for a decoupling-type mechanism in the first place.  The traditional problem is that rates are established in a general rate case to provide revenue to recover the fixed costs to provide service to customers.  However, the majority of that revenue is received on a volumetric basis, </w:t>
      </w:r>
      <w:r w:rsidRPr="00FC2878">
        <w:rPr>
          <w:u w:val="single"/>
        </w:rPr>
        <w:t>i.e.,</w:t>
      </w:r>
      <w:r>
        <w:t xml:space="preserve"> based on the volume of kWh</w:t>
      </w:r>
      <w:r w:rsidR="00310EBD">
        <w:t xml:space="preserve"> and therm</w:t>
      </w:r>
      <w:r>
        <w:t xml:space="preserve"> sales.  </w:t>
      </w:r>
    </w:p>
    <w:p w:rsidR="0075372F" w:rsidRDefault="0075372F" w:rsidP="0075372F">
      <w:pPr>
        <w:spacing w:line="480" w:lineRule="auto"/>
        <w:ind w:firstLine="720"/>
        <w:jc w:val="both"/>
      </w:pPr>
      <w:r>
        <w:t xml:space="preserve">At the same time, Avista is obligated by law to pay its customers to use fewer kWhs through the implementation of energy efficiency measures, and, if unsuccessful, would incur stiff penalties.  After new retail rates are established in a rate case, all other things being equal, Avista’s customers will, in fact, consume a lower volume of kWh than that included in designing the rates, and therefore revenues will not be sufficient to cover Avista’s costs.  </w:t>
      </w:r>
      <w:r w:rsidR="004034D5">
        <w:t xml:space="preserve">As discussed earlier and shown on Illustration No. </w:t>
      </w:r>
      <w:r w:rsidR="00EC06E6">
        <w:t>4</w:t>
      </w:r>
      <w:r w:rsidR="004034D5">
        <w:t xml:space="preserve">, </w:t>
      </w:r>
      <w:r w:rsidR="00EC06E6">
        <w:t xml:space="preserve">if the </w:t>
      </w:r>
      <w:r>
        <w:t xml:space="preserve">ratemaking process does not </w:t>
      </w:r>
      <w:r>
        <w:lastRenderedPageBreak/>
        <w:t xml:space="preserve">account for the known reduction in kWh sales related to energy efficiency, rates set based on historical test period loads are actually designed to </w:t>
      </w:r>
      <w:r w:rsidRPr="00C246B8">
        <w:rPr>
          <w:u w:val="single"/>
        </w:rPr>
        <w:t>not</w:t>
      </w:r>
      <w:r>
        <w:t xml:space="preserve"> provide recovery of the Company’s costs under normal operating conditions.</w:t>
      </w:r>
    </w:p>
    <w:p w:rsidR="0075372F" w:rsidRDefault="00D30451" w:rsidP="0075372F">
      <w:pPr>
        <w:spacing w:line="480" w:lineRule="auto"/>
        <w:ind w:firstLine="720"/>
        <w:jc w:val="both"/>
      </w:pPr>
      <w:r>
        <w:t>Further</w:t>
      </w:r>
      <w:r w:rsidR="0075372F">
        <w:t>, to the extent there is any growth in net revenue from new customers, or through growth in use-per-customer, if that revenue is captured to offset the known reduction in revenue from energy efficiency savings, it would undermine the use of historical test-year ratemaking, since those revenues would not be available to offset the growth in utility costs following the test year.</w:t>
      </w:r>
    </w:p>
    <w:p w:rsidR="0075372F" w:rsidRPr="00291484" w:rsidRDefault="0075372F" w:rsidP="0075372F">
      <w:pPr>
        <w:spacing w:line="480" w:lineRule="auto"/>
        <w:ind w:firstLine="720"/>
        <w:jc w:val="both"/>
        <w:rPr>
          <w:b/>
        </w:rPr>
      </w:pPr>
      <w:proofErr w:type="gramStart"/>
      <w:r w:rsidRPr="00291484">
        <w:rPr>
          <w:b/>
        </w:rPr>
        <w:t xml:space="preserve">Q. </w:t>
      </w:r>
      <w:r w:rsidRPr="00291484">
        <w:rPr>
          <w:b/>
        </w:rPr>
        <w:tab/>
      </w:r>
      <w:r w:rsidR="00EC06E6">
        <w:rPr>
          <w:b/>
        </w:rPr>
        <w:t>Why is t</w:t>
      </w:r>
      <w:r>
        <w:rPr>
          <w:b/>
        </w:rPr>
        <w:t>he Company request</w:t>
      </w:r>
      <w:r w:rsidR="00EC06E6">
        <w:rPr>
          <w:b/>
        </w:rPr>
        <w:t>ing</w:t>
      </w:r>
      <w:r>
        <w:rPr>
          <w:b/>
        </w:rPr>
        <w:t xml:space="preserve"> </w:t>
      </w:r>
      <w:r w:rsidR="00EC06E6">
        <w:rPr>
          <w:b/>
        </w:rPr>
        <w:t>f</w:t>
      </w:r>
      <w:r>
        <w:rPr>
          <w:b/>
        </w:rPr>
        <w:t>ull electric and natural gas decoupling mechanism</w:t>
      </w:r>
      <w:r w:rsidR="00EC06E6">
        <w:rPr>
          <w:b/>
        </w:rPr>
        <w:t>s in this filing</w:t>
      </w:r>
      <w:r w:rsidRPr="00291484">
        <w:rPr>
          <w:b/>
        </w:rPr>
        <w:t>?</w:t>
      </w:r>
      <w:proofErr w:type="gramEnd"/>
    </w:p>
    <w:p w:rsidR="0075372F" w:rsidRDefault="0075372F" w:rsidP="0075372F">
      <w:pPr>
        <w:spacing w:line="480" w:lineRule="auto"/>
        <w:ind w:firstLine="720"/>
        <w:jc w:val="both"/>
      </w:pPr>
      <w:r>
        <w:t>A.</w:t>
      </w:r>
      <w:r>
        <w:tab/>
      </w:r>
      <w:r w:rsidRPr="00291484">
        <w:t>In preparing this general rate case, the Company reviewed the Commission’s “Report And Policy Statement On Regulatory Mechanisms, Including Decoupling, To Encourage Utilities To Meet Or Exceed Their Conservation Targets” in Docket U-100522</w:t>
      </w:r>
      <w:r w:rsidR="00D30451">
        <w:t xml:space="preserve"> (“Policy Statement”)</w:t>
      </w:r>
      <w:r w:rsidRPr="00291484">
        <w:t xml:space="preserve"> as well as the decoupling mechanisms that </w:t>
      </w:r>
      <w:r w:rsidR="001E455B">
        <w:t xml:space="preserve">the </w:t>
      </w:r>
      <w:r w:rsidRPr="00291484">
        <w:t xml:space="preserve">Commission </w:t>
      </w:r>
      <w:r w:rsidR="00C227DF">
        <w:t xml:space="preserve">recently </w:t>
      </w:r>
      <w:r w:rsidRPr="00291484">
        <w:t>approved for Puget Sound Energy</w:t>
      </w:r>
      <w:r w:rsidR="00D30451">
        <w:t xml:space="preserve"> (“PSE”)</w:t>
      </w:r>
      <w:r w:rsidRPr="00291484">
        <w:t xml:space="preserve"> in 2013 (Docket</w:t>
      </w:r>
      <w:r w:rsidR="00444CEA">
        <w:t>s</w:t>
      </w:r>
      <w:r w:rsidRPr="00291484">
        <w:t xml:space="preserve"> UE-121697 and UG-121705). In short, the </w:t>
      </w:r>
      <w:r w:rsidR="00D30451">
        <w:t xml:space="preserve">decoupling mechanisms approved by the Commission for PSE help to </w:t>
      </w:r>
      <w:r w:rsidRPr="00291484">
        <w:t>solve the ratemaking problem</w:t>
      </w:r>
      <w:r>
        <w:t xml:space="preserve"> discussed earlier, and also provide</w:t>
      </w:r>
      <w:r w:rsidR="00EC06E6">
        <w:t>s</w:t>
      </w:r>
      <w:r>
        <w:t xml:space="preserve"> benefits to customers by fixing the overall revenue per customer that the Company is allowed to collect.  </w:t>
      </w:r>
      <w:r w:rsidR="001E455B">
        <w:t xml:space="preserve">The mechanisms are designed to benefit both the Company and customers.  </w:t>
      </w:r>
      <w:r w:rsidR="00D30451">
        <w:t>The mechanisms also meet the</w:t>
      </w:r>
      <w:r>
        <w:t xml:space="preserve"> </w:t>
      </w:r>
      <w:r w:rsidR="00444CEA">
        <w:t xml:space="preserve">objectives outline in the </w:t>
      </w:r>
      <w:r w:rsidR="00D30451">
        <w:t>Policy Statement which stated “</w:t>
      </w:r>
      <w:r>
        <w:t>that a</w:t>
      </w:r>
      <w:r w:rsidRPr="00DC6433">
        <w:t xml:space="preserve"> </w:t>
      </w:r>
      <w:r w:rsidRPr="00AD0222">
        <w:t xml:space="preserve">properly constructed full decoupling mechanism that is intended, between general rate cases, to balance out both lost </w:t>
      </w:r>
      <w:r w:rsidRPr="00AD0222">
        <w:lastRenderedPageBreak/>
        <w:t>and found margin from any source can be a tool that benefits both the Company and its ratepayers”</w:t>
      </w:r>
      <w:r>
        <w:t>.</w:t>
      </w:r>
      <w:r>
        <w:rPr>
          <w:rStyle w:val="FootnoteReference"/>
        </w:rPr>
        <w:footnoteReference w:id="14"/>
      </w:r>
      <w:r w:rsidR="00D30451">
        <w:t xml:space="preserve">  </w:t>
      </w:r>
    </w:p>
    <w:p w:rsidR="0075372F" w:rsidRDefault="0075372F" w:rsidP="0075372F">
      <w:pPr>
        <w:spacing w:line="480" w:lineRule="auto"/>
        <w:jc w:val="both"/>
        <w:rPr>
          <w:b/>
        </w:rPr>
      </w:pPr>
      <w:r>
        <w:t xml:space="preserve"> </w:t>
      </w:r>
      <w:r w:rsidRPr="00AD0222">
        <w:t xml:space="preserve"> </w:t>
      </w:r>
      <w:r>
        <w:tab/>
      </w:r>
      <w:proofErr w:type="gramStart"/>
      <w:r>
        <w:rPr>
          <w:b/>
        </w:rPr>
        <w:t xml:space="preserve">Q. </w:t>
      </w:r>
      <w:r>
        <w:rPr>
          <w:b/>
        </w:rPr>
        <w:tab/>
        <w:t xml:space="preserve">Before describing the mechanisms, </w:t>
      </w:r>
      <w:r w:rsidR="00EC06E6">
        <w:rPr>
          <w:b/>
        </w:rPr>
        <w:t>would you please</w:t>
      </w:r>
      <w:r>
        <w:rPr>
          <w:b/>
        </w:rPr>
        <w:t xml:space="preserve"> provide further details on</w:t>
      </w:r>
      <w:r w:rsidR="00D30451">
        <w:rPr>
          <w:b/>
        </w:rPr>
        <w:t xml:space="preserve"> how the mechanisms benefit </w:t>
      </w:r>
      <w:r>
        <w:rPr>
          <w:b/>
        </w:rPr>
        <w:t>the Company and its customers</w:t>
      </w:r>
      <w:r w:rsidRPr="00CE01A8">
        <w:rPr>
          <w:b/>
        </w:rPr>
        <w:t>?</w:t>
      </w:r>
      <w:proofErr w:type="gramEnd"/>
    </w:p>
    <w:p w:rsidR="0075372F" w:rsidRDefault="0075372F" w:rsidP="0075372F">
      <w:pPr>
        <w:spacing w:line="480" w:lineRule="auto"/>
        <w:ind w:firstLine="720"/>
        <w:jc w:val="both"/>
      </w:pPr>
      <w:r>
        <w:t>A.</w:t>
      </w:r>
      <w:r>
        <w:tab/>
        <w:t>Ye</w:t>
      </w:r>
      <w:r w:rsidR="00EC06E6">
        <w:t>s</w:t>
      </w:r>
      <w:r>
        <w:t xml:space="preserve">.  </w:t>
      </w:r>
      <w:r w:rsidR="001E455B">
        <w:t>To the extent use per customer declines from programmatic and non-programmatic DSM between general rate cases, the decoupling</w:t>
      </w:r>
      <w:r>
        <w:t xml:space="preserve"> mechanisms </w:t>
      </w:r>
      <w:r w:rsidR="001E455B">
        <w:t xml:space="preserve">would provide recovery of </w:t>
      </w:r>
      <w:r>
        <w:t>the fixed costs of providing service to its customers.  These are the same fixed costs, on a</w:t>
      </w:r>
      <w:r w:rsidR="00B60D79">
        <w:t xml:space="preserve"> revenue </w:t>
      </w:r>
      <w:r>
        <w:t xml:space="preserve">per customer basis, that the Commission </w:t>
      </w:r>
      <w:r w:rsidR="00EC06E6">
        <w:t>approves</w:t>
      </w:r>
      <w:r>
        <w:t xml:space="preserve"> for recovery </w:t>
      </w:r>
      <w:r w:rsidR="00EC06E6">
        <w:t>in a</w:t>
      </w:r>
      <w:r>
        <w:t xml:space="preserve"> general rate case.  The mechanisms would also ensure that, to the extent there is customer growth in the rate year and beyond, the revenues from those </w:t>
      </w:r>
      <w:r w:rsidR="00B60D79">
        <w:t xml:space="preserve">new customers would not be </w:t>
      </w:r>
      <w:r w:rsidR="00444CEA">
        <w:t>used to offset the known reduction in revenue from energy efficiency savings</w:t>
      </w:r>
      <w:r w:rsidR="00EC06E6">
        <w:t>,</w:t>
      </w:r>
      <w:r w:rsidR="00B60D79">
        <w:t xml:space="preserve"> </w:t>
      </w:r>
      <w:r>
        <w:t xml:space="preserve">but </w:t>
      </w:r>
      <w:r w:rsidR="00B60D79">
        <w:t xml:space="preserve">rather </w:t>
      </w:r>
      <w:r>
        <w:t xml:space="preserve">would be available to offset the growth in utility costs following the test year.  </w:t>
      </w:r>
    </w:p>
    <w:p w:rsidR="008E1B2E" w:rsidRDefault="0075372F" w:rsidP="00B60D79">
      <w:pPr>
        <w:spacing w:line="480" w:lineRule="auto"/>
        <w:ind w:firstLine="720"/>
        <w:jc w:val="both"/>
      </w:pPr>
      <w:r>
        <w:t xml:space="preserve">Customers </w:t>
      </w:r>
      <w:r w:rsidR="008E1B2E">
        <w:t xml:space="preserve">also </w:t>
      </w:r>
      <w:r>
        <w:t xml:space="preserve">benefit from the proposed mechanisms.  </w:t>
      </w:r>
      <w:r w:rsidRPr="00E23101">
        <w:t xml:space="preserve">By decoupling sales from revenues, </w:t>
      </w:r>
      <w:r>
        <w:t xml:space="preserve">the disincentive to promote conservation would be removed, as would any incentive </w:t>
      </w:r>
      <w:r w:rsidR="00444CEA">
        <w:t xml:space="preserve">for the utility </w:t>
      </w:r>
      <w:r>
        <w:t xml:space="preserve">to increase throughput. </w:t>
      </w:r>
      <w:r w:rsidR="00EC06E6">
        <w:t xml:space="preserve">Customers benefit if the overall actual revenue collected by the Company on a per-customer basis is greater than that approved by the Commission.  For example, if a winter is colder than normal, leading to loads that are higher than normal, the Company would rebate to customers all of the revenue collected above the allowed revenue. </w:t>
      </w:r>
      <w:r w:rsidR="00B60D79">
        <w:t xml:space="preserve">In addition, as I </w:t>
      </w:r>
      <w:r>
        <w:t xml:space="preserve">will discuss later in my testimony, if the Company’s request for an electric decoupling mechanism is approved, it agrees to increase its electric energy efficiency target by 5% </w:t>
      </w:r>
      <w:r w:rsidR="008E1B2E">
        <w:t>with implementation of the</w:t>
      </w:r>
      <w:r>
        <w:t xml:space="preserve"> mechanism.  </w:t>
      </w:r>
    </w:p>
    <w:p w:rsidR="00B60D79" w:rsidRDefault="00B60D79" w:rsidP="00B60D79">
      <w:pPr>
        <w:spacing w:line="480" w:lineRule="auto"/>
        <w:ind w:firstLine="720"/>
        <w:jc w:val="both"/>
      </w:pPr>
      <w:r>
        <w:lastRenderedPageBreak/>
        <w:t>F</w:t>
      </w:r>
      <w:r w:rsidR="00444CEA">
        <w:t>inally</w:t>
      </w:r>
      <w:r>
        <w:t xml:space="preserve">, </w:t>
      </w:r>
      <w:r w:rsidR="009331EA">
        <w:t>the mechanisms have an Earnings Test.  S</w:t>
      </w:r>
      <w:r>
        <w:t>hould the Company have a surcharge balance</w:t>
      </w:r>
      <w:r w:rsidR="008E1B2E">
        <w:t>,</w:t>
      </w:r>
      <w:r>
        <w:t xml:space="preserve"> but has an actual earned return in excess of its authorized return, the proposed </w:t>
      </w:r>
      <w:r w:rsidR="009331EA">
        <w:t xml:space="preserve">surcharge would be </w:t>
      </w:r>
      <w:r>
        <w:t xml:space="preserve"> reduced</w:t>
      </w:r>
      <w:r w:rsidR="008E1B2E">
        <w:t xml:space="preserve"> or eliminated</w:t>
      </w:r>
      <w:r>
        <w:t xml:space="preserve"> to bring the rate of return down to the authorized level.  </w:t>
      </w:r>
    </w:p>
    <w:p w:rsidR="009331EA" w:rsidRPr="00384DAD" w:rsidRDefault="009331EA" w:rsidP="00B60D79">
      <w:pPr>
        <w:spacing w:line="480" w:lineRule="auto"/>
        <w:ind w:firstLine="720"/>
        <w:jc w:val="both"/>
      </w:pPr>
      <w:r>
        <w:t xml:space="preserve">In summary, the Company’s proposed decoupling mechanisms would ensure that it would be able to recover the fixed costs of providing service to customers, on a revenue per customer </w:t>
      </w:r>
      <w:r w:rsidRPr="00384DAD">
        <w:t xml:space="preserve">basis.  </w:t>
      </w:r>
      <w:r w:rsidR="008E1B2E">
        <w:t>In</w:t>
      </w:r>
      <w:r w:rsidR="00384DAD">
        <w:t xml:space="preserve"> a</w:t>
      </w:r>
      <w:r w:rsidRPr="00384DAD">
        <w:t xml:space="preserve"> colder than normal winter</w:t>
      </w:r>
      <w:r w:rsidR="008E1B2E">
        <w:t xml:space="preserve"> or hotter than normal summer, if</w:t>
      </w:r>
      <w:r w:rsidRPr="00384DAD">
        <w:t xml:space="preserve"> the Company collects revenues </w:t>
      </w:r>
      <w:r w:rsidR="00C21F4B">
        <w:t>that are</w:t>
      </w:r>
      <w:r w:rsidRPr="00384DAD">
        <w:t xml:space="preserve"> greater than the amount authorized, those revenues would be returned to customers. </w:t>
      </w:r>
    </w:p>
    <w:p w:rsidR="0075372F" w:rsidRPr="003F6D25" w:rsidRDefault="0075372F" w:rsidP="0075372F">
      <w:pPr>
        <w:spacing w:line="480" w:lineRule="auto"/>
        <w:ind w:firstLine="720"/>
        <w:jc w:val="both"/>
        <w:rPr>
          <w:b/>
        </w:rPr>
      </w:pPr>
      <w:r w:rsidRPr="00384DAD">
        <w:rPr>
          <w:b/>
        </w:rPr>
        <w:t>Q.</w:t>
      </w:r>
      <w:r w:rsidRPr="00384DAD">
        <w:rPr>
          <w:b/>
        </w:rPr>
        <w:tab/>
        <w:t>What is the Company’s view on proposals</w:t>
      </w:r>
      <w:r w:rsidRPr="003F6D25">
        <w:rPr>
          <w:b/>
        </w:rPr>
        <w:t xml:space="preserve"> to reduce the allowed return on equity</w:t>
      </w:r>
      <w:r>
        <w:rPr>
          <w:b/>
        </w:rPr>
        <w:t xml:space="preserve"> (ROE)</w:t>
      </w:r>
      <w:r w:rsidRPr="003F6D25">
        <w:rPr>
          <w:b/>
        </w:rPr>
        <w:t xml:space="preserve"> </w:t>
      </w:r>
      <w:r>
        <w:rPr>
          <w:b/>
        </w:rPr>
        <w:t xml:space="preserve">or adjust the equity layer in the Company’s capital structure </w:t>
      </w:r>
      <w:r w:rsidRPr="003F6D25">
        <w:rPr>
          <w:b/>
        </w:rPr>
        <w:t xml:space="preserve">in the event the Commission </w:t>
      </w:r>
      <w:proofErr w:type="gramStart"/>
      <w:r w:rsidRPr="003F6D25">
        <w:rPr>
          <w:b/>
        </w:rPr>
        <w:t>were</w:t>
      </w:r>
      <w:proofErr w:type="gramEnd"/>
      <w:r w:rsidRPr="003F6D25">
        <w:rPr>
          <w:b/>
        </w:rPr>
        <w:t xml:space="preserve"> to adopt decoupling?</w:t>
      </w:r>
    </w:p>
    <w:p w:rsidR="0075372F" w:rsidRDefault="0075372F" w:rsidP="0075372F">
      <w:pPr>
        <w:spacing w:line="480" w:lineRule="auto"/>
        <w:ind w:firstLine="720"/>
        <w:jc w:val="both"/>
      </w:pPr>
      <w:r>
        <w:t>A.</w:t>
      </w:r>
      <w:r>
        <w:tab/>
        <w:t>The Company agrees with the Commission</w:t>
      </w:r>
      <w:r w:rsidR="003E3A36">
        <w:t>’s recent order</w:t>
      </w:r>
      <w:r>
        <w:t xml:space="preserve"> that there is no empirical evidence that demonstrates that utilities with decoupling mechanisms have a reduced cost of capital.  The Commission in Order No. 7 in PSE’s decoupling Dockets (UE-121697 et. al.) stated at paragraph 104:</w:t>
      </w:r>
    </w:p>
    <w:p w:rsidR="0075372F" w:rsidRDefault="0075372F" w:rsidP="0075372F">
      <w:pPr>
        <w:ind w:left="720"/>
        <w:jc w:val="both"/>
      </w:pPr>
      <w:r w:rsidRPr="00B46B4A">
        <w:t xml:space="preserve">In terms of the arguments that implementing decoupling reduces the Company’s cost of equity there again is no empirical evidence to show this is so.  Indeed, the record does not even fully support the proposition that equity markets recognize and respond to the forms of risk reduction that accompany the implementation of decoupling mechanisms.  While this cannot be said to disprove the theory that decoupling reduces risk and, therefore, cost of capital, the more important point from the Commission’s perspective is that </w:t>
      </w:r>
      <w:r w:rsidRPr="00291484">
        <w:rPr>
          <w:u w:val="single"/>
        </w:rPr>
        <w:t>absent evidence actually demonstrating the theory’s effect in practice</w:t>
      </w:r>
      <w:r w:rsidRPr="00B46B4A">
        <w:t xml:space="preserve"> on either the debt or equity markets </w:t>
      </w:r>
      <w:r w:rsidRPr="00291484">
        <w:rPr>
          <w:u w:val="single"/>
        </w:rPr>
        <w:t>there is no evidentiary basis</w:t>
      </w:r>
      <w:r w:rsidRPr="00B46B4A">
        <w:t xml:space="preserve"> upon which the Commission can order a reduction in the Company’s cost of capital.</w:t>
      </w:r>
      <w:r>
        <w:t xml:space="preserve"> (</w:t>
      </w:r>
      <w:proofErr w:type="gramStart"/>
      <w:r>
        <w:t>emphasis</w:t>
      </w:r>
      <w:proofErr w:type="gramEnd"/>
      <w:r>
        <w:t xml:space="preserve"> added)</w:t>
      </w:r>
    </w:p>
    <w:p w:rsidR="0075372F" w:rsidRDefault="0075372F" w:rsidP="0075372F">
      <w:pPr>
        <w:spacing w:line="480" w:lineRule="auto"/>
        <w:ind w:firstLine="720"/>
        <w:jc w:val="both"/>
      </w:pPr>
    </w:p>
    <w:p w:rsidR="0075372F" w:rsidRDefault="00EC06E6" w:rsidP="00EC06E6">
      <w:pPr>
        <w:spacing w:line="480" w:lineRule="auto"/>
        <w:ind w:firstLine="720"/>
        <w:jc w:val="both"/>
      </w:pPr>
      <w:r>
        <w:lastRenderedPageBreak/>
        <w:t xml:space="preserve">The primary </w:t>
      </w:r>
      <w:r w:rsidR="0075372F">
        <w:t xml:space="preserve">reason </w:t>
      </w:r>
      <w:r>
        <w:t>Avista is</w:t>
      </w:r>
      <w:r w:rsidR="0075372F">
        <w:t xml:space="preserve"> considering decoupling in the first place is there is recognition that energy efficiency kWh savings eliminates revenue from the utility intended to cover utility costs.  That is, the ratemaking process assumes the revenues are there, but because kWh</w:t>
      </w:r>
      <w:r w:rsidR="0075372F" w:rsidDel="00DB68BA">
        <w:t xml:space="preserve"> </w:t>
      </w:r>
      <w:r w:rsidR="0075372F">
        <w:t xml:space="preserve">sales are eliminated through the energy efficiency programs after retail rates are set, the revenues actually do not occur.  So decoupling represents a “fix” or “patch” to the ratemaking process to restore the revenue related to energy efficiency.  The revenue provided to Avista through a decoupling mechanism would </w:t>
      </w:r>
      <w:r w:rsidR="0075372F" w:rsidRPr="00D562EE">
        <w:rPr>
          <w:u w:val="single"/>
        </w:rPr>
        <w:t>not</w:t>
      </w:r>
      <w:r w:rsidR="0075372F">
        <w:t xml:space="preserve"> represent additional revenue to the Company over and above what is needed to recover its costs; it represents </w:t>
      </w:r>
      <w:r w:rsidR="0075372F" w:rsidRPr="00D562EE">
        <w:rPr>
          <w:u w:val="single"/>
        </w:rPr>
        <w:t>restoration</w:t>
      </w:r>
      <w:r w:rsidR="0075372F">
        <w:t xml:space="preserve"> of revenues that the Commission has already determined should be provided to the utility from the last rate case.  Therefore, it does not represent reduced risk to the utility or a shift of risk from the utility to its customers; it is a replacement of revenue that the ratemaking process assumes is present, when in fact the revenue is not realized.</w:t>
      </w:r>
      <w:r w:rsidR="003E3A36">
        <w:t xml:space="preserve">  Furthermore, customers can expect to see rebates as well as surcharges over time with the decoupling mechanisms.</w:t>
      </w:r>
    </w:p>
    <w:p w:rsidR="00EC06E6" w:rsidRDefault="00EC06E6" w:rsidP="0075372F">
      <w:pPr>
        <w:pStyle w:val="P31"/>
        <w:ind w:firstLine="0"/>
        <w:jc w:val="center"/>
        <w:rPr>
          <w:rFonts w:ascii="Times New Roman" w:hAnsi="Times New Roman" w:cs="Times New Roman"/>
          <w:b/>
          <w:szCs w:val="24"/>
          <w:u w:val="single"/>
        </w:rPr>
      </w:pPr>
    </w:p>
    <w:p w:rsidR="0075372F" w:rsidRPr="00017B48" w:rsidRDefault="0075372F" w:rsidP="0075372F">
      <w:pPr>
        <w:pStyle w:val="P31"/>
        <w:ind w:firstLine="0"/>
        <w:jc w:val="center"/>
        <w:rPr>
          <w:rFonts w:ascii="Times New Roman" w:hAnsi="Times New Roman" w:cs="Times New Roman"/>
          <w:b/>
          <w:szCs w:val="24"/>
          <w:u w:val="single"/>
        </w:rPr>
      </w:pPr>
      <w:r w:rsidRPr="00017B48">
        <w:rPr>
          <w:rFonts w:ascii="Times New Roman" w:hAnsi="Times New Roman" w:cs="Times New Roman"/>
          <w:b/>
          <w:szCs w:val="24"/>
          <w:u w:val="single"/>
        </w:rPr>
        <w:t>ELEMENTS OF THE ELECTRIC DECOUPLING MECHANISM</w:t>
      </w:r>
    </w:p>
    <w:p w:rsidR="0075372F" w:rsidRPr="00B37259" w:rsidRDefault="0075372F" w:rsidP="0075372F">
      <w:pPr>
        <w:spacing w:line="480" w:lineRule="auto"/>
        <w:ind w:firstLine="720"/>
        <w:jc w:val="both"/>
        <w:rPr>
          <w:b/>
        </w:rPr>
      </w:pPr>
      <w:r>
        <w:rPr>
          <w:b/>
        </w:rPr>
        <w:t>Q.</w:t>
      </w:r>
      <w:r>
        <w:rPr>
          <w:b/>
        </w:rPr>
        <w:tab/>
      </w:r>
      <w:r w:rsidR="00F64806">
        <w:rPr>
          <w:b/>
        </w:rPr>
        <w:t xml:space="preserve">Would </w:t>
      </w:r>
      <w:r>
        <w:rPr>
          <w:b/>
        </w:rPr>
        <w:t>you please provide a summary of how the proposed decoupling mechanism</w:t>
      </w:r>
      <w:r w:rsidR="00384DAD">
        <w:rPr>
          <w:b/>
        </w:rPr>
        <w:t>s</w:t>
      </w:r>
      <w:r>
        <w:rPr>
          <w:b/>
        </w:rPr>
        <w:t xml:space="preserve"> would </w:t>
      </w:r>
      <w:r w:rsidR="00384DAD">
        <w:rPr>
          <w:b/>
        </w:rPr>
        <w:t>function</w:t>
      </w:r>
      <w:r>
        <w:rPr>
          <w:b/>
        </w:rPr>
        <w:t>?</w:t>
      </w:r>
    </w:p>
    <w:p w:rsidR="0075372F" w:rsidRDefault="0075372F" w:rsidP="0075372F">
      <w:pPr>
        <w:spacing w:line="480" w:lineRule="auto"/>
        <w:ind w:firstLine="720"/>
        <w:jc w:val="both"/>
      </w:pPr>
      <w:r>
        <w:t xml:space="preserve">A. </w:t>
      </w:r>
      <w:r>
        <w:tab/>
        <w:t xml:space="preserve">Yes.  First, it is important to note that Avista is generally using the same methodology as employed by </w:t>
      </w:r>
      <w:r w:rsidR="00384DAD">
        <w:t>PSE</w:t>
      </w:r>
      <w:r>
        <w:t xml:space="preserve"> in its approved decoupling mechanisms.  </w:t>
      </w:r>
      <w:bookmarkStart w:id="1" w:name="_GoBack"/>
      <w:bookmarkEnd w:id="1"/>
      <w:r>
        <w:t xml:space="preserve">As I will explain in more detail below, essentially the Company is proposing a Revenue </w:t>
      </w:r>
      <w:proofErr w:type="gramStart"/>
      <w:r>
        <w:t>Per</w:t>
      </w:r>
      <w:proofErr w:type="gramEnd"/>
      <w:r>
        <w:t xml:space="preserve"> Customer decoupling mechanism for its electric and natural gas operations. The </w:t>
      </w:r>
      <w:r w:rsidR="00F64806">
        <w:t xml:space="preserve">proposed </w:t>
      </w:r>
      <w:r>
        <w:t>decoupling mechanism</w:t>
      </w:r>
      <w:r w:rsidR="00D8198E">
        <w:t>s</w:t>
      </w:r>
      <w:r>
        <w:t xml:space="preserve"> compare the actual, non-weather adjusted </w:t>
      </w:r>
      <w:r w:rsidR="00F64806">
        <w:t>r</w:t>
      </w:r>
      <w:r>
        <w:t>evenues per customer to the allowed revenue per customer, with any differences deferred for later rebate or surcharge.</w:t>
      </w:r>
      <w:r w:rsidR="00817ECB">
        <w:t xml:space="preserve">  In </w:t>
      </w:r>
      <w:r w:rsidR="00817ECB">
        <w:lastRenderedPageBreak/>
        <w:t>addition, the Company is proposing to group customers into three Rate Groups</w:t>
      </w:r>
      <w:r w:rsidR="004233FE">
        <w:t xml:space="preserve"> – Residential, Non-Residential, and Industrial.  More discussion on the three Rate Groups will follow later in my testimony.</w:t>
      </w:r>
    </w:p>
    <w:p w:rsidR="0075372F" w:rsidRPr="00B37259" w:rsidRDefault="0075372F" w:rsidP="0075372F">
      <w:pPr>
        <w:spacing w:line="480" w:lineRule="auto"/>
        <w:ind w:firstLine="720"/>
        <w:jc w:val="both"/>
        <w:rPr>
          <w:b/>
        </w:rPr>
      </w:pPr>
      <w:r>
        <w:rPr>
          <w:b/>
        </w:rPr>
        <w:t>Q.</w:t>
      </w:r>
      <w:r>
        <w:rPr>
          <w:b/>
        </w:rPr>
        <w:tab/>
      </w:r>
      <w:proofErr w:type="gramStart"/>
      <w:r>
        <w:rPr>
          <w:b/>
        </w:rPr>
        <w:t>For</w:t>
      </w:r>
      <w:proofErr w:type="gramEnd"/>
      <w:r>
        <w:rPr>
          <w:b/>
        </w:rPr>
        <w:t xml:space="preserve"> the </w:t>
      </w:r>
      <w:r w:rsidRPr="00403F75">
        <w:rPr>
          <w:b/>
          <w:u w:val="single"/>
        </w:rPr>
        <w:t>Electric</w:t>
      </w:r>
      <w:r>
        <w:rPr>
          <w:b/>
        </w:rPr>
        <w:t xml:space="preserve"> Decoupling Mechanism, </w:t>
      </w:r>
      <w:r w:rsidR="00F64806">
        <w:rPr>
          <w:b/>
        </w:rPr>
        <w:t xml:space="preserve">would you </w:t>
      </w:r>
      <w:r>
        <w:rPr>
          <w:b/>
        </w:rPr>
        <w:t>please describe how the A</w:t>
      </w:r>
      <w:r w:rsidR="00EC06E6">
        <w:rPr>
          <w:b/>
        </w:rPr>
        <w:t>llowed</w:t>
      </w:r>
      <w:r>
        <w:rPr>
          <w:b/>
        </w:rPr>
        <w:t xml:space="preserve"> </w:t>
      </w:r>
      <w:r w:rsidR="00F64806">
        <w:rPr>
          <w:b/>
        </w:rPr>
        <w:t>Non-Power Supply R</w:t>
      </w:r>
      <w:r>
        <w:rPr>
          <w:b/>
        </w:rPr>
        <w:t xml:space="preserve">evenue per </w:t>
      </w:r>
      <w:r w:rsidR="00F64806">
        <w:rPr>
          <w:b/>
        </w:rPr>
        <w:t>C</w:t>
      </w:r>
      <w:r>
        <w:rPr>
          <w:b/>
        </w:rPr>
        <w:t>ustomer is determined?</w:t>
      </w:r>
    </w:p>
    <w:p w:rsidR="00F64806" w:rsidRDefault="0075372F" w:rsidP="0075372F">
      <w:pPr>
        <w:spacing w:line="480" w:lineRule="auto"/>
        <w:ind w:firstLine="720"/>
        <w:jc w:val="both"/>
      </w:pPr>
      <w:r>
        <w:t xml:space="preserve">A. </w:t>
      </w:r>
      <w:r>
        <w:tab/>
      </w:r>
      <w:r w:rsidR="00F64806">
        <w:t>Yes.  P</w:t>
      </w:r>
      <w:r w:rsidR="00B26691">
        <w:t xml:space="preserve">rovided on </w:t>
      </w:r>
      <w:r w:rsidR="00B26691" w:rsidRPr="00817ECB">
        <w:rPr>
          <w:u w:val="single"/>
        </w:rPr>
        <w:t>Page 1</w:t>
      </w:r>
      <w:r w:rsidR="00B26691">
        <w:t xml:space="preserve"> of Exhibit No.__</w:t>
      </w:r>
      <w:proofErr w:type="gramStart"/>
      <w:r w:rsidR="00B26691">
        <w:t>_(</w:t>
      </w:r>
      <w:proofErr w:type="gramEnd"/>
      <w:r w:rsidR="00B26691">
        <w:t xml:space="preserve">PDE-9) </w:t>
      </w:r>
      <w:r w:rsidR="00F64806">
        <w:t>is information that calculates the Allowed Non-Power Supply Revenue</w:t>
      </w:r>
      <w:r w:rsidR="005A47CB">
        <w:t>.  This is the revenue that the Company collects in its variable en</w:t>
      </w:r>
      <w:r w:rsidR="000568B0">
        <w:t xml:space="preserve">ergy and demand charges to cover the fixed costs of providing service to customers.  It </w:t>
      </w:r>
      <w:r w:rsidR="005A47CB">
        <w:t>excludes revenues associated with power supply</w:t>
      </w:r>
      <w:r w:rsidR="00EC06E6">
        <w:t>,</w:t>
      </w:r>
      <w:r w:rsidR="005A47CB">
        <w:t xml:space="preserve"> and </w:t>
      </w:r>
      <w:r w:rsidR="000568B0">
        <w:t>revenues that are collected in fixed basic, demand and minimum charges</w:t>
      </w:r>
      <w:r w:rsidR="00F64806">
        <w:t xml:space="preserve">.   </w:t>
      </w:r>
    </w:p>
    <w:p w:rsidR="003D665D" w:rsidRDefault="003D665D" w:rsidP="003D665D">
      <w:pPr>
        <w:spacing w:line="480" w:lineRule="auto"/>
        <w:ind w:left="720"/>
        <w:jc w:val="both"/>
      </w:pPr>
    </w:p>
    <w:p w:rsidR="00F64806" w:rsidRDefault="00294F94" w:rsidP="00C227DF">
      <w:pPr>
        <w:pStyle w:val="ListParagraph"/>
        <w:numPr>
          <w:ilvl w:val="0"/>
          <w:numId w:val="53"/>
        </w:numPr>
        <w:spacing w:line="480" w:lineRule="auto"/>
        <w:jc w:val="both"/>
      </w:pPr>
      <w:r>
        <w:t xml:space="preserve">Step 1 – </w:t>
      </w:r>
      <w:r w:rsidRPr="00C227DF">
        <w:rPr>
          <w:u w:val="single"/>
        </w:rPr>
        <w:t>Determine the Total Proposed Revenue</w:t>
      </w:r>
      <w:r>
        <w:t xml:space="preserve"> - Lines 1 through 3 on Page 1 of Exhibit No.__</w:t>
      </w:r>
      <w:proofErr w:type="gramStart"/>
      <w:r>
        <w:t>_(</w:t>
      </w:r>
      <w:proofErr w:type="gramEnd"/>
      <w:r>
        <w:t>PDE-9) shows the Total Normalized Revenue from the test period</w:t>
      </w:r>
      <w:r w:rsidR="00CD4F5D">
        <w:t xml:space="preserve"> ($480.9 million)</w:t>
      </w:r>
      <w:r>
        <w:t xml:space="preserve"> and adds to that total the Proposed Revenue Increase</w:t>
      </w:r>
      <w:r w:rsidR="00CD4F5D">
        <w:t xml:space="preserve"> ($18.2 million)</w:t>
      </w:r>
      <w:r>
        <w:t>.  The resulting calculation is the Total Proposed Revenue that the Company has requested in this case</w:t>
      </w:r>
      <w:r w:rsidR="00CD4F5D">
        <w:t xml:space="preserve"> ($499.1 million)</w:t>
      </w:r>
      <w:r w:rsidR="003B42EC">
        <w:t xml:space="preserve"> effective January 1, 2015</w:t>
      </w:r>
      <w:r>
        <w:t>.</w:t>
      </w:r>
    </w:p>
    <w:p w:rsidR="00CD4F5D" w:rsidRDefault="00CD4F5D" w:rsidP="00C227DF">
      <w:pPr>
        <w:spacing w:line="480" w:lineRule="auto"/>
        <w:jc w:val="both"/>
      </w:pPr>
    </w:p>
    <w:p w:rsidR="00CD4F5D" w:rsidRDefault="00CD4F5D" w:rsidP="00C227DF">
      <w:pPr>
        <w:pStyle w:val="ListParagraph"/>
        <w:numPr>
          <w:ilvl w:val="0"/>
          <w:numId w:val="53"/>
        </w:numPr>
        <w:spacing w:line="480" w:lineRule="auto"/>
        <w:jc w:val="both"/>
      </w:pPr>
      <w:r>
        <w:t xml:space="preserve">Step 2 – </w:t>
      </w:r>
      <w:r w:rsidRPr="00C227DF">
        <w:rPr>
          <w:u w:val="single"/>
        </w:rPr>
        <w:t xml:space="preserve">Determine Amount </w:t>
      </w:r>
      <w:r w:rsidR="00EC06E6">
        <w:rPr>
          <w:u w:val="single"/>
        </w:rPr>
        <w:t xml:space="preserve">of </w:t>
      </w:r>
      <w:r w:rsidRPr="00C227DF">
        <w:rPr>
          <w:u w:val="single"/>
        </w:rPr>
        <w:t xml:space="preserve">Revenue related to Power Supply </w:t>
      </w:r>
      <w:r w:rsidR="004461E9">
        <w:t>– The Normalized kWhs by rate schedule for the test year are detailed on Line 4.  On Line 5, those kWhs are multiplied by the proposed Retail Revenue Credit</w:t>
      </w:r>
      <w:r w:rsidR="00C227DF">
        <w:rPr>
          <w:rStyle w:val="FootnoteReference"/>
        </w:rPr>
        <w:footnoteReference w:id="15"/>
      </w:r>
      <w:r w:rsidR="004461E9">
        <w:t xml:space="preserve"> of $0.03</w:t>
      </w:r>
      <w:r w:rsidR="00C227DF">
        <w:t>51</w:t>
      </w:r>
      <w:r w:rsidR="004461E9">
        <w:t xml:space="preserve">8 to determine the total Power Supply </w:t>
      </w:r>
      <w:r w:rsidR="003B42EC">
        <w:t>R</w:t>
      </w:r>
      <w:r w:rsidR="004461E9">
        <w:t>elated Revenue.</w:t>
      </w:r>
      <w:r w:rsidR="003B42EC">
        <w:t xml:space="preserve">  Lines 12-14 show the calculation of the Retail Revenue Credit grossed up for revenue related expenses.</w:t>
      </w:r>
    </w:p>
    <w:p w:rsidR="004461E9" w:rsidRDefault="004461E9" w:rsidP="00C227DF">
      <w:pPr>
        <w:spacing w:line="480" w:lineRule="auto"/>
        <w:jc w:val="both"/>
      </w:pPr>
    </w:p>
    <w:p w:rsidR="00F64806" w:rsidRDefault="004461E9" w:rsidP="00C227DF">
      <w:pPr>
        <w:pStyle w:val="ListParagraph"/>
        <w:numPr>
          <w:ilvl w:val="0"/>
          <w:numId w:val="53"/>
        </w:numPr>
        <w:spacing w:line="480" w:lineRule="auto"/>
        <w:jc w:val="both"/>
      </w:pPr>
      <w:r>
        <w:t xml:space="preserve">Step 3 – </w:t>
      </w:r>
      <w:r w:rsidRPr="00C227DF">
        <w:rPr>
          <w:u w:val="single"/>
        </w:rPr>
        <w:t>Determine Non-Power Supply Related Revenue</w:t>
      </w:r>
      <w:r>
        <w:t xml:space="preserve"> – To determine the Non-Power Supply Related Revenue, the mechanism subtracts the Power Supply Related Revenue on Line 6 from the Total Proposed Revenue on Line 3.</w:t>
      </w:r>
    </w:p>
    <w:p w:rsidR="00313EFD" w:rsidRDefault="00313EFD" w:rsidP="00C227DF">
      <w:pPr>
        <w:spacing w:line="480" w:lineRule="auto"/>
        <w:jc w:val="both"/>
      </w:pPr>
    </w:p>
    <w:p w:rsidR="004461E9" w:rsidRDefault="004461E9" w:rsidP="00C227DF">
      <w:pPr>
        <w:pStyle w:val="ListParagraph"/>
        <w:numPr>
          <w:ilvl w:val="0"/>
          <w:numId w:val="53"/>
        </w:numPr>
        <w:spacing w:line="480" w:lineRule="auto"/>
        <w:jc w:val="both"/>
      </w:pPr>
      <w:r>
        <w:t xml:space="preserve">Step 4 – </w:t>
      </w:r>
      <w:r w:rsidRPr="00C227DF">
        <w:rPr>
          <w:u w:val="single"/>
        </w:rPr>
        <w:t>Remove Fixed Revenues</w:t>
      </w:r>
      <w:r>
        <w:t xml:space="preserve"> – included in the Non-Power Supply Revenue on Line 7 are revenues that are recovered from customers in Basic and Fixed Demand charges (“Fixed Charges”).  Because the proposed </w:t>
      </w:r>
      <w:r w:rsidR="00313EFD">
        <w:t>decoupling</w:t>
      </w:r>
      <w:r>
        <w:t xml:space="preserve"> </w:t>
      </w:r>
      <w:proofErr w:type="gramStart"/>
      <w:r>
        <w:t>mechanism only track</w:t>
      </w:r>
      <w:proofErr w:type="gramEnd"/>
      <w:r>
        <w:t xml:space="preserve"> revenues that vary with customer usage, the revenue from Fixed Charges must be removed.  Line 8 shows the number of Customer Bills in the test period, and Line 9 shows the proposed Fixed Charges in this case.  Line 10 is the total Fixed Charge revenue which is calculated by taking the number of customer bills and multiplying those by the associated Fixed Charges, by rate schedule.</w:t>
      </w:r>
    </w:p>
    <w:p w:rsidR="00313EFD" w:rsidRDefault="00313EFD" w:rsidP="00C227DF">
      <w:pPr>
        <w:spacing w:line="480" w:lineRule="auto"/>
        <w:jc w:val="both"/>
      </w:pPr>
    </w:p>
    <w:p w:rsidR="00313EFD" w:rsidRDefault="00313EFD" w:rsidP="00C227DF">
      <w:pPr>
        <w:pStyle w:val="ListParagraph"/>
        <w:numPr>
          <w:ilvl w:val="0"/>
          <w:numId w:val="53"/>
        </w:numPr>
        <w:spacing w:line="480" w:lineRule="auto"/>
        <w:jc w:val="both"/>
      </w:pPr>
      <w:r>
        <w:t xml:space="preserve">Step 5 – </w:t>
      </w:r>
      <w:r w:rsidRPr="00C227DF">
        <w:rPr>
          <w:u w:val="single"/>
        </w:rPr>
        <w:t xml:space="preserve">Determine </w:t>
      </w:r>
      <w:r w:rsidR="003B42EC" w:rsidRPr="00C227DF">
        <w:rPr>
          <w:u w:val="single"/>
        </w:rPr>
        <w:t>Allowed</w:t>
      </w:r>
      <w:r w:rsidRPr="00C227DF">
        <w:rPr>
          <w:u w:val="single"/>
        </w:rPr>
        <w:t xml:space="preserve"> Non-Power Supply Revenue</w:t>
      </w:r>
      <w:r>
        <w:t xml:space="preserve"> – The final step to calculate the </w:t>
      </w:r>
      <w:r w:rsidRPr="00C227DF">
        <w:rPr>
          <w:u w:val="single"/>
        </w:rPr>
        <w:t>Allowed</w:t>
      </w:r>
      <w:r>
        <w:t xml:space="preserve"> Non-Power Supply Revenue</w:t>
      </w:r>
      <w:r w:rsidR="003B42EC">
        <w:t>, as shown on Line 11,</w:t>
      </w:r>
      <w:r>
        <w:t xml:space="preserve"> is to subtract the Fixed Charge Revenue</w:t>
      </w:r>
      <w:r w:rsidR="003B42EC">
        <w:t xml:space="preserve"> (Line 10)</w:t>
      </w:r>
      <w:r>
        <w:t xml:space="preserve"> from the Non-Power Supply Revenue (Line 7)</w:t>
      </w:r>
      <w:r w:rsidR="003B42EC">
        <w:t>.</w:t>
      </w:r>
      <w:r>
        <w:t xml:space="preserve"> </w:t>
      </w:r>
    </w:p>
    <w:p w:rsidR="00F64806" w:rsidRDefault="00F64806" w:rsidP="0075372F">
      <w:pPr>
        <w:spacing w:line="480" w:lineRule="auto"/>
        <w:ind w:firstLine="720"/>
        <w:jc w:val="both"/>
      </w:pPr>
    </w:p>
    <w:p w:rsidR="00817ECB" w:rsidRDefault="0050474D" w:rsidP="0075372F">
      <w:pPr>
        <w:spacing w:line="480" w:lineRule="auto"/>
        <w:ind w:firstLine="720"/>
        <w:jc w:val="both"/>
      </w:pPr>
      <w:r>
        <w:t>Steps 1 through 5 above subtract from the Total Proposed Revenue the revenues associated with Power Supply and Fixed Charges</w:t>
      </w:r>
      <w:r w:rsidR="00C227DF">
        <w:t xml:space="preserve"> in order</w:t>
      </w:r>
      <w:r>
        <w:t xml:space="preserve"> to develop the </w:t>
      </w:r>
      <w:r w:rsidR="00817ECB">
        <w:t xml:space="preserve">Allowed Non-Power Supply Revenue.  The next step will be to determine the Allowed Non-Power Supply Revenue </w:t>
      </w:r>
      <w:r w:rsidR="00817ECB" w:rsidRPr="00817ECB">
        <w:rPr>
          <w:u w:val="single"/>
        </w:rPr>
        <w:t>per customer</w:t>
      </w:r>
      <w:r w:rsidR="00817ECB">
        <w:t>.</w:t>
      </w:r>
    </w:p>
    <w:p w:rsidR="00817ECB" w:rsidRPr="00B37259" w:rsidRDefault="00817ECB" w:rsidP="00817ECB">
      <w:pPr>
        <w:spacing w:line="480" w:lineRule="auto"/>
        <w:ind w:firstLine="720"/>
        <w:jc w:val="both"/>
        <w:rPr>
          <w:b/>
        </w:rPr>
      </w:pPr>
      <w:r>
        <w:rPr>
          <w:b/>
        </w:rPr>
        <w:lastRenderedPageBreak/>
        <w:t>Q.</w:t>
      </w:r>
      <w:r>
        <w:rPr>
          <w:b/>
        </w:rPr>
        <w:tab/>
        <w:t xml:space="preserve">Would you please describe how the </w:t>
      </w:r>
      <w:r w:rsidR="00C227DF">
        <w:rPr>
          <w:b/>
        </w:rPr>
        <w:t>Allowed</w:t>
      </w:r>
      <w:r>
        <w:rPr>
          <w:b/>
        </w:rPr>
        <w:t xml:space="preserve"> Non-Power Supply Revenue </w:t>
      </w:r>
      <w:r w:rsidRPr="00817ECB">
        <w:rPr>
          <w:b/>
          <w:u w:val="single"/>
        </w:rPr>
        <w:t>per Customer</w:t>
      </w:r>
      <w:r>
        <w:rPr>
          <w:b/>
        </w:rPr>
        <w:t xml:space="preserve"> is determined?</w:t>
      </w:r>
    </w:p>
    <w:p w:rsidR="00817ECB" w:rsidRDefault="00817ECB" w:rsidP="00817ECB">
      <w:pPr>
        <w:spacing w:line="480" w:lineRule="auto"/>
        <w:ind w:firstLine="720"/>
        <w:jc w:val="both"/>
      </w:pPr>
      <w:r>
        <w:t xml:space="preserve">A. </w:t>
      </w:r>
      <w:r>
        <w:tab/>
        <w:t>Yes.  Provided on Page 2 of Exhibit No.__</w:t>
      </w:r>
      <w:proofErr w:type="gramStart"/>
      <w:r>
        <w:t>_(</w:t>
      </w:r>
      <w:proofErr w:type="gramEnd"/>
      <w:r>
        <w:t xml:space="preserve">PDE-9) are the inputs and calculations to determine the Allowed Non-Power Supply Revenue per Customer.  </w:t>
      </w:r>
      <w:r w:rsidR="004233FE">
        <w:t>Line 1 on Page 2 of Exhibit No.__</w:t>
      </w:r>
      <w:proofErr w:type="gramStart"/>
      <w:r w:rsidR="004233FE">
        <w:t>_(</w:t>
      </w:r>
      <w:proofErr w:type="gramEnd"/>
      <w:r w:rsidR="004233FE">
        <w:t>PDE-9) shows the Allowed Non-Power Supply Revenue, by Rate Group, that was calculated earlier.  Note that the information on Page 2 now shows the revenues by Rate Group rather than by individual rate schedule.  More discussion related to the Rate Groups will follow later in my testimony.</w:t>
      </w:r>
      <w:r w:rsidR="0050474D">
        <w:t xml:space="preserve">  Line 2 shows the Test Year Customers, by Rate Group.  Finally, Line 3 divides the Allowed Non-Power Supply Revenue by the Test Year </w:t>
      </w:r>
      <w:r w:rsidR="00EC06E6">
        <w:t xml:space="preserve">number </w:t>
      </w:r>
      <w:r w:rsidR="0050474D">
        <w:t xml:space="preserve">of Customers to determine the </w:t>
      </w:r>
      <w:r w:rsidR="007B5B92" w:rsidRPr="007B5B92">
        <w:rPr>
          <w:u w:val="single"/>
        </w:rPr>
        <w:t>annual</w:t>
      </w:r>
      <w:r w:rsidR="007B5B92">
        <w:t xml:space="preserve"> </w:t>
      </w:r>
      <w:r w:rsidR="0050474D">
        <w:t>Allowed Non-Power Supply Revenue per Customer.</w:t>
      </w:r>
    </w:p>
    <w:p w:rsidR="0075372F" w:rsidRDefault="007B5B92" w:rsidP="003D665D">
      <w:pPr>
        <w:spacing w:line="480" w:lineRule="auto"/>
        <w:ind w:firstLine="720"/>
        <w:jc w:val="both"/>
      </w:pPr>
      <w:r>
        <w:t>Page 3 of Exhibit No.___</w:t>
      </w:r>
      <w:proofErr w:type="gramStart"/>
      <w:r>
        <w:t>_(</w:t>
      </w:r>
      <w:proofErr w:type="gramEnd"/>
      <w:r>
        <w:t xml:space="preserve">PDE-9) calculates the </w:t>
      </w:r>
      <w:r w:rsidRPr="003D665D">
        <w:rPr>
          <w:u w:val="single"/>
        </w:rPr>
        <w:t>monthly</w:t>
      </w:r>
      <w:r>
        <w:t xml:space="preserve"> Allowed </w:t>
      </w:r>
      <w:r w:rsidR="0033746D">
        <w:t>N</w:t>
      </w:r>
      <w:r>
        <w:t xml:space="preserve">on-Power Supply Revenue per </w:t>
      </w:r>
      <w:r w:rsidR="0033746D">
        <w:t>C</w:t>
      </w:r>
      <w:r>
        <w:t xml:space="preserve">ustomer.  </w:t>
      </w:r>
      <w:r w:rsidR="0075372F">
        <w:t xml:space="preserve">To determine the </w:t>
      </w:r>
      <w:r w:rsidR="003D665D" w:rsidRPr="003D665D">
        <w:rPr>
          <w:u w:val="single"/>
        </w:rPr>
        <w:t>monthly</w:t>
      </w:r>
      <w:r w:rsidR="003D665D">
        <w:t xml:space="preserve"> Allowed </w:t>
      </w:r>
      <w:r w:rsidR="0033746D">
        <w:t>N</w:t>
      </w:r>
      <w:r w:rsidR="003D665D">
        <w:t>on-Power Supply Revenue per customer</w:t>
      </w:r>
      <w:r w:rsidR="0075372F">
        <w:t>,</w:t>
      </w:r>
      <w:r w:rsidR="00384DAD">
        <w:t xml:space="preserve"> which is required for the monthly deferral calculations discussed later</w:t>
      </w:r>
      <w:r w:rsidR="0033746D">
        <w:t xml:space="preserve"> in my testimony</w:t>
      </w:r>
      <w:r w:rsidR="00384DAD">
        <w:t>,</w:t>
      </w:r>
      <w:r w:rsidR="0075372F">
        <w:t xml:space="preserve"> the </w:t>
      </w:r>
      <w:r w:rsidR="0075372F" w:rsidRPr="004E7C36">
        <w:rPr>
          <w:u w:val="single"/>
        </w:rPr>
        <w:t>annual</w:t>
      </w:r>
      <w:r w:rsidR="0075372F">
        <w:t xml:space="preserve"> </w:t>
      </w:r>
      <w:r w:rsidR="003D665D">
        <w:t xml:space="preserve">Allowed </w:t>
      </w:r>
      <w:r w:rsidR="004E7C36">
        <w:t>N</w:t>
      </w:r>
      <w:r w:rsidR="003D665D">
        <w:t>on-Power Supply Revenue per customer</w:t>
      </w:r>
      <w:r w:rsidR="0075372F">
        <w:t xml:space="preserve"> is shaped based on the monthly kWh usage from the test year</w:t>
      </w:r>
      <w:r w:rsidR="00EC06E6">
        <w:t>,</w:t>
      </w:r>
      <w:r w:rsidR="0075372F">
        <w:t xml:space="preserve"> as shown on Page </w:t>
      </w:r>
      <w:r w:rsidR="001E7D9F">
        <w:t>3</w:t>
      </w:r>
      <w:r w:rsidR="0075372F">
        <w:t xml:space="preserve"> of Exhibit No.__</w:t>
      </w:r>
      <w:proofErr w:type="gramStart"/>
      <w:r w:rsidR="0075372F">
        <w:t>_(</w:t>
      </w:r>
      <w:proofErr w:type="gramEnd"/>
      <w:r w:rsidR="0075372F">
        <w:t xml:space="preserve">PDE-9).  For example, the Residential Group used 11.31% of its annual usage in January 2013 (266,050 MWh / 2,352,012 MWh).  The Company used the resulting monthly percentage of usage </w:t>
      </w:r>
      <w:r w:rsidR="00384DAD">
        <w:t xml:space="preserve">by month </w:t>
      </w:r>
      <w:r w:rsidR="0075372F">
        <w:t xml:space="preserve">and multiplied that by the annual </w:t>
      </w:r>
      <w:r w:rsidR="0033746D">
        <w:t>Allowed Non-Power Supply Revenue per Customer</w:t>
      </w:r>
      <w:r w:rsidR="0075372F">
        <w:t xml:space="preserve"> to determine the 12 </w:t>
      </w:r>
      <w:r w:rsidR="0075372F" w:rsidRPr="001E7D9F">
        <w:rPr>
          <w:u w:val="single"/>
        </w:rPr>
        <w:t>monthly</w:t>
      </w:r>
      <w:r w:rsidR="0075372F">
        <w:t xml:space="preserve"> </w:t>
      </w:r>
      <w:r w:rsidR="0033746D">
        <w:t>value</w:t>
      </w:r>
      <w:r w:rsidR="0075372F">
        <w:t xml:space="preserve">s. </w:t>
      </w:r>
    </w:p>
    <w:p w:rsidR="0075372F" w:rsidRPr="00902E70" w:rsidRDefault="0075372F" w:rsidP="0075372F">
      <w:pPr>
        <w:spacing w:line="480" w:lineRule="auto"/>
        <w:ind w:firstLine="720"/>
        <w:jc w:val="both"/>
        <w:rPr>
          <w:b/>
        </w:rPr>
      </w:pPr>
      <w:r w:rsidRPr="00902E70">
        <w:rPr>
          <w:b/>
        </w:rPr>
        <w:t xml:space="preserve">Q.  </w:t>
      </w:r>
      <w:r w:rsidRPr="00902E70">
        <w:rPr>
          <w:b/>
        </w:rPr>
        <w:tab/>
      </w:r>
      <w:r w:rsidR="0033746D">
        <w:rPr>
          <w:b/>
        </w:rPr>
        <w:t>P</w:t>
      </w:r>
      <w:r>
        <w:rPr>
          <w:b/>
        </w:rPr>
        <w:t>lease describe</w:t>
      </w:r>
      <w:r w:rsidR="001E7D9F">
        <w:rPr>
          <w:b/>
        </w:rPr>
        <w:t xml:space="preserve"> how</w:t>
      </w:r>
      <w:r>
        <w:rPr>
          <w:b/>
        </w:rPr>
        <w:t xml:space="preserve"> deferral</w:t>
      </w:r>
      <w:r w:rsidR="001E7D9F">
        <w:rPr>
          <w:b/>
        </w:rPr>
        <w:t>s for th</w:t>
      </w:r>
      <w:r>
        <w:rPr>
          <w:b/>
        </w:rPr>
        <w:t xml:space="preserve">e </w:t>
      </w:r>
      <w:r w:rsidRPr="00403F75">
        <w:rPr>
          <w:b/>
          <w:u w:val="single"/>
        </w:rPr>
        <w:t>Electric</w:t>
      </w:r>
      <w:r>
        <w:rPr>
          <w:b/>
        </w:rPr>
        <w:t xml:space="preserve"> Decoupling Mechanism</w:t>
      </w:r>
      <w:r w:rsidR="001E7D9F">
        <w:rPr>
          <w:b/>
        </w:rPr>
        <w:t xml:space="preserve"> w</w:t>
      </w:r>
      <w:r w:rsidR="0033746D">
        <w:rPr>
          <w:b/>
        </w:rPr>
        <w:t>ould</w:t>
      </w:r>
      <w:r w:rsidR="001E7D9F">
        <w:rPr>
          <w:b/>
        </w:rPr>
        <w:t xml:space="preserve"> be calculated</w:t>
      </w:r>
      <w:r w:rsidRPr="00902E70">
        <w:rPr>
          <w:b/>
        </w:rPr>
        <w:t>?</w:t>
      </w:r>
    </w:p>
    <w:p w:rsidR="0075372F" w:rsidRDefault="0075372F" w:rsidP="0075372F">
      <w:pPr>
        <w:spacing w:line="480" w:lineRule="auto"/>
        <w:ind w:firstLine="720"/>
        <w:jc w:val="both"/>
      </w:pPr>
      <w:r w:rsidRPr="00902E70">
        <w:lastRenderedPageBreak/>
        <w:t>A</w:t>
      </w:r>
      <w:r>
        <w:t>.</w:t>
      </w:r>
      <w:r>
        <w:tab/>
        <w:t xml:space="preserve">In the rate year, the Company </w:t>
      </w:r>
      <w:r w:rsidR="00E16CAE">
        <w:t>would</w:t>
      </w:r>
      <w:r>
        <w:t xml:space="preserve"> track the </w:t>
      </w:r>
      <w:r w:rsidR="00E16CAE">
        <w:rPr>
          <w:u w:val="single"/>
        </w:rPr>
        <w:t>A</w:t>
      </w:r>
      <w:r w:rsidR="001E7D9F" w:rsidRPr="001E7D9F">
        <w:rPr>
          <w:u w:val="single"/>
        </w:rPr>
        <w:t>ctual</w:t>
      </w:r>
      <w:r w:rsidR="00E16CAE">
        <w:t xml:space="preserve"> Non-Power Supply Revenue </w:t>
      </w:r>
      <w:r>
        <w:t xml:space="preserve">it receives and defer any difference between </w:t>
      </w:r>
      <w:r w:rsidR="001E7D9F">
        <w:t xml:space="preserve">that amount </w:t>
      </w:r>
      <w:r>
        <w:t xml:space="preserve">and the </w:t>
      </w:r>
      <w:r w:rsidR="00E16CAE">
        <w:rPr>
          <w:u w:val="single"/>
        </w:rPr>
        <w:t>A</w:t>
      </w:r>
      <w:r w:rsidR="001E7D9F" w:rsidRPr="001E7D9F">
        <w:rPr>
          <w:u w:val="single"/>
        </w:rPr>
        <w:t>llowed</w:t>
      </w:r>
      <w:r w:rsidR="001E7D9F">
        <w:t xml:space="preserve"> </w:t>
      </w:r>
      <w:r w:rsidR="00E16CAE">
        <w:t xml:space="preserve">Non-Power Supply Revenue.  </w:t>
      </w:r>
      <w:r>
        <w:t xml:space="preserve">Deferrals </w:t>
      </w:r>
      <w:r w:rsidR="00EC06E6">
        <w:t xml:space="preserve">would </w:t>
      </w:r>
      <w:r>
        <w:t>be tracked separate</w:t>
      </w:r>
      <w:r w:rsidR="00384DAD">
        <w:t>ly</w:t>
      </w:r>
      <w:r>
        <w:t xml:space="preserve"> for each Rate Group.   </w:t>
      </w:r>
      <w:r w:rsidR="00E16CAE">
        <w:t xml:space="preserve">A sample calculation, </w:t>
      </w:r>
      <w:r w:rsidR="00E16CAE" w:rsidRPr="006E3755">
        <w:rPr>
          <w:u w:val="single"/>
        </w:rPr>
        <w:t>provided for illustrative purposes</w:t>
      </w:r>
      <w:r w:rsidR="00E16CAE">
        <w:t>, is included on Page 4 of Exhibit No.__</w:t>
      </w:r>
      <w:proofErr w:type="gramStart"/>
      <w:r w:rsidR="00E16CAE">
        <w:t>_(</w:t>
      </w:r>
      <w:proofErr w:type="gramEnd"/>
      <w:r w:rsidR="00E16CAE">
        <w:t xml:space="preserve">PDE-9).  </w:t>
      </w:r>
      <w:r>
        <w:t>Detailed below are the steps</w:t>
      </w:r>
      <w:r w:rsidR="00E16CAE">
        <w:t xml:space="preserve"> outlined on Page 4</w:t>
      </w:r>
      <w:r>
        <w:t xml:space="preserve"> to calculate the deferral</w:t>
      </w:r>
      <w:r w:rsidR="00E16CAE">
        <w:t>.  For purposes of describing the deferral calculation, I will only refer to the calculation of the deferral for the Residential Group; there is no difference in the calculations for the Non-Residential and Extra Large Non-Residential Groups.</w:t>
      </w:r>
    </w:p>
    <w:p w:rsidR="00E16CAE" w:rsidRDefault="00E16CAE" w:rsidP="0075372F">
      <w:pPr>
        <w:spacing w:line="480" w:lineRule="auto"/>
        <w:ind w:left="720"/>
        <w:jc w:val="both"/>
        <w:rPr>
          <w:u w:val="single"/>
        </w:rPr>
      </w:pPr>
    </w:p>
    <w:p w:rsidR="00E16CAE" w:rsidRDefault="0075372F" w:rsidP="00C227DF">
      <w:pPr>
        <w:pStyle w:val="ListParagraph"/>
        <w:numPr>
          <w:ilvl w:val="0"/>
          <w:numId w:val="52"/>
        </w:numPr>
        <w:tabs>
          <w:tab w:val="left" w:pos="990"/>
        </w:tabs>
        <w:spacing w:line="480" w:lineRule="auto"/>
        <w:jc w:val="both"/>
      </w:pPr>
      <w:proofErr w:type="gramStart"/>
      <w:r w:rsidRPr="005E79A4">
        <w:t>Step</w:t>
      </w:r>
      <w:proofErr w:type="gramEnd"/>
      <w:r w:rsidRPr="005E79A4">
        <w:t xml:space="preserve"> 1 –</w:t>
      </w:r>
      <w:r>
        <w:t xml:space="preserve"> </w:t>
      </w:r>
      <w:r w:rsidR="005E79A4" w:rsidRPr="00C227DF">
        <w:rPr>
          <w:u w:val="single"/>
        </w:rPr>
        <w:t>Determine Allowed Non-Power Supply Revenue Opportunity</w:t>
      </w:r>
      <w:r w:rsidR="005E79A4">
        <w:t xml:space="preserve"> - </w:t>
      </w:r>
      <w:r>
        <w:t xml:space="preserve">The first step is to </w:t>
      </w:r>
      <w:r w:rsidR="001E7D9F">
        <w:t>pull from the Company’s billing system</w:t>
      </w:r>
      <w:r>
        <w:t xml:space="preserve"> the actual number of customers each month.</w:t>
      </w:r>
      <w:r w:rsidR="00E16CAE">
        <w:t xml:space="preserve">  The actual </w:t>
      </w:r>
      <w:proofErr w:type="gramStart"/>
      <w:r w:rsidR="00E16CAE">
        <w:t>number of customers are</w:t>
      </w:r>
      <w:proofErr w:type="gramEnd"/>
      <w:r w:rsidR="00E16CAE">
        <w:t xml:space="preserve"> used in the calculation with all customers assuming the same level of Monthly Allowed Non-Power Supply Revenue per Customer.  Line 1 on </w:t>
      </w:r>
      <w:r w:rsidR="00E16CAE" w:rsidRPr="00C227DF">
        <w:rPr>
          <w:u w:val="single"/>
        </w:rPr>
        <w:t>Page 4 of Exhibit No.__</w:t>
      </w:r>
      <w:proofErr w:type="gramStart"/>
      <w:r w:rsidR="00E16CAE" w:rsidRPr="00C227DF">
        <w:rPr>
          <w:u w:val="single"/>
        </w:rPr>
        <w:t>_(</w:t>
      </w:r>
      <w:proofErr w:type="gramEnd"/>
      <w:r w:rsidR="00E16CAE" w:rsidRPr="00C227DF">
        <w:rPr>
          <w:u w:val="single"/>
        </w:rPr>
        <w:t>PDE-9)</w:t>
      </w:r>
      <w:r w:rsidR="00E16CAE">
        <w:t xml:space="preserve"> shows an illustrative Residential Group level of customers for the Rate Year of 2015.  Line 2 shows the Monthly Allowed Non-Power Supply Revenue per Customer for that group.  Multiplying those values together results in an Allowed Non-Power Supply Revenue for each month</w:t>
      </w:r>
      <w:r w:rsidR="009C289B">
        <w:t>, shown on Line 3.  The calculated values on Line 3 show, by month,</w:t>
      </w:r>
      <w:r w:rsidR="00E16CAE">
        <w:t xml:space="preserve"> the total amount of revenue that the Company would be allowed</w:t>
      </w:r>
      <w:r w:rsidR="009C289B">
        <w:t xml:space="preserve">.  </w:t>
      </w:r>
    </w:p>
    <w:p w:rsidR="005E79A4" w:rsidRDefault="005E79A4" w:rsidP="00C227DF">
      <w:pPr>
        <w:tabs>
          <w:tab w:val="left" w:pos="990"/>
        </w:tabs>
        <w:spacing w:line="480" w:lineRule="auto"/>
        <w:jc w:val="both"/>
      </w:pPr>
    </w:p>
    <w:p w:rsidR="009C289B" w:rsidRDefault="0075372F" w:rsidP="00C227DF">
      <w:pPr>
        <w:pStyle w:val="ListParagraph"/>
        <w:numPr>
          <w:ilvl w:val="0"/>
          <w:numId w:val="52"/>
        </w:numPr>
        <w:tabs>
          <w:tab w:val="left" w:pos="990"/>
        </w:tabs>
        <w:spacing w:line="480" w:lineRule="auto"/>
        <w:jc w:val="both"/>
      </w:pPr>
      <w:r w:rsidRPr="005E79A4">
        <w:t>Step 2 –</w:t>
      </w:r>
      <w:r>
        <w:t xml:space="preserve"> </w:t>
      </w:r>
      <w:r w:rsidR="005E79A4" w:rsidRPr="00C227DF">
        <w:rPr>
          <w:u w:val="single"/>
        </w:rPr>
        <w:t>Determine Period “Actuals”</w:t>
      </w:r>
      <w:r w:rsidR="005E79A4">
        <w:t xml:space="preserve"> - </w:t>
      </w:r>
      <w:r w:rsidR="009C289B">
        <w:t xml:space="preserve">The next step is to pull from the Company’s billing system the Actual Monthly revenue (Line </w:t>
      </w:r>
      <w:r w:rsidR="009C289B" w:rsidRPr="005E79A4">
        <w:t>4</w:t>
      </w:r>
      <w:r w:rsidR="005E79A4" w:rsidRPr="005E79A4">
        <w:t xml:space="preserve"> </w:t>
      </w:r>
      <w:r w:rsidR="005E79A4">
        <w:t xml:space="preserve">on </w:t>
      </w:r>
      <w:r w:rsidR="005E79A4" w:rsidRPr="005E79A4">
        <w:t xml:space="preserve">Page 4 of Exhibit </w:t>
      </w:r>
      <w:r w:rsidR="005E79A4" w:rsidRPr="005E79A4">
        <w:lastRenderedPageBreak/>
        <w:t>No.___(PDE-9)</w:t>
      </w:r>
      <w:r w:rsidR="009C289B">
        <w:t>), Actual Fixed Charge Revenue (Line 5) and Actual Usage (Line 6).  These “actuals” would not be weather normalized.</w:t>
      </w:r>
    </w:p>
    <w:p w:rsidR="005E79A4" w:rsidRDefault="005E79A4" w:rsidP="00C227DF">
      <w:pPr>
        <w:tabs>
          <w:tab w:val="left" w:pos="990"/>
        </w:tabs>
        <w:spacing w:line="480" w:lineRule="auto"/>
        <w:jc w:val="both"/>
      </w:pPr>
    </w:p>
    <w:p w:rsidR="009C289B" w:rsidRDefault="009C289B" w:rsidP="00C227DF">
      <w:pPr>
        <w:pStyle w:val="ListParagraph"/>
        <w:numPr>
          <w:ilvl w:val="0"/>
          <w:numId w:val="52"/>
        </w:numPr>
        <w:tabs>
          <w:tab w:val="left" w:pos="990"/>
        </w:tabs>
        <w:spacing w:line="480" w:lineRule="auto"/>
        <w:jc w:val="both"/>
      </w:pPr>
      <w:r>
        <w:t xml:space="preserve">Step 3 – </w:t>
      </w:r>
      <w:r w:rsidRPr="00C227DF">
        <w:rPr>
          <w:u w:val="single"/>
        </w:rPr>
        <w:t>Calculation of Revenue Related to Power Supply</w:t>
      </w:r>
      <w:r>
        <w:t xml:space="preserve"> – the next step in the deferral calculation multiplies the approved Retail Revenue Credit (Line 7</w:t>
      </w:r>
      <w:r w:rsidR="005E79A4" w:rsidRPr="005E79A4">
        <w:t xml:space="preserve"> </w:t>
      </w:r>
      <w:r w:rsidR="005E79A4">
        <w:t xml:space="preserve">on </w:t>
      </w:r>
      <w:r w:rsidR="005E79A4" w:rsidRPr="005E79A4">
        <w:t>Page 4 of Exhibit No.___(PDE-9)</w:t>
      </w:r>
      <w:r>
        <w:t xml:space="preserve">) by the Actual Usage (kWhs) shown on Line 6.  The result is the level of revenues associated with power supply that will be deducted in Step </w:t>
      </w:r>
      <w:r w:rsidR="005E79A4">
        <w:t>4</w:t>
      </w:r>
      <w:r>
        <w:t>.</w:t>
      </w:r>
    </w:p>
    <w:p w:rsidR="005E79A4" w:rsidRDefault="005E79A4" w:rsidP="00C227DF">
      <w:pPr>
        <w:tabs>
          <w:tab w:val="left" w:pos="990"/>
        </w:tabs>
        <w:spacing w:line="480" w:lineRule="auto"/>
        <w:jc w:val="both"/>
      </w:pPr>
    </w:p>
    <w:p w:rsidR="009C289B" w:rsidRDefault="005E79A4" w:rsidP="00C227DF">
      <w:pPr>
        <w:pStyle w:val="ListParagraph"/>
        <w:numPr>
          <w:ilvl w:val="0"/>
          <w:numId w:val="52"/>
        </w:numPr>
        <w:tabs>
          <w:tab w:val="left" w:pos="990"/>
        </w:tabs>
        <w:spacing w:line="480" w:lineRule="auto"/>
        <w:jc w:val="both"/>
      </w:pPr>
      <w:r>
        <w:t xml:space="preserve">Step 4 – </w:t>
      </w:r>
      <w:r w:rsidRPr="00C227DF">
        <w:rPr>
          <w:u w:val="single"/>
        </w:rPr>
        <w:t>Calculation of Actual Non-Power Supply Revenue</w:t>
      </w:r>
      <w:r>
        <w:t xml:space="preserve"> – Line 9 on </w:t>
      </w:r>
      <w:r w:rsidRPr="005E79A4">
        <w:t>Page 4 of Exhibit No.__</w:t>
      </w:r>
      <w:proofErr w:type="gramStart"/>
      <w:r w:rsidRPr="005E79A4">
        <w:t>_(</w:t>
      </w:r>
      <w:proofErr w:type="gramEnd"/>
      <w:r w:rsidRPr="005E79A4">
        <w:t>PDE-9)</w:t>
      </w:r>
      <w:r>
        <w:t xml:space="preserve"> shows the calculation of the Actual Non-Power Supply Revenue.  This calculation subtracts from Actual Monthly Revenue on Line 4 the Actual Fixed Charge Revenue (Line 5) and the Monthly Revenue Related to Power Supply (Line 8).  The calculated values on Line 9 show, by mo</w:t>
      </w:r>
      <w:r w:rsidR="00C227DF">
        <w:t>n</w:t>
      </w:r>
      <w:r>
        <w:t>th, the total amount of revenue that the Company actually received.</w:t>
      </w:r>
    </w:p>
    <w:p w:rsidR="005E79A4" w:rsidRDefault="005E79A4" w:rsidP="00C227DF">
      <w:pPr>
        <w:tabs>
          <w:tab w:val="left" w:pos="990"/>
        </w:tabs>
        <w:spacing w:line="480" w:lineRule="auto"/>
        <w:jc w:val="both"/>
      </w:pPr>
    </w:p>
    <w:p w:rsidR="005E79A4" w:rsidRPr="00C227DF" w:rsidRDefault="005E79A4" w:rsidP="00C227DF">
      <w:pPr>
        <w:pStyle w:val="ListParagraph"/>
        <w:numPr>
          <w:ilvl w:val="0"/>
          <w:numId w:val="52"/>
        </w:numPr>
        <w:tabs>
          <w:tab w:val="left" w:pos="990"/>
        </w:tabs>
        <w:spacing w:line="480" w:lineRule="auto"/>
        <w:jc w:val="both"/>
        <w:rPr>
          <w:u w:val="single"/>
        </w:rPr>
      </w:pPr>
      <w:r>
        <w:t xml:space="preserve">Step 5 – </w:t>
      </w:r>
      <w:r w:rsidRPr="00C227DF">
        <w:rPr>
          <w:u w:val="single"/>
        </w:rPr>
        <w:t>Deferral Calculation</w:t>
      </w:r>
      <w:r>
        <w:t xml:space="preserve"> – In order to determine if the Company over- or under-recovered its fixed costs, Actual Non-Power Supply Revenues (Line 9 on </w:t>
      </w:r>
      <w:r w:rsidRPr="005E79A4">
        <w:t>Page 4 of Exhibit No.___(PDE-9)</w:t>
      </w:r>
      <w:r>
        <w:t xml:space="preserve">) is subtracted from Non-Power Supply Revenue Opportunity (Line 3).  Line 10 shows the calculation.  If the number is positive (surcharge direction), then the Company under-recovered </w:t>
      </w:r>
      <w:proofErr w:type="gramStart"/>
      <w:r>
        <w:t>its</w:t>
      </w:r>
      <w:proofErr w:type="gramEnd"/>
      <w:r>
        <w:t xml:space="preserve"> allowed revenue.  If the number is negative, then the Company over-recovered its allowed revenue.  The monthly </w:t>
      </w:r>
      <w:r>
        <w:lastRenderedPageBreak/>
        <w:t>deferrals are tracked monthly, and accrue interest at the FERC rate (as shown on Line 11)</w:t>
      </w:r>
      <w:r w:rsidR="00103076">
        <w:rPr>
          <w:rStyle w:val="FootnoteReference"/>
        </w:rPr>
        <w:footnoteReference w:id="16"/>
      </w:r>
      <w:r>
        <w:t>.  Finally, Line 12 shows the Cumulative Deferral.</w:t>
      </w:r>
      <w:r w:rsidRPr="00D60C94">
        <w:rPr>
          <w:vertAlign w:val="superscript"/>
        </w:rPr>
        <w:footnoteReference w:id="17"/>
      </w:r>
    </w:p>
    <w:p w:rsidR="005E79A4" w:rsidRDefault="005E79A4" w:rsidP="005E79A4">
      <w:pPr>
        <w:spacing w:line="480" w:lineRule="auto"/>
        <w:ind w:left="720"/>
        <w:jc w:val="both"/>
      </w:pPr>
    </w:p>
    <w:p w:rsidR="005E79A4" w:rsidRDefault="00D72036" w:rsidP="00D72036">
      <w:pPr>
        <w:spacing w:line="480" w:lineRule="auto"/>
        <w:ind w:firstLine="720"/>
        <w:jc w:val="both"/>
      </w:pPr>
      <w:r>
        <w:t>In summary, the calculations shown on Page 4 of Exhibit No.__</w:t>
      </w:r>
      <w:proofErr w:type="gramStart"/>
      <w:r>
        <w:t>_(</w:t>
      </w:r>
      <w:proofErr w:type="gramEnd"/>
      <w:r>
        <w:t>PDE-</w:t>
      </w:r>
      <w:r w:rsidR="00C207BF">
        <w:t>9</w:t>
      </w:r>
      <w:r>
        <w:t xml:space="preserve">) provide an example of how the Electric Decoupling Mechanism would work.  It shows the use of the Monthly Allowed Non-Power Supply Revenue per Customer and how that value is applied to the actual level of customers to determine the Allowed Non-Power Supply Revenue Opportunity.  Further the example shows how </w:t>
      </w:r>
      <w:r w:rsidR="00C207BF">
        <w:t xml:space="preserve">actual revenues from Fixed Charges </w:t>
      </w:r>
      <w:r>
        <w:t>and revenues associated with Power Supply are removed from actual revenues to determine the amount of revenues the Company actually received that are non-power supply related.  Finally, the example shows the monthly and cumulative deferral calculations, including the effect of interest.</w:t>
      </w:r>
    </w:p>
    <w:p w:rsidR="004034D5" w:rsidRPr="00B37259" w:rsidRDefault="004034D5" w:rsidP="004034D5">
      <w:pPr>
        <w:spacing w:line="480" w:lineRule="auto"/>
        <w:ind w:firstLine="720"/>
        <w:jc w:val="both"/>
      </w:pPr>
      <w:r w:rsidRPr="002B1C19">
        <w:rPr>
          <w:b/>
        </w:rPr>
        <w:t xml:space="preserve">Q.  </w:t>
      </w:r>
      <w:r w:rsidRPr="002B1C19">
        <w:rPr>
          <w:b/>
        </w:rPr>
        <w:tab/>
        <w:t>Please provide information related to wh</w:t>
      </w:r>
      <w:r>
        <w:rPr>
          <w:b/>
        </w:rPr>
        <w:t>en the Company would file for a</w:t>
      </w:r>
      <w:r w:rsidRPr="002B1C19">
        <w:rPr>
          <w:b/>
        </w:rPr>
        <w:t xml:space="preserve"> </w:t>
      </w:r>
      <w:r>
        <w:rPr>
          <w:b/>
        </w:rPr>
        <w:t>rate a</w:t>
      </w:r>
      <w:r w:rsidRPr="002B1C19">
        <w:rPr>
          <w:b/>
        </w:rPr>
        <w:t xml:space="preserve">djustment under the proposed </w:t>
      </w:r>
      <w:r>
        <w:rPr>
          <w:b/>
        </w:rPr>
        <w:t>Decoupling Mechanism</w:t>
      </w:r>
      <w:r w:rsidRPr="002B1C19">
        <w:rPr>
          <w:b/>
        </w:rPr>
        <w:t>.</w:t>
      </w:r>
      <w:r>
        <w:rPr>
          <w:b/>
        </w:rPr>
        <w:t xml:space="preserve">  </w:t>
      </w:r>
    </w:p>
    <w:p w:rsidR="004034D5" w:rsidRDefault="004034D5" w:rsidP="004034D5">
      <w:pPr>
        <w:spacing w:line="480" w:lineRule="auto"/>
        <w:ind w:firstLine="720"/>
        <w:jc w:val="both"/>
      </w:pPr>
      <w:r>
        <w:t xml:space="preserve">A.  </w:t>
      </w:r>
      <w:r>
        <w:tab/>
        <w:t>O</w:t>
      </w:r>
      <w:r w:rsidRPr="00B37259">
        <w:t xml:space="preserve">n or </w:t>
      </w:r>
      <w:r>
        <w:t>before</w:t>
      </w:r>
      <w:r w:rsidRPr="00B37259">
        <w:t xml:space="preserve"> </w:t>
      </w:r>
      <w:r>
        <w:t>September 1</w:t>
      </w:r>
      <w:r w:rsidRPr="00B37259">
        <w:t xml:space="preserve">, the Company </w:t>
      </w:r>
      <w:r>
        <w:t>would file</w:t>
      </w:r>
      <w:r w:rsidRPr="00B37259">
        <w:t xml:space="preserve"> a proposed </w:t>
      </w:r>
      <w:r>
        <w:t xml:space="preserve">rate adjustment </w:t>
      </w:r>
      <w:r w:rsidRPr="00B37259">
        <w:t xml:space="preserve">surcharge or rebate based on the amount of deferred revenue recorded for the prior </w:t>
      </w:r>
      <w:r>
        <w:t>July – June time</w:t>
      </w:r>
      <w:r w:rsidRPr="00B37259">
        <w:t xml:space="preserve"> period</w:t>
      </w:r>
      <w:r>
        <w:rPr>
          <w:rStyle w:val="FootnoteReference"/>
        </w:rPr>
        <w:footnoteReference w:id="18"/>
      </w:r>
      <w:r w:rsidRPr="00B37259">
        <w:t xml:space="preserve">. </w:t>
      </w:r>
      <w:r w:rsidRPr="008B33AF">
        <w:t xml:space="preserve">The rate adjustment </w:t>
      </w:r>
      <w:r>
        <w:t>would</w:t>
      </w:r>
      <w:r w:rsidRPr="008B33AF">
        <w:t xml:space="preserve"> be calculated separately for each </w:t>
      </w:r>
      <w:r>
        <w:t>R</w:t>
      </w:r>
      <w:r w:rsidRPr="008B33AF">
        <w:t xml:space="preserve">ate </w:t>
      </w:r>
      <w:r>
        <w:t>G</w:t>
      </w:r>
      <w:r w:rsidRPr="008B33AF">
        <w:t xml:space="preserve">roup.  </w:t>
      </w:r>
      <w:r w:rsidRPr="00B37259">
        <w:t xml:space="preserve"> The </w:t>
      </w:r>
      <w:r>
        <w:t>results of the “earnings” and</w:t>
      </w:r>
      <w:r w:rsidRPr="00B37259">
        <w:t xml:space="preserve"> “</w:t>
      </w:r>
      <w:r>
        <w:t>3</w:t>
      </w:r>
      <w:r w:rsidRPr="00B37259">
        <w:t>%</w:t>
      </w:r>
      <w:r>
        <w:t xml:space="preserve"> Rate Increase Limitation</w:t>
      </w:r>
      <w:r w:rsidRPr="00B37259">
        <w:t xml:space="preserve">” tests </w:t>
      </w:r>
      <w:r>
        <w:t>would also be</w:t>
      </w:r>
      <w:r w:rsidRPr="00B37259">
        <w:t xml:space="preserve"> included with the filing and used to determine the amount of the rate adjustment. </w:t>
      </w:r>
      <w:r>
        <w:t xml:space="preserve"> </w:t>
      </w:r>
      <w:r>
        <w:lastRenderedPageBreak/>
        <w:t xml:space="preserve">The “earnings” and “3% Rate Increase Limitation” tests will be discussed later in my testimony.  </w:t>
      </w:r>
      <w:r w:rsidRPr="00B37259">
        <w:t xml:space="preserve"> </w:t>
      </w:r>
    </w:p>
    <w:p w:rsidR="004034D5" w:rsidRDefault="004034D5" w:rsidP="004034D5">
      <w:pPr>
        <w:spacing w:line="480" w:lineRule="auto"/>
        <w:ind w:firstLine="720"/>
        <w:jc w:val="both"/>
      </w:pPr>
      <w:r w:rsidRPr="00B37259">
        <w:t xml:space="preserve">The proposed tariff </w:t>
      </w:r>
      <w:r>
        <w:t>included with that filing would include</w:t>
      </w:r>
      <w:r w:rsidRPr="00B37259">
        <w:t xml:space="preserve"> a rate adjustment that recovers</w:t>
      </w:r>
      <w:r>
        <w:t>/rebates</w:t>
      </w:r>
      <w:r w:rsidRPr="00B37259">
        <w:t xml:space="preserve"> the appropriate deferred revenue amount over </w:t>
      </w:r>
      <w:r>
        <w:t>a twelve-month period effective</w:t>
      </w:r>
      <w:r w:rsidRPr="00B37259">
        <w:t xml:space="preserve"> </w:t>
      </w:r>
      <w:r>
        <w:t>on November 1</w:t>
      </w:r>
      <w:r w:rsidRPr="00007161">
        <w:rPr>
          <w:vertAlign w:val="superscript"/>
        </w:rPr>
        <w:t>st</w:t>
      </w:r>
      <w:r w:rsidRPr="00B37259">
        <w:t xml:space="preserve">.  The deferred revenue amount approved for recovery or rebate </w:t>
      </w:r>
      <w:r>
        <w:t>would be</w:t>
      </w:r>
      <w:r w:rsidRPr="00B37259">
        <w:t xml:space="preserve"> transferred to a balancing account and the revenue surcharged or rebated during the period </w:t>
      </w:r>
      <w:r>
        <w:t xml:space="preserve">would </w:t>
      </w:r>
      <w:r w:rsidRPr="00B37259">
        <w:t xml:space="preserve">reduce the deferred revenue in the balancing account.  Any deferred revenue remaining in the balancing account at the end of the </w:t>
      </w:r>
      <w:r>
        <w:t xml:space="preserve">July - June </w:t>
      </w:r>
      <w:r w:rsidRPr="00B37259">
        <w:t xml:space="preserve">year </w:t>
      </w:r>
      <w:r>
        <w:t>would be</w:t>
      </w:r>
      <w:r w:rsidRPr="00B37259">
        <w:t xml:space="preserve"> added to the new revenue deferrals to determine the amount of the proposed surcharge</w:t>
      </w:r>
      <w:r>
        <w:t>/rebate</w:t>
      </w:r>
      <w:r w:rsidRPr="00B37259">
        <w:t xml:space="preserve"> for the following year.  </w:t>
      </w:r>
    </w:p>
    <w:p w:rsidR="004034D5" w:rsidRDefault="004034D5" w:rsidP="004034D5">
      <w:pPr>
        <w:spacing w:line="480" w:lineRule="auto"/>
        <w:ind w:firstLine="720"/>
        <w:jc w:val="both"/>
      </w:pPr>
      <w:r w:rsidRPr="00132707">
        <w:t>After determining the amount of deferred revenue that can be recovered through a surcharge (or refunded through a rebate) by Rate Group, the proposed rates under this Schedule w</w:t>
      </w:r>
      <w:r>
        <w:t>ould</w:t>
      </w:r>
      <w:r w:rsidRPr="00132707">
        <w:t xml:space="preserve"> be determined by dividing the deferred revenue to be recovered by Rate Group by the estimate</w:t>
      </w:r>
      <w:r>
        <w:t>d k</w:t>
      </w:r>
      <w:r w:rsidRPr="00132707">
        <w:t xml:space="preserve">Wh </w:t>
      </w:r>
      <w:r>
        <w:t xml:space="preserve">sales (Electric Decoupling Mechanism) or therm </w:t>
      </w:r>
      <w:r w:rsidRPr="00132707">
        <w:t>sales</w:t>
      </w:r>
      <w:r>
        <w:t xml:space="preserve"> (Natural Gas Decoupling Mechanism)</w:t>
      </w:r>
      <w:r w:rsidRPr="00132707">
        <w:t xml:space="preserve"> for each Rate Group during the twelve month recovery period.  </w:t>
      </w:r>
    </w:p>
    <w:p w:rsidR="00D34F06" w:rsidRPr="00D34F06" w:rsidRDefault="004034D5" w:rsidP="00D34F06">
      <w:pPr>
        <w:spacing w:line="480" w:lineRule="auto"/>
        <w:ind w:firstLine="720"/>
        <w:jc w:val="both"/>
      </w:pPr>
      <w:r w:rsidRPr="00132707">
        <w:t>Interest w</w:t>
      </w:r>
      <w:r>
        <w:t>ould</w:t>
      </w:r>
      <w:r w:rsidRPr="00132707">
        <w:t xml:space="preserve"> be accrued on the unamortized balance in the </w:t>
      </w:r>
      <w:r>
        <w:t>d</w:t>
      </w:r>
      <w:r w:rsidRPr="00132707">
        <w:t xml:space="preserve">ecoupling </w:t>
      </w:r>
      <w:r>
        <w:t>balancing a</w:t>
      </w:r>
      <w:r w:rsidRPr="00132707">
        <w:t>ccount</w:t>
      </w:r>
      <w:r>
        <w:t>s</w:t>
      </w:r>
      <w:r w:rsidRPr="00132707">
        <w:t xml:space="preserve"> at the quar</w:t>
      </w:r>
      <w:r>
        <w:t>terly rate published by the</w:t>
      </w:r>
      <w:r w:rsidRPr="004B4C53">
        <w:t xml:space="preserve"> Federal Energy Regulatory Commission (“FERC”)</w:t>
      </w:r>
      <w:r>
        <w:rPr>
          <w:rStyle w:val="FootnoteReference"/>
          <w:rFonts w:eastAsia="SimSun"/>
        </w:rPr>
        <w:footnoteReference w:id="19"/>
      </w:r>
      <w:r w:rsidRPr="00B37259">
        <w:t>.</w:t>
      </w:r>
      <w:r w:rsidR="00D34F06">
        <w:rPr>
          <w:b/>
        </w:rPr>
        <w:br w:type="page"/>
      </w:r>
    </w:p>
    <w:p w:rsidR="0075372F" w:rsidRPr="00B37259" w:rsidRDefault="0075372F" w:rsidP="0075372F">
      <w:pPr>
        <w:spacing w:line="480" w:lineRule="auto"/>
        <w:ind w:firstLine="720"/>
        <w:jc w:val="both"/>
        <w:rPr>
          <w:b/>
        </w:rPr>
      </w:pPr>
      <w:r>
        <w:rPr>
          <w:b/>
        </w:rPr>
        <w:lastRenderedPageBreak/>
        <w:t>Q.</w:t>
      </w:r>
      <w:r>
        <w:rPr>
          <w:b/>
        </w:rPr>
        <w:tab/>
      </w:r>
      <w:proofErr w:type="gramStart"/>
      <w:r>
        <w:rPr>
          <w:b/>
        </w:rPr>
        <w:t>For</w:t>
      </w:r>
      <w:proofErr w:type="gramEnd"/>
      <w:r>
        <w:rPr>
          <w:b/>
        </w:rPr>
        <w:t xml:space="preserve"> the </w:t>
      </w:r>
      <w:r>
        <w:rPr>
          <w:b/>
          <w:u w:val="single"/>
        </w:rPr>
        <w:t>N</w:t>
      </w:r>
      <w:r w:rsidRPr="00403F75">
        <w:rPr>
          <w:b/>
          <w:u w:val="single"/>
        </w:rPr>
        <w:t xml:space="preserve">atural </w:t>
      </w:r>
      <w:r>
        <w:rPr>
          <w:b/>
          <w:u w:val="single"/>
        </w:rPr>
        <w:t>G</w:t>
      </w:r>
      <w:r w:rsidRPr="00403F75">
        <w:rPr>
          <w:b/>
          <w:u w:val="single"/>
        </w:rPr>
        <w:t>as</w:t>
      </w:r>
      <w:r>
        <w:rPr>
          <w:b/>
        </w:rPr>
        <w:t xml:space="preserve"> Decoupling Mechanism, </w:t>
      </w:r>
      <w:r w:rsidR="00923D5A">
        <w:rPr>
          <w:b/>
        </w:rPr>
        <w:t>would</w:t>
      </w:r>
      <w:r>
        <w:rPr>
          <w:b/>
        </w:rPr>
        <w:t xml:space="preserve"> you please describe </w:t>
      </w:r>
      <w:r w:rsidRPr="000568B0">
        <w:rPr>
          <w:b/>
        </w:rPr>
        <w:t xml:space="preserve">how the </w:t>
      </w:r>
      <w:r w:rsidR="000568B0" w:rsidRPr="000568B0">
        <w:rPr>
          <w:b/>
        </w:rPr>
        <w:t xml:space="preserve">Allowed Non-PGA Revenue </w:t>
      </w:r>
      <w:r w:rsidRPr="000568B0">
        <w:rPr>
          <w:b/>
        </w:rPr>
        <w:t>is determined</w:t>
      </w:r>
      <w:r>
        <w:rPr>
          <w:b/>
        </w:rPr>
        <w:t>?</w:t>
      </w:r>
    </w:p>
    <w:p w:rsidR="00782766" w:rsidRDefault="0075372F" w:rsidP="00782766">
      <w:pPr>
        <w:spacing w:line="480" w:lineRule="auto"/>
        <w:ind w:firstLine="720"/>
        <w:jc w:val="both"/>
      </w:pPr>
      <w:proofErr w:type="gramStart"/>
      <w:r>
        <w:t xml:space="preserve">A. </w:t>
      </w:r>
      <w:r>
        <w:tab/>
        <w:t>Yes,</w:t>
      </w:r>
      <w:proofErr w:type="gramEnd"/>
      <w:r>
        <w:t xml:space="preserve"> and it is very similar to the calculation for the </w:t>
      </w:r>
      <w:r w:rsidR="00923D5A">
        <w:t xml:space="preserve">Electric </w:t>
      </w:r>
      <w:r>
        <w:t xml:space="preserve">Decoupling </w:t>
      </w:r>
      <w:r w:rsidRPr="007B30E4">
        <w:t xml:space="preserve">Mechanism.  </w:t>
      </w:r>
      <w:r w:rsidR="000568B0">
        <w:t xml:space="preserve">Provided on </w:t>
      </w:r>
      <w:r w:rsidR="000568B0" w:rsidRPr="00817ECB">
        <w:rPr>
          <w:u w:val="single"/>
        </w:rPr>
        <w:t>Page 1</w:t>
      </w:r>
      <w:r w:rsidR="000568B0">
        <w:t xml:space="preserve"> of Exhibit No.__</w:t>
      </w:r>
      <w:proofErr w:type="gramStart"/>
      <w:r w:rsidR="000568B0">
        <w:t>_(</w:t>
      </w:r>
      <w:proofErr w:type="gramEnd"/>
      <w:r w:rsidR="000568B0">
        <w:t xml:space="preserve">PDE-10) is information that calculates the Allowed Non-PGA Revenue.  This is the revenue that the Company collects in its variable energy rates to cover the fixed costs of providing service to customers.  It excludes revenues associated with natural gas commodity and revenues that are collected in fixed basic charges.   Below are the steps to </w:t>
      </w:r>
      <w:proofErr w:type="gramStart"/>
      <w:r w:rsidR="000568B0">
        <w:t>calculated</w:t>
      </w:r>
      <w:proofErr w:type="gramEnd"/>
      <w:r w:rsidR="000568B0">
        <w:t xml:space="preserve"> the Allowed Non-PGA Revenue.</w:t>
      </w:r>
    </w:p>
    <w:p w:rsidR="00782766" w:rsidRDefault="00782766" w:rsidP="00782766">
      <w:pPr>
        <w:spacing w:line="480" w:lineRule="auto"/>
        <w:ind w:left="720"/>
        <w:jc w:val="both"/>
      </w:pPr>
    </w:p>
    <w:p w:rsidR="00782766" w:rsidRDefault="00782766" w:rsidP="00C227DF">
      <w:pPr>
        <w:pStyle w:val="ListParagraph"/>
        <w:numPr>
          <w:ilvl w:val="0"/>
          <w:numId w:val="51"/>
        </w:numPr>
        <w:spacing w:line="480" w:lineRule="auto"/>
        <w:jc w:val="both"/>
      </w:pPr>
      <w:r>
        <w:t xml:space="preserve">Step 1 – </w:t>
      </w:r>
      <w:r w:rsidRPr="00C227DF">
        <w:rPr>
          <w:u w:val="single"/>
        </w:rPr>
        <w:t>Determine the Total Proposed Revenue</w:t>
      </w:r>
      <w:r>
        <w:t xml:space="preserve"> - Lines 1 through 3 on Page 1 of Exhibit No.__</w:t>
      </w:r>
      <w:proofErr w:type="gramStart"/>
      <w:r>
        <w:t>_(</w:t>
      </w:r>
      <w:proofErr w:type="gramEnd"/>
      <w:r>
        <w:t>PDE-</w:t>
      </w:r>
      <w:r w:rsidR="000568B0">
        <w:t>10</w:t>
      </w:r>
      <w:r>
        <w:t>) shows the Total Normalized Revenue from the test period ($</w:t>
      </w:r>
      <w:r w:rsidR="000568B0">
        <w:t>150.0</w:t>
      </w:r>
      <w:r>
        <w:t xml:space="preserve"> million) and adds to that total the Proposed Revenue Increase ($</w:t>
      </w:r>
      <w:r w:rsidR="000568B0">
        <w:t>12.1</w:t>
      </w:r>
      <w:r>
        <w:t xml:space="preserve"> million).  The resulting calculation is the Total Proposed Revenue that the Company has requested in this case ($</w:t>
      </w:r>
      <w:r w:rsidR="000568B0">
        <w:t>162.2</w:t>
      </w:r>
      <w:r>
        <w:t xml:space="preserve"> million) effective January 1, 2015.</w:t>
      </w:r>
    </w:p>
    <w:p w:rsidR="00782766" w:rsidRDefault="00782766" w:rsidP="00C227DF">
      <w:pPr>
        <w:spacing w:line="480" w:lineRule="auto"/>
        <w:jc w:val="both"/>
      </w:pPr>
    </w:p>
    <w:p w:rsidR="004B650C" w:rsidRDefault="00782766" w:rsidP="00C227DF">
      <w:pPr>
        <w:pStyle w:val="ListParagraph"/>
        <w:numPr>
          <w:ilvl w:val="0"/>
          <w:numId w:val="51"/>
        </w:numPr>
        <w:spacing w:line="480" w:lineRule="auto"/>
        <w:jc w:val="both"/>
      </w:pPr>
      <w:r>
        <w:t xml:space="preserve">Step 2 – </w:t>
      </w:r>
      <w:r w:rsidRPr="00C227DF">
        <w:rPr>
          <w:u w:val="single"/>
        </w:rPr>
        <w:t xml:space="preserve">Determine Amount </w:t>
      </w:r>
      <w:r w:rsidR="00EC06E6">
        <w:rPr>
          <w:u w:val="single"/>
        </w:rPr>
        <w:t xml:space="preserve">of </w:t>
      </w:r>
      <w:r w:rsidRPr="00C227DF">
        <w:rPr>
          <w:u w:val="single"/>
        </w:rPr>
        <w:t xml:space="preserve">Revenue related to </w:t>
      </w:r>
      <w:r w:rsidR="000568B0" w:rsidRPr="00C227DF">
        <w:rPr>
          <w:u w:val="single"/>
        </w:rPr>
        <w:t>Natural Gas/PGA Costs</w:t>
      </w:r>
      <w:r w:rsidRPr="00C227DF">
        <w:rPr>
          <w:u w:val="single"/>
        </w:rPr>
        <w:t xml:space="preserve"> </w:t>
      </w:r>
      <w:r>
        <w:t xml:space="preserve">– The Normalized </w:t>
      </w:r>
      <w:r w:rsidR="000568B0">
        <w:t>therms</w:t>
      </w:r>
      <w:r>
        <w:t xml:space="preserve"> by rate schedule for the test year are detailed on Line 4.  On Line 5, those </w:t>
      </w:r>
      <w:r w:rsidR="000568B0">
        <w:t>therms</w:t>
      </w:r>
      <w:r>
        <w:t xml:space="preserve"> are multiplied by the </w:t>
      </w:r>
      <w:r w:rsidR="004B650C">
        <w:t>current approved Schedule 150 PGA rates</w:t>
      </w:r>
      <w:r>
        <w:t xml:space="preserve"> to determine the total </w:t>
      </w:r>
      <w:r w:rsidR="004B650C">
        <w:t>PGA</w:t>
      </w:r>
      <w:r>
        <w:t xml:space="preserve"> Revenue.  </w:t>
      </w:r>
    </w:p>
    <w:p w:rsidR="004B650C" w:rsidRDefault="004B650C" w:rsidP="00C227DF">
      <w:pPr>
        <w:spacing w:line="480" w:lineRule="auto"/>
        <w:jc w:val="both"/>
      </w:pPr>
    </w:p>
    <w:p w:rsidR="00356E89" w:rsidRDefault="00356E89" w:rsidP="00C227DF">
      <w:pPr>
        <w:spacing w:line="480" w:lineRule="auto"/>
        <w:jc w:val="both"/>
      </w:pPr>
    </w:p>
    <w:p w:rsidR="00782766" w:rsidRDefault="00782766" w:rsidP="00C227DF">
      <w:pPr>
        <w:pStyle w:val="ListParagraph"/>
        <w:numPr>
          <w:ilvl w:val="0"/>
          <w:numId w:val="51"/>
        </w:numPr>
        <w:spacing w:line="480" w:lineRule="auto"/>
        <w:jc w:val="both"/>
      </w:pPr>
      <w:r>
        <w:lastRenderedPageBreak/>
        <w:t xml:space="preserve">Step 3 – </w:t>
      </w:r>
      <w:r w:rsidRPr="00C227DF">
        <w:rPr>
          <w:u w:val="single"/>
        </w:rPr>
        <w:t xml:space="preserve">Determine </w:t>
      </w:r>
      <w:r w:rsidR="004B650C" w:rsidRPr="00C227DF">
        <w:rPr>
          <w:u w:val="single"/>
        </w:rPr>
        <w:t xml:space="preserve">Total </w:t>
      </w:r>
      <w:r w:rsidRPr="00C227DF">
        <w:rPr>
          <w:u w:val="single"/>
        </w:rPr>
        <w:t>Revenue</w:t>
      </w:r>
      <w:r w:rsidR="004B650C" w:rsidRPr="00C227DF">
        <w:rPr>
          <w:u w:val="single"/>
        </w:rPr>
        <w:t xml:space="preserve"> Excluding Gas Costs</w:t>
      </w:r>
      <w:r>
        <w:t xml:space="preserve"> – To determine the</w:t>
      </w:r>
      <w:r w:rsidR="004B650C">
        <w:t xml:space="preserve"> Total Revenue Excluding Gas Costs, t</w:t>
      </w:r>
      <w:r>
        <w:t xml:space="preserve">he mechanism subtracts the </w:t>
      </w:r>
      <w:r w:rsidR="004B650C">
        <w:t>PGA</w:t>
      </w:r>
      <w:r>
        <w:t xml:space="preserve"> Revenue on Line 6 from the Total Proposed Revenue on Line 3.</w:t>
      </w:r>
    </w:p>
    <w:p w:rsidR="00782766" w:rsidRDefault="00782766" w:rsidP="00C227DF">
      <w:pPr>
        <w:spacing w:line="480" w:lineRule="auto"/>
        <w:jc w:val="both"/>
      </w:pPr>
    </w:p>
    <w:p w:rsidR="00782766" w:rsidRDefault="00782766" w:rsidP="00C227DF">
      <w:pPr>
        <w:pStyle w:val="ListParagraph"/>
        <w:numPr>
          <w:ilvl w:val="0"/>
          <w:numId w:val="51"/>
        </w:numPr>
        <w:spacing w:line="480" w:lineRule="auto"/>
        <w:jc w:val="both"/>
      </w:pPr>
      <w:r>
        <w:t xml:space="preserve">Step 4 – </w:t>
      </w:r>
      <w:r w:rsidRPr="00C227DF">
        <w:rPr>
          <w:u w:val="single"/>
        </w:rPr>
        <w:t>Remove Fixed Revenues</w:t>
      </w:r>
      <w:r>
        <w:t xml:space="preserve"> – included in the </w:t>
      </w:r>
      <w:r w:rsidR="004B650C">
        <w:t xml:space="preserve">Total </w:t>
      </w:r>
      <w:r>
        <w:t>Revenue</w:t>
      </w:r>
      <w:r w:rsidR="004B650C">
        <w:t xml:space="preserve"> Excluding Gas Costs</w:t>
      </w:r>
      <w:r>
        <w:t xml:space="preserve"> on Line 7 are revenues that are recovered from customers in Basic</w:t>
      </w:r>
      <w:r w:rsidR="004B650C">
        <w:t xml:space="preserve"> </w:t>
      </w:r>
      <w:r w:rsidR="00EA3898">
        <w:t xml:space="preserve">and Monthly Minimum </w:t>
      </w:r>
      <w:r w:rsidR="00356E89">
        <w:t>charges</w:t>
      </w:r>
      <w:r>
        <w:t xml:space="preserve"> (“Fixed Charges”).  Because the proposed decoupling </w:t>
      </w:r>
      <w:proofErr w:type="gramStart"/>
      <w:r>
        <w:t>mechanism only track</w:t>
      </w:r>
      <w:proofErr w:type="gramEnd"/>
      <w:r>
        <w:t xml:space="preserve"> revenues that vary with customer usage, the revenue from Fixed Charges must be removed.  Line 8 shows the number of Customer Bills in the test period, and Line 9 shows the proposed Fixed Charges in this case.  Line 10 is the total Fixed Charge revenue which is calculated by taking the number of customer bills and multiplying those by the associated Fixed Charges, by rate schedule.</w:t>
      </w:r>
    </w:p>
    <w:p w:rsidR="00782766" w:rsidRDefault="00782766" w:rsidP="00C227DF">
      <w:pPr>
        <w:spacing w:line="480" w:lineRule="auto"/>
        <w:jc w:val="both"/>
      </w:pPr>
    </w:p>
    <w:p w:rsidR="00782766" w:rsidRDefault="00782766" w:rsidP="00C227DF">
      <w:pPr>
        <w:pStyle w:val="ListParagraph"/>
        <w:numPr>
          <w:ilvl w:val="0"/>
          <w:numId w:val="51"/>
        </w:numPr>
        <w:spacing w:line="480" w:lineRule="auto"/>
        <w:jc w:val="both"/>
      </w:pPr>
      <w:r>
        <w:t xml:space="preserve">Step 5 – </w:t>
      </w:r>
      <w:r w:rsidRPr="00C227DF">
        <w:rPr>
          <w:u w:val="single"/>
        </w:rPr>
        <w:t>Determine Allowed Non-</w:t>
      </w:r>
      <w:r w:rsidR="00EC06E6">
        <w:rPr>
          <w:u w:val="single"/>
        </w:rPr>
        <w:t>PGA</w:t>
      </w:r>
      <w:r w:rsidRPr="00C227DF">
        <w:rPr>
          <w:u w:val="single"/>
        </w:rPr>
        <w:t xml:space="preserve"> Revenue</w:t>
      </w:r>
      <w:r>
        <w:t xml:space="preserve"> – The final step to calculate the </w:t>
      </w:r>
      <w:r w:rsidRPr="00C227DF">
        <w:rPr>
          <w:u w:val="single"/>
        </w:rPr>
        <w:t>Allowed</w:t>
      </w:r>
      <w:r>
        <w:t xml:space="preserve"> Non-</w:t>
      </w:r>
      <w:r w:rsidR="007F213C">
        <w:t>PGA</w:t>
      </w:r>
      <w:r>
        <w:t xml:space="preserve"> Revenue, as shown on Line 11, is to subtract the Fixed Charge Revenue (Line 10) from the Non-</w:t>
      </w:r>
      <w:r w:rsidR="00EC06E6">
        <w:t>PGA</w:t>
      </w:r>
      <w:r>
        <w:t xml:space="preserve"> Revenue</w:t>
      </w:r>
      <w:r w:rsidR="00EC06E6">
        <w:t xml:space="preserve"> Excluding Gas Costs</w:t>
      </w:r>
      <w:r>
        <w:t xml:space="preserve"> (Line 7). </w:t>
      </w:r>
    </w:p>
    <w:p w:rsidR="00782766" w:rsidRDefault="00782766" w:rsidP="00782766">
      <w:pPr>
        <w:spacing w:line="480" w:lineRule="auto"/>
        <w:ind w:firstLine="720"/>
        <w:jc w:val="both"/>
      </w:pPr>
    </w:p>
    <w:p w:rsidR="00D34F06" w:rsidRPr="00D34F06" w:rsidRDefault="00782766" w:rsidP="00D34F06">
      <w:pPr>
        <w:spacing w:line="480" w:lineRule="auto"/>
        <w:ind w:firstLine="720"/>
        <w:jc w:val="both"/>
      </w:pPr>
      <w:r>
        <w:t xml:space="preserve">Steps 1 through 5 above </w:t>
      </w:r>
      <w:proofErr w:type="gramStart"/>
      <w:r>
        <w:t>subtract</w:t>
      </w:r>
      <w:proofErr w:type="gramEnd"/>
      <w:r>
        <w:t xml:space="preserve"> from the Total Proposed Revenue the revenues associated with </w:t>
      </w:r>
      <w:r w:rsidR="007F213C">
        <w:t>the PGA</w:t>
      </w:r>
      <w:r>
        <w:t xml:space="preserve"> and Fixed Charges to develop the Allowed Non-P</w:t>
      </w:r>
      <w:r w:rsidR="007F213C">
        <w:t>GA</w:t>
      </w:r>
      <w:r w:rsidR="00EC06E6">
        <w:t xml:space="preserve"> Revenue</w:t>
      </w:r>
      <w:r>
        <w:t>.  The next step will be to determine the Allowed Non-</w:t>
      </w:r>
      <w:r w:rsidR="00EC06E6">
        <w:t>PGA</w:t>
      </w:r>
      <w:r>
        <w:t xml:space="preserve"> Revenue </w:t>
      </w:r>
      <w:r w:rsidRPr="00817ECB">
        <w:rPr>
          <w:u w:val="single"/>
        </w:rPr>
        <w:t>per customer</w:t>
      </w:r>
      <w:r>
        <w:t>.</w:t>
      </w:r>
      <w:r w:rsidR="00D34F06">
        <w:rPr>
          <w:b/>
        </w:rPr>
        <w:br w:type="page"/>
      </w:r>
    </w:p>
    <w:p w:rsidR="007F101D" w:rsidRPr="00B37259" w:rsidRDefault="007F101D" w:rsidP="007F101D">
      <w:pPr>
        <w:spacing w:line="480" w:lineRule="auto"/>
        <w:ind w:firstLine="720"/>
        <w:jc w:val="both"/>
        <w:rPr>
          <w:b/>
        </w:rPr>
      </w:pPr>
      <w:r>
        <w:rPr>
          <w:b/>
        </w:rPr>
        <w:lastRenderedPageBreak/>
        <w:t>Q.</w:t>
      </w:r>
      <w:r>
        <w:rPr>
          <w:b/>
        </w:rPr>
        <w:tab/>
        <w:t>Would you please describe how the A</w:t>
      </w:r>
      <w:r w:rsidR="00C227DF">
        <w:rPr>
          <w:b/>
        </w:rPr>
        <w:t>llowed</w:t>
      </w:r>
      <w:r>
        <w:rPr>
          <w:b/>
        </w:rPr>
        <w:t xml:space="preserve"> Non-</w:t>
      </w:r>
      <w:r w:rsidR="004E7C36">
        <w:rPr>
          <w:b/>
        </w:rPr>
        <w:t>PGA</w:t>
      </w:r>
      <w:r>
        <w:rPr>
          <w:b/>
        </w:rPr>
        <w:t xml:space="preserve"> Revenue </w:t>
      </w:r>
      <w:r w:rsidRPr="00817ECB">
        <w:rPr>
          <w:b/>
          <w:u w:val="single"/>
        </w:rPr>
        <w:t>per Customer</w:t>
      </w:r>
      <w:r>
        <w:rPr>
          <w:b/>
        </w:rPr>
        <w:t xml:space="preserve"> is determined?</w:t>
      </w:r>
    </w:p>
    <w:p w:rsidR="007F101D" w:rsidRDefault="007F101D" w:rsidP="007F101D">
      <w:pPr>
        <w:spacing w:line="480" w:lineRule="auto"/>
        <w:ind w:firstLine="720"/>
        <w:jc w:val="both"/>
      </w:pPr>
      <w:r>
        <w:t xml:space="preserve">A. </w:t>
      </w:r>
      <w:r>
        <w:tab/>
        <w:t>Yes.  Provided on Page 2 of Exhibit No.__</w:t>
      </w:r>
      <w:proofErr w:type="gramStart"/>
      <w:r>
        <w:t>_(</w:t>
      </w:r>
      <w:proofErr w:type="gramEnd"/>
      <w:r>
        <w:t>PDE-</w:t>
      </w:r>
      <w:r w:rsidR="004E7C36">
        <w:t>10</w:t>
      </w:r>
      <w:r>
        <w:t>) are the inputs and calculations to determine the Allowed Non-</w:t>
      </w:r>
      <w:r w:rsidR="004E7C36">
        <w:t>PGA</w:t>
      </w:r>
      <w:r>
        <w:t xml:space="preserve"> Revenue per Customer.  Line 1 on Page 2 of Exhibit No.__</w:t>
      </w:r>
      <w:proofErr w:type="gramStart"/>
      <w:r>
        <w:t>_(</w:t>
      </w:r>
      <w:proofErr w:type="gramEnd"/>
      <w:r>
        <w:t>PDE-</w:t>
      </w:r>
      <w:r w:rsidR="004E7C36">
        <w:t>10</w:t>
      </w:r>
      <w:r>
        <w:t>) shows the Allowed Non-</w:t>
      </w:r>
      <w:r w:rsidR="004E7C36">
        <w:t>PGA</w:t>
      </w:r>
      <w:r>
        <w:t xml:space="preserve"> Revenue, by Rate Group, that was calculated earlier.  Note that the information on Page 2 now shows the revenues by Rate Group rather than by individual rate schedule.  More discussion related to the Rate Groups will follow later in my testimony.  Line 2 shows the Test Year Customers, by Rate Group.  Finally, Line 3 divides the Allowed Non-</w:t>
      </w:r>
      <w:r w:rsidR="004E7C36">
        <w:t>PGA</w:t>
      </w:r>
      <w:r>
        <w:t xml:space="preserve"> Revenue by the Test Year </w:t>
      </w:r>
      <w:r w:rsidR="00EC06E6">
        <w:t>number</w:t>
      </w:r>
      <w:r>
        <w:t xml:space="preserve"> of Customers to determine the </w:t>
      </w:r>
      <w:r w:rsidRPr="007B5B92">
        <w:rPr>
          <w:u w:val="single"/>
        </w:rPr>
        <w:t>annual</w:t>
      </w:r>
      <w:r>
        <w:t xml:space="preserve"> Allowed Non-</w:t>
      </w:r>
      <w:r w:rsidR="004E7C36">
        <w:t>PGA</w:t>
      </w:r>
      <w:r>
        <w:t xml:space="preserve"> Revenue per Customer.</w:t>
      </w:r>
    </w:p>
    <w:p w:rsidR="007F101D" w:rsidRDefault="007F101D" w:rsidP="007F101D">
      <w:pPr>
        <w:spacing w:line="480" w:lineRule="auto"/>
        <w:ind w:firstLine="720"/>
        <w:jc w:val="both"/>
      </w:pPr>
      <w:r>
        <w:t>Page 3 of Exhibit No.___</w:t>
      </w:r>
      <w:proofErr w:type="gramStart"/>
      <w:r>
        <w:t>_(</w:t>
      </w:r>
      <w:proofErr w:type="gramEnd"/>
      <w:r>
        <w:t>PDE-</w:t>
      </w:r>
      <w:r w:rsidR="004E7C36">
        <w:t>10</w:t>
      </w:r>
      <w:r>
        <w:t xml:space="preserve">) calculates the </w:t>
      </w:r>
      <w:r w:rsidRPr="003D665D">
        <w:rPr>
          <w:u w:val="single"/>
        </w:rPr>
        <w:t>monthly</w:t>
      </w:r>
      <w:r>
        <w:t xml:space="preserve"> Allowed </w:t>
      </w:r>
      <w:r w:rsidR="004E7C36">
        <w:t>Non-PGA</w:t>
      </w:r>
      <w:r>
        <w:t xml:space="preserve"> Revenue per Customer.  To determine the </w:t>
      </w:r>
      <w:r w:rsidRPr="003D665D">
        <w:rPr>
          <w:u w:val="single"/>
        </w:rPr>
        <w:t>monthly</w:t>
      </w:r>
      <w:r>
        <w:t xml:space="preserve"> Allowed </w:t>
      </w:r>
      <w:r w:rsidR="004E7C36">
        <w:t xml:space="preserve">Non-PGA </w:t>
      </w:r>
      <w:r>
        <w:t xml:space="preserve">Revenue per customer, which is required for the monthly deferral calculations discussed later in my testimony, the </w:t>
      </w:r>
      <w:r w:rsidRPr="004E7C36">
        <w:rPr>
          <w:u w:val="single"/>
        </w:rPr>
        <w:t>annual</w:t>
      </w:r>
      <w:r>
        <w:t xml:space="preserve"> Allowed </w:t>
      </w:r>
      <w:r w:rsidR="004E7C36">
        <w:t xml:space="preserve">Non-PGA </w:t>
      </w:r>
      <w:r>
        <w:t xml:space="preserve">Revenue per customer is shaped based on the monthly </w:t>
      </w:r>
      <w:r w:rsidR="004E7C36">
        <w:t>therm</w:t>
      </w:r>
      <w:r>
        <w:t xml:space="preserve"> usage from the test year as shown on Page 3 of Exhibit No.__</w:t>
      </w:r>
      <w:proofErr w:type="gramStart"/>
      <w:r>
        <w:t>_(</w:t>
      </w:r>
      <w:proofErr w:type="gramEnd"/>
      <w:r>
        <w:t>PDE-</w:t>
      </w:r>
      <w:r w:rsidR="004E7C36">
        <w:t>10</w:t>
      </w:r>
      <w:r>
        <w:t xml:space="preserve">).  For example, the Residential Group used </w:t>
      </w:r>
      <w:r w:rsidR="004E7C36">
        <w:t>17.33</w:t>
      </w:r>
      <w:r>
        <w:t>% of its annual usage in January 2013 (</w:t>
      </w:r>
      <w:r w:rsidR="004E7C36">
        <w:t>19,888,327 therms</w:t>
      </w:r>
      <w:r>
        <w:t xml:space="preserve"> / </w:t>
      </w:r>
      <w:r w:rsidR="004E7C36">
        <w:t>114,766,242 therms)</w:t>
      </w:r>
      <w:r>
        <w:t xml:space="preserve">.  The Company used the resulting monthly percentage of usage by month and multiplied that by the annual Allowed </w:t>
      </w:r>
      <w:r w:rsidR="004E7C36">
        <w:t xml:space="preserve">Non-PGA </w:t>
      </w:r>
      <w:r>
        <w:t xml:space="preserve">Revenue per Customer to determine the 12 </w:t>
      </w:r>
      <w:r w:rsidRPr="001E7D9F">
        <w:rPr>
          <w:u w:val="single"/>
        </w:rPr>
        <w:t>monthly</w:t>
      </w:r>
      <w:r>
        <w:t xml:space="preserve"> values. </w:t>
      </w:r>
    </w:p>
    <w:p w:rsidR="00D57309" w:rsidRPr="00902E70" w:rsidRDefault="00D57309" w:rsidP="00D57309">
      <w:pPr>
        <w:spacing w:line="480" w:lineRule="auto"/>
        <w:ind w:firstLine="720"/>
        <w:jc w:val="both"/>
        <w:rPr>
          <w:b/>
        </w:rPr>
      </w:pPr>
      <w:r w:rsidRPr="00902E70">
        <w:rPr>
          <w:b/>
        </w:rPr>
        <w:t xml:space="preserve">Q.  </w:t>
      </w:r>
      <w:r w:rsidRPr="00902E70">
        <w:rPr>
          <w:b/>
        </w:rPr>
        <w:tab/>
      </w:r>
      <w:r>
        <w:rPr>
          <w:b/>
        </w:rPr>
        <w:t xml:space="preserve">Please describe how deferrals for the </w:t>
      </w:r>
      <w:r>
        <w:rPr>
          <w:b/>
          <w:u w:val="single"/>
        </w:rPr>
        <w:t>Natural Gas</w:t>
      </w:r>
      <w:r>
        <w:rPr>
          <w:b/>
        </w:rPr>
        <w:t xml:space="preserve"> Decoupling Mechanism would be calculated</w:t>
      </w:r>
      <w:r w:rsidRPr="00902E70">
        <w:rPr>
          <w:b/>
        </w:rPr>
        <w:t>?</w:t>
      </w:r>
    </w:p>
    <w:p w:rsidR="00D57309" w:rsidRDefault="00D57309" w:rsidP="00D57309">
      <w:pPr>
        <w:spacing w:line="480" w:lineRule="auto"/>
        <w:ind w:firstLine="720"/>
        <w:jc w:val="both"/>
      </w:pPr>
      <w:r w:rsidRPr="00902E70">
        <w:t>A</w:t>
      </w:r>
      <w:r>
        <w:t>.</w:t>
      </w:r>
      <w:r>
        <w:tab/>
        <w:t xml:space="preserve">In the rate year, the Company would track the </w:t>
      </w:r>
      <w:r>
        <w:rPr>
          <w:u w:val="single"/>
        </w:rPr>
        <w:t>A</w:t>
      </w:r>
      <w:r w:rsidRPr="001E7D9F">
        <w:rPr>
          <w:u w:val="single"/>
        </w:rPr>
        <w:t>ctual</w:t>
      </w:r>
      <w:r>
        <w:t xml:space="preserve"> Non-PGA Revenue it receives and defer any difference between that amount and the </w:t>
      </w:r>
      <w:r>
        <w:rPr>
          <w:u w:val="single"/>
        </w:rPr>
        <w:t>A</w:t>
      </w:r>
      <w:r w:rsidRPr="001E7D9F">
        <w:rPr>
          <w:u w:val="single"/>
        </w:rPr>
        <w:t>llowed</w:t>
      </w:r>
      <w:r>
        <w:t xml:space="preserve"> </w:t>
      </w:r>
      <w:r w:rsidR="00EC06E6">
        <w:t xml:space="preserve">Non-PGA Revenue.  </w:t>
      </w:r>
      <w:r w:rsidR="00EC06E6">
        <w:lastRenderedPageBreak/>
        <w:t>Deferrals would</w:t>
      </w:r>
      <w:r>
        <w:t xml:space="preserve"> be tracked separately for each Rate Group.   A sample calculation, </w:t>
      </w:r>
      <w:r w:rsidRPr="006E3755">
        <w:rPr>
          <w:u w:val="single"/>
        </w:rPr>
        <w:t>provided for illustrative purposes</w:t>
      </w:r>
      <w:r>
        <w:t>, is included on Page 4 of Exhibit No.__</w:t>
      </w:r>
      <w:proofErr w:type="gramStart"/>
      <w:r>
        <w:t>_(</w:t>
      </w:r>
      <w:proofErr w:type="gramEnd"/>
      <w:r>
        <w:t>PDE-10).  Detailed below are the steps outlined on Page 4 to calculate the deferral.  For purposes of describing the deferral calculation, I will only refer to the calculation of the deferral for the Residential Group; there is no difference in the calculations for the Non-Residential Group.</w:t>
      </w:r>
    </w:p>
    <w:p w:rsidR="00D57309" w:rsidRDefault="00D57309" w:rsidP="00D57309">
      <w:pPr>
        <w:spacing w:line="480" w:lineRule="auto"/>
        <w:ind w:left="720"/>
        <w:jc w:val="both"/>
        <w:rPr>
          <w:u w:val="single"/>
        </w:rPr>
      </w:pPr>
    </w:p>
    <w:p w:rsidR="00D57309" w:rsidRDefault="00D57309" w:rsidP="00C227DF">
      <w:pPr>
        <w:pStyle w:val="ListParagraph"/>
        <w:numPr>
          <w:ilvl w:val="0"/>
          <w:numId w:val="50"/>
        </w:numPr>
        <w:spacing w:line="480" w:lineRule="auto"/>
        <w:jc w:val="both"/>
      </w:pPr>
      <w:proofErr w:type="gramStart"/>
      <w:r w:rsidRPr="005E79A4">
        <w:t>Step</w:t>
      </w:r>
      <w:proofErr w:type="gramEnd"/>
      <w:r w:rsidRPr="005E79A4">
        <w:t xml:space="preserve"> 1 –</w:t>
      </w:r>
      <w:r>
        <w:t xml:space="preserve"> </w:t>
      </w:r>
      <w:r w:rsidRPr="00C227DF">
        <w:rPr>
          <w:u w:val="single"/>
        </w:rPr>
        <w:t>Determine Allowed Non-PGA Revenue Opportunity</w:t>
      </w:r>
      <w:r>
        <w:t xml:space="preserve"> - The first step is to pull from the Company’s billing system the actual number of customers each month.  The actual </w:t>
      </w:r>
      <w:proofErr w:type="gramStart"/>
      <w:r>
        <w:t>number of customers are</w:t>
      </w:r>
      <w:proofErr w:type="gramEnd"/>
      <w:r>
        <w:t xml:space="preserve"> used in the calculation with all customers assuming the same level of Monthly Allowed Non-PGA Revenue per Customer.  Line 1 on </w:t>
      </w:r>
      <w:r w:rsidRPr="00C227DF">
        <w:rPr>
          <w:u w:val="single"/>
        </w:rPr>
        <w:t>Page 4 of Exhibit No.__</w:t>
      </w:r>
      <w:proofErr w:type="gramStart"/>
      <w:r w:rsidRPr="00C227DF">
        <w:rPr>
          <w:u w:val="single"/>
        </w:rPr>
        <w:t>_(</w:t>
      </w:r>
      <w:proofErr w:type="gramEnd"/>
      <w:r w:rsidRPr="00C227DF">
        <w:rPr>
          <w:u w:val="single"/>
        </w:rPr>
        <w:t>PDE-10)</w:t>
      </w:r>
      <w:r>
        <w:t xml:space="preserve"> shows an illustrative Residential Group level of customers for the Rate Year of 2015.  Line 2 shows the Monthly Allowed Non-PGA Revenue per Customer for that group.  Multiplying those values together results in an Allowed Non-PGA Revenue for each month, shown on Line 3.  The calculated values on Line 3 show, by month, the total amount of revenue that the Company would be allowed.  </w:t>
      </w:r>
    </w:p>
    <w:p w:rsidR="00D57309" w:rsidRDefault="00D57309" w:rsidP="00C227DF">
      <w:pPr>
        <w:spacing w:line="480" w:lineRule="auto"/>
        <w:jc w:val="both"/>
      </w:pPr>
    </w:p>
    <w:p w:rsidR="00D57309" w:rsidRDefault="00D57309" w:rsidP="00C227DF">
      <w:pPr>
        <w:pStyle w:val="ListParagraph"/>
        <w:numPr>
          <w:ilvl w:val="0"/>
          <w:numId w:val="50"/>
        </w:numPr>
        <w:spacing w:line="480" w:lineRule="auto"/>
        <w:jc w:val="both"/>
      </w:pPr>
      <w:r w:rsidRPr="005E79A4">
        <w:t>Step 2 –</w:t>
      </w:r>
      <w:r>
        <w:t xml:space="preserve"> </w:t>
      </w:r>
      <w:r w:rsidRPr="00C227DF">
        <w:rPr>
          <w:u w:val="single"/>
        </w:rPr>
        <w:t>Determine Period “Actuals”</w:t>
      </w:r>
      <w:r>
        <w:t xml:space="preserve"> - The next step is to pull from the Company’s billing system the Actual Monthly Revenue excluding natural gas costs (Line </w:t>
      </w:r>
      <w:r w:rsidRPr="005E79A4">
        <w:t xml:space="preserve">4 </w:t>
      </w:r>
      <w:r>
        <w:t xml:space="preserve">on </w:t>
      </w:r>
      <w:r w:rsidRPr="005E79A4">
        <w:t>Page 4 of Exhibit No.___(PDE-</w:t>
      </w:r>
      <w:r>
        <w:t>10</w:t>
      </w:r>
      <w:r w:rsidRPr="005E79A4">
        <w:t>)</w:t>
      </w:r>
      <w:r>
        <w:t>), and Actual Fixed Charge Revenue (Line 5). These “actuals” would not be weather normalized.</w:t>
      </w:r>
    </w:p>
    <w:p w:rsidR="00D57309" w:rsidRDefault="00D57309" w:rsidP="00C227DF">
      <w:pPr>
        <w:spacing w:line="480" w:lineRule="auto"/>
        <w:jc w:val="both"/>
      </w:pPr>
    </w:p>
    <w:p w:rsidR="00D57309" w:rsidRDefault="00D57309" w:rsidP="00C227DF">
      <w:pPr>
        <w:pStyle w:val="ListParagraph"/>
        <w:numPr>
          <w:ilvl w:val="0"/>
          <w:numId w:val="50"/>
        </w:numPr>
        <w:spacing w:line="480" w:lineRule="auto"/>
        <w:jc w:val="both"/>
      </w:pPr>
      <w:r>
        <w:lastRenderedPageBreak/>
        <w:t xml:space="preserve">Step 3 – </w:t>
      </w:r>
      <w:r w:rsidRPr="00C227DF">
        <w:rPr>
          <w:u w:val="single"/>
        </w:rPr>
        <w:t>Calculation of Actual Non-PGA Revenue</w:t>
      </w:r>
      <w:r>
        <w:t xml:space="preserve"> – Line </w:t>
      </w:r>
      <w:r w:rsidR="00C207BF">
        <w:t>6</w:t>
      </w:r>
      <w:r>
        <w:t xml:space="preserve"> on </w:t>
      </w:r>
      <w:r w:rsidRPr="005E79A4">
        <w:t>Page 4 of Exhibit No.__</w:t>
      </w:r>
      <w:proofErr w:type="gramStart"/>
      <w:r w:rsidRPr="005E79A4">
        <w:t>_(</w:t>
      </w:r>
      <w:proofErr w:type="gramEnd"/>
      <w:r w:rsidRPr="005E79A4">
        <w:t>PDE</w:t>
      </w:r>
      <w:r>
        <w:t>-10</w:t>
      </w:r>
      <w:r w:rsidRPr="005E79A4">
        <w:t>)</w:t>
      </w:r>
      <w:r>
        <w:t xml:space="preserve"> shows the calculation of the Actual Non-PGA Revenue.  This calculation subtracts from Actual Monthly Revenue on Line 4 the Actual Fixed Charge Revenue (Line 5).  The calculated values on Line </w:t>
      </w:r>
      <w:r w:rsidR="00C207BF">
        <w:t>6</w:t>
      </w:r>
      <w:r>
        <w:t xml:space="preserve"> show, by mo</w:t>
      </w:r>
      <w:r w:rsidR="00EC06E6">
        <w:t>n</w:t>
      </w:r>
      <w:r>
        <w:t>th, the total amount of revenue that the Company actually received.</w:t>
      </w:r>
    </w:p>
    <w:p w:rsidR="00D57309" w:rsidRDefault="00D57309" w:rsidP="00C227DF">
      <w:pPr>
        <w:spacing w:line="480" w:lineRule="auto"/>
        <w:jc w:val="both"/>
      </w:pPr>
    </w:p>
    <w:p w:rsidR="00D57309" w:rsidRPr="00C227DF" w:rsidRDefault="00D57309" w:rsidP="00C227DF">
      <w:pPr>
        <w:pStyle w:val="ListParagraph"/>
        <w:numPr>
          <w:ilvl w:val="0"/>
          <w:numId w:val="50"/>
        </w:numPr>
        <w:spacing w:line="480" w:lineRule="auto"/>
        <w:jc w:val="both"/>
        <w:rPr>
          <w:u w:val="single"/>
        </w:rPr>
      </w:pPr>
      <w:r>
        <w:t xml:space="preserve">Step 4 – </w:t>
      </w:r>
      <w:r w:rsidRPr="00C227DF">
        <w:rPr>
          <w:u w:val="single"/>
        </w:rPr>
        <w:t>Deferral Calculation</w:t>
      </w:r>
      <w:r>
        <w:t xml:space="preserve"> – In order to determine if the Company over- or under-recovered its fixed costs, Actual Non-</w:t>
      </w:r>
      <w:r w:rsidR="00C207BF">
        <w:t>PGA</w:t>
      </w:r>
      <w:r>
        <w:t xml:space="preserve"> Revenues (Line </w:t>
      </w:r>
      <w:r w:rsidR="00C207BF">
        <w:t>6</w:t>
      </w:r>
      <w:r>
        <w:t xml:space="preserve"> on </w:t>
      </w:r>
      <w:r w:rsidRPr="005E79A4">
        <w:t>Page 4 of Exhibit No.___(PDE-</w:t>
      </w:r>
      <w:r w:rsidR="00C207BF">
        <w:t>10</w:t>
      </w:r>
      <w:r w:rsidRPr="005E79A4">
        <w:t>)</w:t>
      </w:r>
      <w:r>
        <w:t xml:space="preserve">) is subtracted from </w:t>
      </w:r>
      <w:r w:rsidR="00C207BF">
        <w:t xml:space="preserve">Allowed </w:t>
      </w:r>
      <w:r>
        <w:t>Non-</w:t>
      </w:r>
      <w:r w:rsidR="00C207BF">
        <w:t>PGA</w:t>
      </w:r>
      <w:r>
        <w:t xml:space="preserve"> Revenue </w:t>
      </w:r>
      <w:r w:rsidR="00C207BF">
        <w:t>(</w:t>
      </w:r>
      <w:r>
        <w:t xml:space="preserve">Line 3).  Line </w:t>
      </w:r>
      <w:r w:rsidR="00C207BF">
        <w:t>7</w:t>
      </w:r>
      <w:r>
        <w:t xml:space="preserve"> shows the calculation.  If the number is positive (surcharge direction), then the Company under-recovered </w:t>
      </w:r>
      <w:proofErr w:type="gramStart"/>
      <w:r>
        <w:t>its</w:t>
      </w:r>
      <w:proofErr w:type="gramEnd"/>
      <w:r>
        <w:t xml:space="preserve"> allowed revenue.  If the number is negative, then the Company over-recovered its allowed revenue.  The monthly deferrals are tracked monthly, and accrue interest at the FERC rate (as shown on Line </w:t>
      </w:r>
      <w:r w:rsidR="00C207BF">
        <w:t>8</w:t>
      </w:r>
      <w:r>
        <w:t>)</w:t>
      </w:r>
      <w:r>
        <w:rPr>
          <w:rStyle w:val="FootnoteReference"/>
        </w:rPr>
        <w:footnoteReference w:id="20"/>
      </w:r>
      <w:r>
        <w:t xml:space="preserve">.  Finally, Line </w:t>
      </w:r>
      <w:r w:rsidR="00C207BF">
        <w:t>9</w:t>
      </w:r>
      <w:r>
        <w:t xml:space="preserve"> shows the Cumulative Deferral.</w:t>
      </w:r>
      <w:r w:rsidRPr="00D60C94">
        <w:rPr>
          <w:vertAlign w:val="superscript"/>
        </w:rPr>
        <w:footnoteReference w:id="21"/>
      </w:r>
    </w:p>
    <w:p w:rsidR="00D57309" w:rsidRDefault="00D57309" w:rsidP="00D57309">
      <w:pPr>
        <w:spacing w:line="480" w:lineRule="auto"/>
        <w:ind w:left="720"/>
        <w:jc w:val="both"/>
      </w:pPr>
    </w:p>
    <w:p w:rsidR="00D57309" w:rsidRDefault="00D57309" w:rsidP="00D57309">
      <w:pPr>
        <w:spacing w:line="480" w:lineRule="auto"/>
        <w:ind w:firstLine="720"/>
        <w:jc w:val="both"/>
      </w:pPr>
      <w:r>
        <w:t>In summary, the calculations shown on Page 4 of Exhibit No.__</w:t>
      </w:r>
      <w:proofErr w:type="gramStart"/>
      <w:r>
        <w:t>_(</w:t>
      </w:r>
      <w:proofErr w:type="gramEnd"/>
      <w:r>
        <w:t>PDE-</w:t>
      </w:r>
      <w:r w:rsidR="00C207BF">
        <w:t>10</w:t>
      </w:r>
      <w:r>
        <w:t xml:space="preserve">) provide an example of how the </w:t>
      </w:r>
      <w:r w:rsidR="00C207BF">
        <w:t>Natural Gas</w:t>
      </w:r>
      <w:r>
        <w:t xml:space="preserve"> Decoupling Mechanism would work.  It shows the use of the Monthly Allowed </w:t>
      </w:r>
      <w:r w:rsidR="00C207BF">
        <w:t>Non-PGA</w:t>
      </w:r>
      <w:r>
        <w:t xml:space="preserve"> Revenue per Customer and how that value is applied to the actual level of customers to determine the Allowed Non-</w:t>
      </w:r>
      <w:r w:rsidR="00C207BF">
        <w:t>PGA</w:t>
      </w:r>
      <w:r>
        <w:t xml:space="preserve"> Revenue Opportunity.  Further the example shows how actual </w:t>
      </w:r>
      <w:r w:rsidR="00C207BF">
        <w:t xml:space="preserve">revenues from </w:t>
      </w:r>
      <w:r>
        <w:t xml:space="preserve">Fixed Charges are removed from actual revenues to determine the amount of revenues the Company actually received that are </w:t>
      </w:r>
      <w:r>
        <w:lastRenderedPageBreak/>
        <w:t>non-</w:t>
      </w:r>
      <w:r w:rsidR="00C207BF">
        <w:t>PGA</w:t>
      </w:r>
      <w:r>
        <w:t xml:space="preserve"> related.  Finally, the example shows the monthly and cumulative deferral calculations, including the effect of interest.</w:t>
      </w:r>
    </w:p>
    <w:p w:rsidR="0075372F" w:rsidRPr="00902E70" w:rsidRDefault="0075372F" w:rsidP="0075372F">
      <w:pPr>
        <w:spacing w:line="480" w:lineRule="auto"/>
        <w:ind w:firstLine="720"/>
        <w:jc w:val="both"/>
        <w:rPr>
          <w:b/>
        </w:rPr>
      </w:pPr>
      <w:r w:rsidRPr="00902E70">
        <w:rPr>
          <w:b/>
        </w:rPr>
        <w:t xml:space="preserve">Q.  </w:t>
      </w:r>
      <w:r w:rsidRPr="00902E70">
        <w:rPr>
          <w:b/>
        </w:rPr>
        <w:tab/>
      </w:r>
      <w:r w:rsidR="00A43F4C">
        <w:rPr>
          <w:b/>
        </w:rPr>
        <w:t>Earlier in your testimony you mentioned that customers will be combined into Rate Groups.  Please explain</w:t>
      </w:r>
      <w:r w:rsidRPr="00902E70">
        <w:rPr>
          <w:b/>
        </w:rPr>
        <w:t>?</w:t>
      </w:r>
    </w:p>
    <w:p w:rsidR="0075372F" w:rsidRDefault="0075372F" w:rsidP="0075372F">
      <w:pPr>
        <w:pStyle w:val="ListParagraph"/>
        <w:tabs>
          <w:tab w:val="left" w:pos="720"/>
        </w:tabs>
        <w:suppressAutoHyphens/>
        <w:autoSpaceDE/>
        <w:autoSpaceDN/>
        <w:spacing w:line="480" w:lineRule="auto"/>
        <w:ind w:left="0" w:firstLine="360"/>
        <w:contextualSpacing/>
        <w:jc w:val="both"/>
        <w:rPr>
          <w:szCs w:val="16"/>
        </w:rPr>
      </w:pPr>
      <w:r>
        <w:tab/>
      </w:r>
      <w:r w:rsidRPr="00902E70">
        <w:t>A.</w:t>
      </w:r>
      <w:r w:rsidRPr="00902E70">
        <w:tab/>
      </w:r>
      <w:r>
        <w:t xml:space="preserve">Similar to </w:t>
      </w:r>
      <w:r w:rsidR="00A43F4C">
        <w:t xml:space="preserve">what </w:t>
      </w:r>
      <w:r>
        <w:t>PSE</w:t>
      </w:r>
      <w:r w:rsidR="00A43F4C">
        <w:t xml:space="preserve"> did with their decoupling mechanisms</w:t>
      </w:r>
      <w:r>
        <w:t>, Avista has combined customers into Rate Groups.  For the Electric Decoupling Mechanism c</w:t>
      </w:r>
      <w:r>
        <w:rPr>
          <w:szCs w:val="16"/>
        </w:rPr>
        <w:t>ustomers w</w:t>
      </w:r>
      <w:r w:rsidR="00EC06E6">
        <w:rPr>
          <w:szCs w:val="16"/>
        </w:rPr>
        <w:t xml:space="preserve">ould </w:t>
      </w:r>
      <w:r>
        <w:rPr>
          <w:szCs w:val="16"/>
        </w:rPr>
        <w:t>be included in one of three Rate Groups:</w:t>
      </w:r>
    </w:p>
    <w:p w:rsidR="0075372F" w:rsidRDefault="0075372F" w:rsidP="0075372F">
      <w:pPr>
        <w:pStyle w:val="ListParagraph"/>
        <w:numPr>
          <w:ilvl w:val="2"/>
          <w:numId w:val="48"/>
        </w:numPr>
        <w:suppressAutoHyphens/>
        <w:autoSpaceDE/>
        <w:autoSpaceDN/>
        <w:contextualSpacing/>
        <w:jc w:val="both"/>
        <w:rPr>
          <w:szCs w:val="16"/>
        </w:rPr>
      </w:pPr>
      <w:r>
        <w:rPr>
          <w:szCs w:val="16"/>
        </w:rPr>
        <w:t>Residential – Schedule 1</w:t>
      </w:r>
    </w:p>
    <w:p w:rsidR="0075372F" w:rsidRPr="00425757" w:rsidRDefault="0075372F" w:rsidP="0075372F">
      <w:pPr>
        <w:pStyle w:val="ListParagraph"/>
        <w:numPr>
          <w:ilvl w:val="2"/>
          <w:numId w:val="48"/>
        </w:numPr>
        <w:suppressAutoHyphens/>
        <w:autoSpaceDE/>
        <w:autoSpaceDN/>
        <w:contextualSpacing/>
        <w:jc w:val="both"/>
        <w:rPr>
          <w:rFonts w:eastAsia="Calibri"/>
          <w:szCs w:val="16"/>
        </w:rPr>
      </w:pPr>
      <w:r>
        <w:rPr>
          <w:szCs w:val="16"/>
        </w:rPr>
        <w:t>Commercial – Schedules 11, 12, 21, 22, 31, and 32</w:t>
      </w:r>
    </w:p>
    <w:p w:rsidR="0075372F" w:rsidRPr="00A43F4C" w:rsidRDefault="0075372F" w:rsidP="00A43F4C">
      <w:pPr>
        <w:pStyle w:val="ListParagraph"/>
        <w:numPr>
          <w:ilvl w:val="2"/>
          <w:numId w:val="48"/>
        </w:numPr>
        <w:suppressAutoHyphens/>
        <w:autoSpaceDE/>
        <w:autoSpaceDN/>
        <w:contextualSpacing/>
        <w:jc w:val="both"/>
        <w:rPr>
          <w:szCs w:val="16"/>
        </w:rPr>
      </w:pPr>
      <w:r>
        <w:rPr>
          <w:rFonts w:eastAsia="SimSun"/>
        </w:rPr>
        <w:t>Industrial – Schedule 25</w:t>
      </w:r>
    </w:p>
    <w:p w:rsidR="00A43F4C" w:rsidRPr="00A43F4C" w:rsidRDefault="00A43F4C" w:rsidP="00A43F4C">
      <w:pPr>
        <w:pStyle w:val="ListParagraph"/>
        <w:suppressAutoHyphens/>
        <w:autoSpaceDE/>
        <w:autoSpaceDN/>
        <w:ind w:left="1080"/>
        <w:contextualSpacing/>
        <w:jc w:val="both"/>
        <w:rPr>
          <w:szCs w:val="16"/>
        </w:rPr>
      </w:pPr>
    </w:p>
    <w:p w:rsidR="00A43F4C" w:rsidRDefault="00A43F4C" w:rsidP="00A43F4C">
      <w:pPr>
        <w:spacing w:line="480" w:lineRule="auto"/>
        <w:ind w:firstLine="720"/>
        <w:jc w:val="both"/>
        <w:rPr>
          <w:rFonts w:eastAsia="SimSun"/>
        </w:rPr>
      </w:pPr>
      <w:r>
        <w:t xml:space="preserve">Using the PSE grouping as a model, the Company made one adjustment to PSE’s original groups and removed Schedule 25 from the non-residential group.  The customer base and usage levels for Schedule 25 customers </w:t>
      </w:r>
      <w:r w:rsidR="00EC06E6">
        <w:t>are</w:t>
      </w:r>
      <w:r>
        <w:t xml:space="preserve"> substantially different from the remaining non-residential customers.  Further, there has been limited rate schedule shifting between Schedule 21 and Schedule 25 in the past, as opposed to the schedule shifting that has and continues to occur between Schedules 11 and 21.  Keeping the remaining non-residential customers as its own group</w:t>
      </w:r>
      <w:r w:rsidRPr="008613C0">
        <w:rPr>
          <w:rFonts w:eastAsia="SimSun"/>
        </w:rPr>
        <w:t xml:space="preserve"> strikes a reasonable balance between a desire to minimize cross-subsidization between customer groups</w:t>
      </w:r>
      <w:r>
        <w:rPr>
          <w:rFonts w:eastAsia="SimSun"/>
        </w:rPr>
        <w:t xml:space="preserve"> (i.e., customers switching rate schedules to avoid potential surcharges or to enjoy potential rebates)</w:t>
      </w:r>
      <w:r w:rsidRPr="008613C0">
        <w:rPr>
          <w:rFonts w:eastAsia="SimSun"/>
        </w:rPr>
        <w:t xml:space="preserve"> and the administrative complexity that could result from greater delineation of non-residential customers.</w:t>
      </w:r>
      <w:r w:rsidRPr="00683DCA">
        <w:rPr>
          <w:rFonts w:eastAsia="SimSun"/>
        </w:rPr>
        <w:t xml:space="preserve">  </w:t>
      </w:r>
    </w:p>
    <w:p w:rsidR="0075372F" w:rsidRDefault="00A43F4C" w:rsidP="0075372F">
      <w:pPr>
        <w:pStyle w:val="ListParagraph"/>
        <w:tabs>
          <w:tab w:val="left" w:pos="720"/>
        </w:tabs>
        <w:suppressAutoHyphens/>
        <w:autoSpaceDE/>
        <w:autoSpaceDN/>
        <w:spacing w:line="480" w:lineRule="auto"/>
        <w:ind w:left="0" w:firstLine="360"/>
        <w:contextualSpacing/>
        <w:jc w:val="both"/>
        <w:rPr>
          <w:szCs w:val="16"/>
        </w:rPr>
      </w:pPr>
      <w:r>
        <w:tab/>
      </w:r>
      <w:r w:rsidR="0075372F">
        <w:t>For the Natural Gas Decoupling Mechanism c</w:t>
      </w:r>
      <w:r w:rsidR="0075372F">
        <w:rPr>
          <w:szCs w:val="16"/>
        </w:rPr>
        <w:t>ustomers w</w:t>
      </w:r>
      <w:r w:rsidR="00EC06E6">
        <w:rPr>
          <w:szCs w:val="16"/>
        </w:rPr>
        <w:t>ould</w:t>
      </w:r>
      <w:r w:rsidR="0075372F">
        <w:rPr>
          <w:szCs w:val="16"/>
        </w:rPr>
        <w:t xml:space="preserve"> be included in one of </w:t>
      </w:r>
      <w:r w:rsidR="00C207BF">
        <w:rPr>
          <w:szCs w:val="16"/>
        </w:rPr>
        <w:t>two</w:t>
      </w:r>
      <w:r w:rsidR="0075372F">
        <w:rPr>
          <w:szCs w:val="16"/>
        </w:rPr>
        <w:t xml:space="preserve"> Rate Groups:</w:t>
      </w:r>
    </w:p>
    <w:p w:rsidR="0075372F" w:rsidRDefault="0075372F" w:rsidP="0075372F">
      <w:pPr>
        <w:pStyle w:val="ListParagraph"/>
        <w:numPr>
          <w:ilvl w:val="2"/>
          <w:numId w:val="49"/>
        </w:numPr>
        <w:suppressAutoHyphens/>
        <w:autoSpaceDE/>
        <w:autoSpaceDN/>
        <w:contextualSpacing/>
        <w:jc w:val="both"/>
        <w:rPr>
          <w:szCs w:val="16"/>
        </w:rPr>
      </w:pPr>
      <w:r>
        <w:rPr>
          <w:szCs w:val="16"/>
        </w:rPr>
        <w:t>Residential – Schedule 101</w:t>
      </w:r>
    </w:p>
    <w:p w:rsidR="0075372F" w:rsidRPr="00425757" w:rsidRDefault="0075372F" w:rsidP="0075372F">
      <w:pPr>
        <w:pStyle w:val="ListParagraph"/>
        <w:numPr>
          <w:ilvl w:val="2"/>
          <w:numId w:val="49"/>
        </w:numPr>
        <w:suppressAutoHyphens/>
        <w:autoSpaceDE/>
        <w:autoSpaceDN/>
        <w:contextualSpacing/>
        <w:jc w:val="both"/>
        <w:rPr>
          <w:rFonts w:eastAsia="Calibri"/>
          <w:szCs w:val="16"/>
        </w:rPr>
      </w:pPr>
      <w:r>
        <w:rPr>
          <w:szCs w:val="16"/>
        </w:rPr>
        <w:t>Commercial – Schedules 111, 112, 121, 122, 131, and 132</w:t>
      </w:r>
    </w:p>
    <w:p w:rsidR="00A43F4C" w:rsidRPr="00A43F4C" w:rsidRDefault="00A43F4C" w:rsidP="00A43F4C">
      <w:pPr>
        <w:pStyle w:val="ListParagraph"/>
        <w:suppressAutoHyphens/>
        <w:autoSpaceDE/>
        <w:autoSpaceDN/>
        <w:ind w:left="1080"/>
        <w:contextualSpacing/>
        <w:jc w:val="both"/>
        <w:rPr>
          <w:szCs w:val="16"/>
        </w:rPr>
      </w:pPr>
    </w:p>
    <w:p w:rsidR="0075372F" w:rsidRPr="0050179B" w:rsidRDefault="0075372F" w:rsidP="0075372F">
      <w:pPr>
        <w:spacing w:line="480" w:lineRule="auto"/>
        <w:ind w:firstLine="720"/>
        <w:jc w:val="both"/>
        <w:rPr>
          <w:rFonts w:eastAsia="SimSun"/>
        </w:rPr>
      </w:pPr>
      <w:r>
        <w:rPr>
          <w:rFonts w:eastAsia="SimSun"/>
        </w:rPr>
        <w:lastRenderedPageBreak/>
        <w:t xml:space="preserve">Schedule 146 transportation customers </w:t>
      </w:r>
      <w:r w:rsidR="00C207BF">
        <w:rPr>
          <w:rFonts w:eastAsia="SimSun"/>
        </w:rPr>
        <w:t xml:space="preserve">were not included in the design of the Natural Gas Decoupling </w:t>
      </w:r>
      <w:r w:rsidR="004034D5">
        <w:rPr>
          <w:rFonts w:eastAsia="SimSun"/>
        </w:rPr>
        <w:t>Mechanism.  This is consistent with the treatment of transportation customers in the decoupling portion of the PSE Settlement recently approved by the Commission in Docket No.</w:t>
      </w:r>
      <w:r w:rsidR="00EC06E6">
        <w:rPr>
          <w:rFonts w:eastAsia="SimSun"/>
        </w:rPr>
        <w:t xml:space="preserve"> </w:t>
      </w:r>
      <w:proofErr w:type="gramStart"/>
      <w:r w:rsidR="00EC06E6">
        <w:rPr>
          <w:rFonts w:eastAsia="SimSun"/>
        </w:rPr>
        <w:t>UE-</w:t>
      </w:r>
      <w:r w:rsidR="004034D5">
        <w:rPr>
          <w:rFonts w:eastAsia="SimSun"/>
        </w:rPr>
        <w:t>121697</w:t>
      </w:r>
      <w:r w:rsidR="00EC06E6">
        <w:rPr>
          <w:rFonts w:eastAsia="SimSun"/>
        </w:rPr>
        <w:t xml:space="preserve"> and </w:t>
      </w:r>
      <w:r w:rsidR="00EC06E6" w:rsidRPr="00EC06E6">
        <w:rPr>
          <w:rFonts w:eastAsia="SimSun"/>
        </w:rPr>
        <w:t>UG-121705</w:t>
      </w:r>
      <w:r w:rsidR="004034D5">
        <w:rPr>
          <w:rFonts w:eastAsia="SimSun"/>
        </w:rPr>
        <w:t>.</w:t>
      </w:r>
      <w:proofErr w:type="gramEnd"/>
    </w:p>
    <w:p w:rsidR="0075372F" w:rsidRPr="00902E70" w:rsidRDefault="0075372F" w:rsidP="0075372F">
      <w:pPr>
        <w:spacing w:line="480" w:lineRule="auto"/>
        <w:ind w:firstLine="720"/>
        <w:jc w:val="both"/>
        <w:rPr>
          <w:b/>
        </w:rPr>
      </w:pPr>
      <w:r w:rsidRPr="00902E70">
        <w:rPr>
          <w:b/>
        </w:rPr>
        <w:t xml:space="preserve">Q.  </w:t>
      </w:r>
      <w:r w:rsidRPr="00902E70">
        <w:rPr>
          <w:b/>
        </w:rPr>
        <w:tab/>
      </w:r>
      <w:r w:rsidR="00C207BF">
        <w:rPr>
          <w:b/>
        </w:rPr>
        <w:t>Would you</w:t>
      </w:r>
      <w:r w:rsidRPr="00902E70">
        <w:rPr>
          <w:b/>
        </w:rPr>
        <w:t xml:space="preserve"> describe the accounting for the proposed Electric </w:t>
      </w:r>
      <w:r>
        <w:rPr>
          <w:b/>
        </w:rPr>
        <w:t xml:space="preserve">and Natural Gas </w:t>
      </w:r>
      <w:r w:rsidRPr="00902E70">
        <w:rPr>
          <w:b/>
        </w:rPr>
        <w:t>Decoupling Mechanism</w:t>
      </w:r>
      <w:r>
        <w:rPr>
          <w:b/>
        </w:rPr>
        <w:t>s</w:t>
      </w:r>
      <w:r w:rsidRPr="00902E70">
        <w:rPr>
          <w:b/>
        </w:rPr>
        <w:t>?</w:t>
      </w:r>
    </w:p>
    <w:p w:rsidR="0075372F" w:rsidRDefault="0075372F" w:rsidP="0075372F">
      <w:pPr>
        <w:spacing w:line="480" w:lineRule="auto"/>
        <w:ind w:firstLine="720"/>
        <w:jc w:val="both"/>
      </w:pPr>
      <w:r w:rsidRPr="00902E70">
        <w:t>A.</w:t>
      </w:r>
      <w:r w:rsidRPr="00902E70">
        <w:tab/>
        <w:t xml:space="preserve">Yes.  The Company would record the deferral in account 186 – Miscellaneous Deferred Debits.  The amount approved for recovery or rebate would then be transferred into a Regulatory Asset or Regulatory Liability account for amortization.  On the income statement, the Company would record both the deferred revenue and the amortization of the deferred revenue through Account 407 - Regulatory Debits and Credits, in separate sub-accounts.  The Company would file quarterly reports with the Commission showing pertinent information regarding the status of the current deferral.  This report </w:t>
      </w:r>
      <w:r w:rsidR="00C95E6C">
        <w:t xml:space="preserve">would </w:t>
      </w:r>
      <w:r w:rsidRPr="00902E70">
        <w:t xml:space="preserve">include a spreadsheet showing the monthly revenue deferral calculation for each month of the </w:t>
      </w:r>
      <w:r>
        <w:t>d</w:t>
      </w:r>
      <w:r w:rsidRPr="00902E70">
        <w:t>eferral period (</w:t>
      </w:r>
      <w:r>
        <w:t>July - June</w:t>
      </w:r>
      <w:r w:rsidRPr="00902E70">
        <w:t>), as well as the current and historical monthly balance in the deferral account.</w:t>
      </w:r>
      <w:r w:rsidRPr="00B37259">
        <w:t xml:space="preserve"> </w:t>
      </w:r>
    </w:p>
    <w:p w:rsidR="0075372F" w:rsidRPr="00B37259" w:rsidRDefault="0075372F" w:rsidP="0075372F">
      <w:pPr>
        <w:spacing w:line="480" w:lineRule="auto"/>
        <w:ind w:firstLine="720"/>
        <w:jc w:val="both"/>
        <w:rPr>
          <w:b/>
        </w:rPr>
      </w:pPr>
      <w:proofErr w:type="gramStart"/>
      <w:r>
        <w:rPr>
          <w:b/>
        </w:rPr>
        <w:t xml:space="preserve">Q.  </w:t>
      </w:r>
      <w:r>
        <w:rPr>
          <w:b/>
        </w:rPr>
        <w:tab/>
      </w:r>
      <w:r w:rsidRPr="00B37259">
        <w:rPr>
          <w:b/>
        </w:rPr>
        <w:t>In</w:t>
      </w:r>
      <w:proofErr w:type="gramEnd"/>
      <w:r w:rsidRPr="00B37259">
        <w:rPr>
          <w:b/>
        </w:rPr>
        <w:t xml:space="preserve"> </w:t>
      </w:r>
      <w:r>
        <w:rPr>
          <w:b/>
        </w:rPr>
        <w:t>its</w:t>
      </w:r>
      <w:r w:rsidRPr="00B37259">
        <w:rPr>
          <w:b/>
        </w:rPr>
        <w:t xml:space="preserve"> Policy Statement, the</w:t>
      </w:r>
      <w:r>
        <w:rPr>
          <w:b/>
        </w:rPr>
        <w:t xml:space="preserve"> Commission</w:t>
      </w:r>
      <w:r w:rsidRPr="00B37259">
        <w:rPr>
          <w:b/>
        </w:rPr>
        <w:t xml:space="preserve"> outlined a number of items that a utility should include, at a minimum, </w:t>
      </w:r>
      <w:r>
        <w:rPr>
          <w:b/>
        </w:rPr>
        <w:t xml:space="preserve">in requests seeking </w:t>
      </w:r>
      <w:r w:rsidRPr="00B37259">
        <w:rPr>
          <w:b/>
        </w:rPr>
        <w:t xml:space="preserve">a Decoupling Mechanism.  </w:t>
      </w:r>
      <w:r>
        <w:rPr>
          <w:b/>
        </w:rPr>
        <w:t>Briefly, what are those items</w:t>
      </w:r>
      <w:r w:rsidRPr="00B37259">
        <w:rPr>
          <w:b/>
        </w:rPr>
        <w:t>?</w:t>
      </w:r>
    </w:p>
    <w:p w:rsidR="0075372F" w:rsidRPr="00B37259" w:rsidRDefault="0075372F" w:rsidP="0075372F">
      <w:pPr>
        <w:spacing w:line="480" w:lineRule="auto"/>
        <w:ind w:firstLine="720"/>
        <w:jc w:val="both"/>
      </w:pPr>
      <w:r>
        <w:t>A.</w:t>
      </w:r>
      <w:r>
        <w:tab/>
        <w:t>The Commission</w:t>
      </w:r>
      <w:r w:rsidRPr="00B37259">
        <w:t xml:space="preserve"> set </w:t>
      </w:r>
      <w:r>
        <w:t>forth their “Criteria for Approval” at Page 18 of its Policy Statement</w:t>
      </w:r>
      <w:r w:rsidR="00C95E6C">
        <w:rPr>
          <w:rStyle w:val="FootnoteReference"/>
        </w:rPr>
        <w:footnoteReference w:id="22"/>
      </w:r>
      <w:r>
        <w:t>.  The criteria consist of</w:t>
      </w:r>
      <w:r w:rsidRPr="00B37259">
        <w:t>:</w:t>
      </w:r>
    </w:p>
    <w:p w:rsidR="0075372F" w:rsidRPr="00B37259" w:rsidRDefault="0075372F" w:rsidP="0075372F">
      <w:pPr>
        <w:pStyle w:val="ListParagraph"/>
        <w:numPr>
          <w:ilvl w:val="0"/>
          <w:numId w:val="42"/>
        </w:numPr>
        <w:autoSpaceDE/>
        <w:autoSpaceDN/>
        <w:contextualSpacing/>
        <w:jc w:val="both"/>
      </w:pPr>
      <w:r w:rsidRPr="00B37259">
        <w:t>Application to Customer Classes</w:t>
      </w:r>
    </w:p>
    <w:p w:rsidR="0075372F" w:rsidRPr="00B37259" w:rsidRDefault="0075372F" w:rsidP="0075372F">
      <w:pPr>
        <w:pStyle w:val="ListParagraph"/>
        <w:numPr>
          <w:ilvl w:val="0"/>
          <w:numId w:val="42"/>
        </w:numPr>
        <w:autoSpaceDE/>
        <w:autoSpaceDN/>
        <w:contextualSpacing/>
        <w:jc w:val="both"/>
      </w:pPr>
      <w:r>
        <w:t>Weather Adjustment Mechanism</w:t>
      </w:r>
    </w:p>
    <w:p w:rsidR="0075372F" w:rsidRPr="00B37259" w:rsidRDefault="0075372F" w:rsidP="0075372F">
      <w:pPr>
        <w:pStyle w:val="ListParagraph"/>
        <w:numPr>
          <w:ilvl w:val="0"/>
          <w:numId w:val="42"/>
        </w:numPr>
        <w:autoSpaceDE/>
        <w:autoSpaceDN/>
        <w:contextualSpacing/>
        <w:jc w:val="both"/>
      </w:pPr>
      <w:r w:rsidRPr="00B37259">
        <w:lastRenderedPageBreak/>
        <w:t xml:space="preserve">Incremental </w:t>
      </w:r>
      <w:r>
        <w:t>C</w:t>
      </w:r>
      <w:r w:rsidRPr="00B37259">
        <w:t>onservation</w:t>
      </w:r>
    </w:p>
    <w:p w:rsidR="0075372F" w:rsidRPr="00B37259" w:rsidRDefault="0075372F" w:rsidP="0075372F">
      <w:pPr>
        <w:pStyle w:val="ListParagraph"/>
        <w:numPr>
          <w:ilvl w:val="0"/>
          <w:numId w:val="42"/>
        </w:numPr>
        <w:autoSpaceDE/>
        <w:autoSpaceDN/>
        <w:contextualSpacing/>
        <w:jc w:val="both"/>
      </w:pPr>
      <w:r>
        <w:t>Limited-income Impacts/Benefits</w:t>
      </w:r>
    </w:p>
    <w:p w:rsidR="0075372F" w:rsidRPr="00B37259" w:rsidRDefault="0075372F" w:rsidP="0075372F">
      <w:pPr>
        <w:pStyle w:val="ListParagraph"/>
        <w:numPr>
          <w:ilvl w:val="0"/>
          <w:numId w:val="42"/>
        </w:numPr>
        <w:autoSpaceDE/>
        <w:autoSpaceDN/>
        <w:contextualSpacing/>
        <w:jc w:val="both"/>
      </w:pPr>
      <w:r>
        <w:t>Duration of Program</w:t>
      </w:r>
    </w:p>
    <w:p w:rsidR="0075372F" w:rsidRPr="00052287" w:rsidRDefault="0075372F" w:rsidP="0075372F">
      <w:pPr>
        <w:pStyle w:val="ListParagraph"/>
        <w:numPr>
          <w:ilvl w:val="0"/>
          <w:numId w:val="42"/>
        </w:numPr>
        <w:autoSpaceDE/>
        <w:autoSpaceDN/>
        <w:contextualSpacing/>
        <w:jc w:val="both"/>
      </w:pPr>
      <w:r w:rsidRPr="00052287">
        <w:t>Re</w:t>
      </w:r>
      <w:r>
        <w:t>ports</w:t>
      </w:r>
    </w:p>
    <w:p w:rsidR="0075372F" w:rsidRDefault="0075372F" w:rsidP="0075372F">
      <w:pPr>
        <w:pStyle w:val="ListParagraph"/>
        <w:numPr>
          <w:ilvl w:val="0"/>
          <w:numId w:val="42"/>
        </w:numPr>
        <w:autoSpaceDE/>
        <w:autoSpaceDN/>
        <w:contextualSpacing/>
        <w:jc w:val="both"/>
      </w:pPr>
      <w:r>
        <w:t>Other Factors Impacting the Public Interest</w:t>
      </w:r>
    </w:p>
    <w:p w:rsidR="0075372F" w:rsidRDefault="0075372F" w:rsidP="0075372F">
      <w:pPr>
        <w:jc w:val="both"/>
      </w:pPr>
    </w:p>
    <w:p w:rsidR="0075372F" w:rsidRPr="00052287" w:rsidRDefault="0075372F" w:rsidP="0075372F">
      <w:pPr>
        <w:spacing w:line="480" w:lineRule="auto"/>
        <w:ind w:firstLine="720"/>
        <w:jc w:val="both"/>
      </w:pPr>
      <w:r>
        <w:t>In addition to the seven criteria noted above, the Commission elsewhere in its Policy Statement set forth additional conditions that need to be addressed in order to evaluate, and potentially approve, a full decoupling mechanism.  Those items include</w:t>
      </w:r>
      <w:r w:rsidRPr="00B37259">
        <w:t>:</w:t>
      </w:r>
    </w:p>
    <w:p w:rsidR="0075372F" w:rsidRPr="00B37259" w:rsidRDefault="0075372F" w:rsidP="0075372F">
      <w:pPr>
        <w:pStyle w:val="ListParagraph"/>
        <w:numPr>
          <w:ilvl w:val="0"/>
          <w:numId w:val="42"/>
        </w:numPr>
        <w:autoSpaceDE/>
        <w:autoSpaceDN/>
        <w:contextualSpacing/>
        <w:jc w:val="both"/>
      </w:pPr>
      <w:r>
        <w:t xml:space="preserve"> Address Management’s </w:t>
      </w:r>
      <w:r w:rsidRPr="00B37259">
        <w:t>Incentive to Control Costs</w:t>
      </w:r>
    </w:p>
    <w:p w:rsidR="0075372F" w:rsidRDefault="0075372F" w:rsidP="0075372F">
      <w:pPr>
        <w:pStyle w:val="ListParagraph"/>
        <w:numPr>
          <w:ilvl w:val="0"/>
          <w:numId w:val="42"/>
        </w:numPr>
        <w:autoSpaceDE/>
        <w:autoSpaceDN/>
        <w:contextualSpacing/>
        <w:jc w:val="both"/>
      </w:pPr>
      <w:r>
        <w:t xml:space="preserve"> True-up Mechanism</w:t>
      </w:r>
    </w:p>
    <w:p w:rsidR="0075372F" w:rsidRPr="00B37259" w:rsidRDefault="0075372F" w:rsidP="0075372F">
      <w:pPr>
        <w:pStyle w:val="ListParagraph"/>
        <w:numPr>
          <w:ilvl w:val="0"/>
          <w:numId w:val="42"/>
        </w:numPr>
        <w:autoSpaceDE/>
        <w:autoSpaceDN/>
        <w:contextualSpacing/>
        <w:jc w:val="both"/>
      </w:pPr>
      <w:r>
        <w:t xml:space="preserve"> </w:t>
      </w:r>
      <w:r w:rsidRPr="00B37259">
        <w:t>Impact on R</w:t>
      </w:r>
      <w:r>
        <w:t>ate of Return</w:t>
      </w:r>
    </w:p>
    <w:p w:rsidR="0075372F" w:rsidRPr="00B37259" w:rsidRDefault="0075372F" w:rsidP="0075372F">
      <w:pPr>
        <w:pStyle w:val="ListParagraph"/>
        <w:numPr>
          <w:ilvl w:val="0"/>
          <w:numId w:val="42"/>
        </w:numPr>
        <w:autoSpaceDE/>
        <w:autoSpaceDN/>
        <w:contextualSpacing/>
        <w:jc w:val="both"/>
      </w:pPr>
      <w:r>
        <w:t xml:space="preserve"> Earnings Test</w:t>
      </w:r>
    </w:p>
    <w:p w:rsidR="0075372F" w:rsidRDefault="0075372F" w:rsidP="0075372F">
      <w:pPr>
        <w:pStyle w:val="ListParagraph"/>
        <w:numPr>
          <w:ilvl w:val="0"/>
          <w:numId w:val="42"/>
        </w:numPr>
        <w:autoSpaceDE/>
        <w:autoSpaceDN/>
        <w:contextualSpacing/>
        <w:jc w:val="both"/>
      </w:pPr>
      <w:r>
        <w:t xml:space="preserve"> </w:t>
      </w:r>
      <w:r w:rsidRPr="00B37259">
        <w:t>Accounting for Off-System Sales and Avoided Costs</w:t>
      </w:r>
    </w:p>
    <w:p w:rsidR="0075372F" w:rsidRDefault="0075372F" w:rsidP="0075372F">
      <w:pPr>
        <w:jc w:val="both"/>
      </w:pPr>
    </w:p>
    <w:p w:rsidR="0075372F" w:rsidRDefault="0075372F" w:rsidP="005C251E">
      <w:pPr>
        <w:spacing w:line="480" w:lineRule="auto"/>
        <w:ind w:firstLine="720"/>
        <w:jc w:val="both"/>
        <w:rPr>
          <w:b/>
        </w:rPr>
      </w:pPr>
      <w:r>
        <w:rPr>
          <w:b/>
        </w:rPr>
        <w:t xml:space="preserve">Q.  </w:t>
      </w:r>
      <w:r>
        <w:rPr>
          <w:b/>
        </w:rPr>
        <w:tab/>
        <w:t xml:space="preserve">Before you address the 12 items noted above, is it your understanding that the </w:t>
      </w:r>
      <w:r w:rsidR="00164150">
        <w:rPr>
          <w:b/>
        </w:rPr>
        <w:t xml:space="preserve">decoupling mechanisms proposed by the </w:t>
      </w:r>
      <w:r w:rsidR="00642E83">
        <w:rPr>
          <w:b/>
        </w:rPr>
        <w:t>Company</w:t>
      </w:r>
      <w:r w:rsidR="00164150">
        <w:rPr>
          <w:b/>
        </w:rPr>
        <w:t xml:space="preserve"> </w:t>
      </w:r>
      <w:proofErr w:type="gramStart"/>
      <w:r w:rsidR="00164150">
        <w:rPr>
          <w:b/>
        </w:rPr>
        <w:t>do</w:t>
      </w:r>
      <w:proofErr w:type="gramEnd"/>
      <w:r w:rsidR="00164150">
        <w:rPr>
          <w:b/>
        </w:rPr>
        <w:t xml:space="preserve"> not necessarily need to meet all of the Commission’s criteria</w:t>
      </w:r>
      <w:r>
        <w:rPr>
          <w:b/>
        </w:rPr>
        <w:t>?</w:t>
      </w:r>
    </w:p>
    <w:p w:rsidR="0075372F" w:rsidRDefault="0075372F" w:rsidP="005C251E">
      <w:pPr>
        <w:tabs>
          <w:tab w:val="left" w:pos="0"/>
        </w:tabs>
        <w:autoSpaceDE/>
        <w:autoSpaceDN/>
        <w:spacing w:line="480" w:lineRule="auto"/>
        <w:jc w:val="both"/>
      </w:pPr>
      <w:r w:rsidRPr="002C44EA">
        <w:t xml:space="preserve">  </w:t>
      </w:r>
      <w:r>
        <w:tab/>
      </w:r>
      <w:r w:rsidR="00164150">
        <w:t>A.</w:t>
      </w:r>
      <w:r>
        <w:tab/>
        <w:t xml:space="preserve">Yes, that is my understanding. </w:t>
      </w:r>
      <w:r w:rsidR="00A43F4C">
        <w:t xml:space="preserve"> </w:t>
      </w:r>
      <w:r w:rsidR="00164150">
        <w:t>T</w:t>
      </w:r>
      <w:r w:rsidR="005C251E">
        <w:t>he</w:t>
      </w:r>
      <w:r>
        <w:t xml:space="preserve"> Commission stated the following in its Order No. 7 approving PSE’s decoupling mechanisms: </w:t>
      </w:r>
    </w:p>
    <w:p w:rsidR="0075372F" w:rsidRDefault="0075372F" w:rsidP="0075372F">
      <w:pPr>
        <w:autoSpaceDE/>
        <w:autoSpaceDN/>
        <w:spacing w:line="288" w:lineRule="auto"/>
        <w:ind w:left="720"/>
        <w:jc w:val="both"/>
      </w:pPr>
      <w:r w:rsidRPr="00D25FF0">
        <w:t xml:space="preserve">A number of the arguments raised by those opposed to the decoupling mechanisms that PSE and NWEC propose are couched in terms of the failure of one aspect or another of the proposals to meet the “requirements” set out in the Commission’s 2010 Decoupling Policy Statement.  While we address these arguments individually below, </w:t>
      </w:r>
      <w:r w:rsidRPr="00D25FF0">
        <w:rPr>
          <w:u w:val="single"/>
        </w:rPr>
        <w:t>it is appropriate to emphasize that interpretive and policy statements are advisory only</w:t>
      </w:r>
      <w:r w:rsidRPr="00D25FF0">
        <w:t>.  They are “advisory statements” and “have no legal or regulatory effect.”  Such statements generally set forth the Commission’s preferences or clear guidelines in certain policy-related matters after extensive deliberation in a workshop setting.  We recognize that the proposed decoupling mechanisms vary in certain respects from the Decoupling Policy Statement but this is not a sufficient legal basis for rejecting the mechanisms.  Moreover, as the Commission stated in its Final Order in PSE’s 2011/2012 GRC, the Decoupling Policy Statement did not set forth “immutable doctrine” on the issue of decoupling.</w:t>
      </w:r>
      <w:r w:rsidRPr="00D25FF0">
        <w:rPr>
          <w:vertAlign w:val="superscript"/>
        </w:rPr>
        <w:footnoteReference w:id="23"/>
      </w:r>
      <w:r w:rsidRPr="00D25FF0">
        <w:t xml:space="preserve"> </w:t>
      </w:r>
      <w:r>
        <w:t>(</w:t>
      </w:r>
      <w:proofErr w:type="gramStart"/>
      <w:r>
        <w:t>footnotes</w:t>
      </w:r>
      <w:proofErr w:type="gramEnd"/>
      <w:r>
        <w:t xml:space="preserve"> omitted) (</w:t>
      </w:r>
      <w:proofErr w:type="gramStart"/>
      <w:r>
        <w:t>emphasis</w:t>
      </w:r>
      <w:proofErr w:type="gramEnd"/>
      <w:r>
        <w:t xml:space="preserve"> added)</w:t>
      </w:r>
      <w:r w:rsidRPr="00D25FF0">
        <w:t xml:space="preserve"> </w:t>
      </w:r>
    </w:p>
    <w:p w:rsidR="0075372F" w:rsidRPr="00D25FF0" w:rsidRDefault="0075372F" w:rsidP="0075372F">
      <w:pPr>
        <w:autoSpaceDE/>
        <w:autoSpaceDN/>
        <w:spacing w:line="288" w:lineRule="auto"/>
        <w:ind w:left="720"/>
        <w:jc w:val="both"/>
        <w:rPr>
          <w:b/>
        </w:rPr>
      </w:pPr>
    </w:p>
    <w:p w:rsidR="0075372F" w:rsidRPr="00D25FF0" w:rsidRDefault="0075372F" w:rsidP="0075372F">
      <w:pPr>
        <w:spacing w:line="480" w:lineRule="auto"/>
        <w:ind w:firstLine="720"/>
        <w:jc w:val="both"/>
        <w:rPr>
          <w:b/>
        </w:rPr>
      </w:pPr>
      <w:r w:rsidRPr="00D25FF0">
        <w:rPr>
          <w:b/>
        </w:rPr>
        <w:t xml:space="preserve">Q.  </w:t>
      </w:r>
      <w:r w:rsidRPr="00D25FF0">
        <w:rPr>
          <w:b/>
        </w:rPr>
        <w:tab/>
        <w:t>Please address</w:t>
      </w:r>
      <w:r w:rsidR="00164150">
        <w:rPr>
          <w:b/>
        </w:rPr>
        <w:t xml:space="preserve"> the Company’s decoupling proposals in relation to</w:t>
      </w:r>
      <w:r w:rsidRPr="00D25FF0">
        <w:rPr>
          <w:b/>
        </w:rPr>
        <w:t xml:space="preserve"> Criteria #1, Application to Customer Classes.</w:t>
      </w:r>
    </w:p>
    <w:p w:rsidR="0075372F" w:rsidRDefault="0075372F" w:rsidP="0075372F">
      <w:pPr>
        <w:spacing w:line="480" w:lineRule="auto"/>
        <w:ind w:firstLine="720"/>
        <w:jc w:val="both"/>
      </w:pPr>
      <w:r w:rsidRPr="00D25FF0">
        <w:t xml:space="preserve">A.  </w:t>
      </w:r>
      <w:r w:rsidRPr="00D25FF0">
        <w:tab/>
        <w:t xml:space="preserve">As I mentioned earlier in my testimony, the </w:t>
      </w:r>
      <w:r>
        <w:t xml:space="preserve">Company is proposing three Rate Groups for </w:t>
      </w:r>
      <w:r w:rsidR="00164150">
        <w:t xml:space="preserve">the electric mechanism, and two Rate Groups for the natural gas mechanism.  </w:t>
      </w:r>
      <w:r>
        <w:t xml:space="preserve">For the Electric Decoupling Mechanism, </w:t>
      </w:r>
      <w:r w:rsidR="00C73F56">
        <w:t>the Company believes that the Non-Residential Group, consisting primarily of our commercial customers, is a somewhat homogenous grouping in terms of their usage.  As I stated earlier, keeping the non-residential customers, excluding Schedule 25, as its own group</w:t>
      </w:r>
      <w:r w:rsidR="00C73F56" w:rsidRPr="008613C0">
        <w:rPr>
          <w:rFonts w:eastAsia="SimSun"/>
        </w:rPr>
        <w:t xml:space="preserve"> strikes a reasonable balance between a desire to minimize cross-subsidization between customer groups</w:t>
      </w:r>
      <w:r w:rsidR="00C73F56">
        <w:rPr>
          <w:rFonts w:eastAsia="SimSun"/>
        </w:rPr>
        <w:t xml:space="preserve"> (i.e., customers switching rate schedules to avoid potential surcharges or to enjoy potential rebates)</w:t>
      </w:r>
      <w:r w:rsidR="00C73F56" w:rsidRPr="008613C0">
        <w:rPr>
          <w:rFonts w:eastAsia="SimSun"/>
        </w:rPr>
        <w:t xml:space="preserve"> and the administrative complexity that could result from greater delineation of non-residential customers.</w:t>
      </w:r>
      <w:r w:rsidR="00C73F56" w:rsidRPr="00683DCA">
        <w:rPr>
          <w:rFonts w:eastAsia="SimSun"/>
        </w:rPr>
        <w:t xml:space="preserve">  </w:t>
      </w:r>
      <w:r w:rsidR="00C73F56">
        <w:rPr>
          <w:rFonts w:eastAsia="SimSun"/>
        </w:rPr>
        <w:t xml:space="preserve">Finally, </w:t>
      </w:r>
      <w:r w:rsidR="00C73F56" w:rsidRPr="00D25FF0">
        <w:t>Street and Area Light rate schedule customers are billed on a flat monthly rate.  As such, the fixed costs of providing service to those customers are being recovered by t</w:t>
      </w:r>
      <w:r w:rsidR="00C73F56">
        <w:t>he nature of their rate design and</w:t>
      </w:r>
      <w:r w:rsidR="00C95E6C">
        <w:t>,</w:t>
      </w:r>
      <w:r w:rsidR="00C73F56">
        <w:t xml:space="preserve"> therefore</w:t>
      </w:r>
      <w:r w:rsidR="00C95E6C">
        <w:t>,</w:t>
      </w:r>
      <w:r w:rsidR="00C73F56">
        <w:t xml:space="preserve"> have been excluded from the mechanism.  </w:t>
      </w:r>
    </w:p>
    <w:p w:rsidR="0075372F" w:rsidRPr="00D25FF0" w:rsidRDefault="0075372F" w:rsidP="0075372F">
      <w:pPr>
        <w:spacing w:line="480" w:lineRule="auto"/>
        <w:ind w:firstLine="720"/>
        <w:jc w:val="both"/>
      </w:pPr>
      <w:r>
        <w:t xml:space="preserve">For the Natural Gas Decoupling Mechanism, </w:t>
      </w:r>
      <w:r w:rsidR="00C73F56">
        <w:t xml:space="preserve">for similar reasons noted for the Electric Non-Residential Group, the Company </w:t>
      </w:r>
      <w:r w:rsidR="00642E83">
        <w:t>believes it</w:t>
      </w:r>
      <w:r w:rsidR="00C73F56">
        <w:t xml:space="preserve"> </w:t>
      </w:r>
      <w:r w:rsidR="00C95E6C">
        <w:t>i</w:t>
      </w:r>
      <w:r w:rsidR="00C73F56">
        <w:t xml:space="preserve">s appropriate to combine all of the non-Schedule 101 customers into its own group.  As stated earlier, Transportation Schedule 146 customers were excluded from the mechanism, just as they are under the PSE mechanism.  Finally, </w:t>
      </w:r>
      <w:r>
        <w:t>Special Contract customers served under Schedule 148 have been excluded, as the terms of service, including their rates, are fixed by contract.</w:t>
      </w:r>
      <w:r w:rsidRPr="00D25FF0">
        <w:t xml:space="preserve"> </w:t>
      </w:r>
    </w:p>
    <w:p w:rsidR="0075372F" w:rsidRPr="00D25FF0" w:rsidRDefault="0075372F" w:rsidP="0075372F">
      <w:pPr>
        <w:spacing w:line="480" w:lineRule="auto"/>
        <w:ind w:firstLine="720"/>
        <w:jc w:val="both"/>
        <w:rPr>
          <w:b/>
        </w:rPr>
      </w:pPr>
      <w:r w:rsidRPr="00D25FF0">
        <w:rPr>
          <w:b/>
        </w:rPr>
        <w:t xml:space="preserve">Q.  </w:t>
      </w:r>
      <w:r w:rsidRPr="00D25FF0">
        <w:rPr>
          <w:b/>
        </w:rPr>
        <w:tab/>
        <w:t>As for item #2, “Weather Adjustment Mechanism”, please reiterate the Company’s proposal as it relates to</w:t>
      </w:r>
      <w:r w:rsidR="004414DA">
        <w:rPr>
          <w:b/>
        </w:rPr>
        <w:t xml:space="preserve"> excluding </w:t>
      </w:r>
      <w:r w:rsidRPr="00D25FF0">
        <w:rPr>
          <w:b/>
        </w:rPr>
        <w:t>the effects of weather</w:t>
      </w:r>
      <w:r w:rsidR="004414DA">
        <w:rPr>
          <w:b/>
        </w:rPr>
        <w:t xml:space="preserve"> and why</w:t>
      </w:r>
      <w:r w:rsidRPr="00D25FF0">
        <w:rPr>
          <w:b/>
        </w:rPr>
        <w:t>.</w:t>
      </w:r>
    </w:p>
    <w:p w:rsidR="0075372F" w:rsidRPr="00D25FF0" w:rsidRDefault="0075372F" w:rsidP="0075372F">
      <w:pPr>
        <w:spacing w:line="480" w:lineRule="auto"/>
        <w:ind w:firstLine="720"/>
        <w:jc w:val="both"/>
      </w:pPr>
      <w:r w:rsidRPr="00D25FF0">
        <w:lastRenderedPageBreak/>
        <w:t xml:space="preserve">A.  </w:t>
      </w:r>
      <w:r w:rsidRPr="00D25FF0">
        <w:tab/>
        <w:t xml:space="preserve">As I discussed earlier in my testimony, the proposed decoupling mechanism does not have a weather normalization adjustment. </w:t>
      </w:r>
      <w:r w:rsidR="00C73F56">
        <w:t xml:space="preserve"> The Company</w:t>
      </w:r>
      <w:r w:rsidR="00417744">
        <w:t xml:space="preserve"> has a certain level of fixed costs that are </w:t>
      </w:r>
      <w:r w:rsidR="00642E83">
        <w:t>recovered</w:t>
      </w:r>
      <w:r w:rsidR="00417744">
        <w:t xml:space="preserve"> in its variable energy and demand rates.  To the extent weather is incorporated into the mechanism and revenues are adjusted, the </w:t>
      </w:r>
      <w:r w:rsidR="00417744" w:rsidRPr="00D25FF0">
        <w:t>mechanism would not provide the same level of fixed cost recovery as determined in the last general rate case.</w:t>
      </w:r>
      <w:r w:rsidR="00417744">
        <w:t xml:space="preserve">  With the Company’s proposed mechanisms, should sales be higher due to colder than normal winter weather, or hotter than normal summer weather, those </w:t>
      </w:r>
      <w:r w:rsidR="00C95E6C">
        <w:t>additional</w:t>
      </w:r>
      <w:r w:rsidR="00417744">
        <w:t xml:space="preserve"> revenues as calculated in the mechanisms would be deferred and returned to customers.  </w:t>
      </w:r>
    </w:p>
    <w:p w:rsidR="0075372F" w:rsidRPr="00D25FF0" w:rsidRDefault="0075372F" w:rsidP="0075372F">
      <w:pPr>
        <w:spacing w:line="480" w:lineRule="auto"/>
        <w:ind w:firstLine="720"/>
        <w:jc w:val="both"/>
      </w:pPr>
      <w:r w:rsidRPr="00D25FF0">
        <w:rPr>
          <w:b/>
        </w:rPr>
        <w:t xml:space="preserve">Q. </w:t>
      </w:r>
      <w:r w:rsidRPr="00D25FF0">
        <w:rPr>
          <w:b/>
        </w:rPr>
        <w:tab/>
        <w:t>Please address item #3, the amount of incremental conservation the Company plans to obtain if this proposed mechanism is approved.</w:t>
      </w:r>
      <w:r w:rsidRPr="00D25FF0">
        <w:rPr>
          <w:highlight w:val="yellow"/>
        </w:rPr>
        <w:t xml:space="preserve"> </w:t>
      </w:r>
    </w:p>
    <w:p w:rsidR="0075372F" w:rsidRDefault="0075372F" w:rsidP="0075372F">
      <w:pPr>
        <w:spacing w:line="480" w:lineRule="auto"/>
        <w:ind w:firstLine="720"/>
        <w:jc w:val="both"/>
      </w:pPr>
      <w:r w:rsidRPr="00D25FF0">
        <w:t xml:space="preserve">A.  </w:t>
      </w:r>
      <w:r w:rsidRPr="00D25FF0">
        <w:tab/>
      </w:r>
      <w:r w:rsidR="00C73F56">
        <w:t>T</w:t>
      </w:r>
      <w:r w:rsidRPr="00D25FF0">
        <w:t>he Company has demonstrated in a number of filings before this Commission</w:t>
      </w:r>
      <w:r w:rsidR="00C73F56">
        <w:t xml:space="preserve"> that</w:t>
      </w:r>
      <w:r w:rsidRPr="00D25FF0">
        <w:t xml:space="preserve"> it has been aggressively pursuing cost-effective conservation for a number of years.   </w:t>
      </w:r>
      <w:r w:rsidR="00C73F56">
        <w:t>In addition, t</w:t>
      </w:r>
      <w:r w:rsidRPr="00D25FF0">
        <w:t xml:space="preserve">he Commission </w:t>
      </w:r>
      <w:r w:rsidR="00C73F56">
        <w:t>states</w:t>
      </w:r>
      <w:r w:rsidRPr="00D25FF0">
        <w:t xml:space="preserve"> in its Policy Statement</w:t>
      </w:r>
      <w:r w:rsidR="00C73F56">
        <w:t xml:space="preserve"> that the</w:t>
      </w:r>
      <w:r w:rsidRPr="00D25FF0">
        <w:t xml:space="preserve"> Washington’s Energy Independence Act (EIA), enacted by the voters as Initiative 937 and codified as RCW 19.285, requires electric utilities to “pursue all available conservation that is cost-effective, reliable</w:t>
      </w:r>
      <w:r>
        <w:t>, and feasible”</w:t>
      </w:r>
      <w:r>
        <w:rPr>
          <w:rStyle w:val="FootnoteReference"/>
        </w:rPr>
        <w:footnoteReference w:id="24"/>
      </w:r>
      <w:r>
        <w:t xml:space="preserve">.  Simply stated, the Company is already aggressively seeking all available cost-effective conservation in order to meet its required savings targets.  The Company is actively promoting all technologies that are cost-effective, reliable, and feasible, with the goal of meeting </w:t>
      </w:r>
      <w:r w:rsidRPr="00010D91">
        <w:t>and exceeding its required targets.</w:t>
      </w:r>
    </w:p>
    <w:p w:rsidR="005C251E" w:rsidRDefault="0075372F" w:rsidP="0075372F">
      <w:pPr>
        <w:spacing w:line="480" w:lineRule="auto"/>
        <w:ind w:firstLine="720"/>
        <w:jc w:val="both"/>
      </w:pPr>
      <w:r>
        <w:t>While the Company believes that the adoption of decoupling should not be conditioned upon the Company achieving an incremental level of energy efficiency, the Company w</w:t>
      </w:r>
      <w:r w:rsidR="00417744">
        <w:t>ould</w:t>
      </w:r>
      <w:r>
        <w:t xml:space="preserve"> increase its electric energy efficiency targets </w:t>
      </w:r>
      <w:r w:rsidR="00417744">
        <w:t xml:space="preserve">by 5% with the </w:t>
      </w:r>
      <w:r w:rsidR="00417744">
        <w:lastRenderedPageBreak/>
        <w:t>implementation of the Electric Decoupling Mechanism</w:t>
      </w:r>
      <w:r>
        <w:t xml:space="preserve">.  </w:t>
      </w:r>
      <w:r w:rsidR="004414DA">
        <w:t>This is consistent with what PSE committed to as a part of its electric decoupling mechanism.</w:t>
      </w:r>
    </w:p>
    <w:p w:rsidR="0075372F" w:rsidRPr="00B37259" w:rsidRDefault="0075372F" w:rsidP="0075372F">
      <w:pPr>
        <w:spacing w:line="480" w:lineRule="auto"/>
        <w:ind w:firstLine="720"/>
        <w:jc w:val="both"/>
      </w:pPr>
      <w:r>
        <w:t>The Company is not proposing to increase its natural gas energy efficiency targets.  As the Commission is aware</w:t>
      </w:r>
      <w:r w:rsidR="005C251E">
        <w:t>,</w:t>
      </w:r>
      <w:r>
        <w:t xml:space="preserve"> the drop in wholesale natural gas prices in recent years has put substantial downward pressure on natural gas avoided costs.  Lower avoided costs have likewise reduced the cost-effectiveness of the Company’s natural gas DSM programs.  Further, the reduction in wholesale natural gas prices ha</w:t>
      </w:r>
      <w:r w:rsidR="00417744">
        <w:t>s been reflected in customer</w:t>
      </w:r>
      <w:r>
        <w:t>s</w:t>
      </w:r>
      <w:r w:rsidR="00417744">
        <w:t>’</w:t>
      </w:r>
      <w:r>
        <w:t xml:space="preserve"> retail rates</w:t>
      </w:r>
      <w:r w:rsidR="00417744">
        <w:t>,</w:t>
      </w:r>
      <w:r w:rsidR="005C251E">
        <w:t xml:space="preserve"> which </w:t>
      </w:r>
      <w:r>
        <w:t xml:space="preserve">make energy efficiency projects less cost-effective from a customer standpoint. As such, the Company has had difficulties in meeting the DSM targets included in its </w:t>
      </w:r>
      <w:r w:rsidR="00C95E6C">
        <w:t xml:space="preserve">natural gas </w:t>
      </w:r>
      <w:r>
        <w:t xml:space="preserve">Integrated Resource Plan.  While the Company continues to </w:t>
      </w:r>
      <w:r w:rsidR="005C251E">
        <w:t xml:space="preserve">work hard in </w:t>
      </w:r>
      <w:r>
        <w:t>acquir</w:t>
      </w:r>
      <w:r w:rsidR="005C251E">
        <w:t>ing</w:t>
      </w:r>
      <w:r>
        <w:t xml:space="preserve"> </w:t>
      </w:r>
      <w:r w:rsidR="005C251E">
        <w:t>as much</w:t>
      </w:r>
      <w:r>
        <w:t xml:space="preserve"> cost-effective natural gas DSM </w:t>
      </w:r>
      <w:r w:rsidR="005C251E">
        <w:t>as it can</w:t>
      </w:r>
      <w:r>
        <w:t xml:space="preserve">, the Company </w:t>
      </w:r>
      <w:r w:rsidR="00417744">
        <w:t>is not confident</w:t>
      </w:r>
      <w:r>
        <w:t xml:space="preserve"> that it can cost-effectively obtain additional natural gas savings. </w:t>
      </w:r>
    </w:p>
    <w:p w:rsidR="0075372F" w:rsidRPr="00B37259" w:rsidRDefault="0075372F" w:rsidP="0075372F">
      <w:pPr>
        <w:spacing w:line="480" w:lineRule="auto"/>
        <w:ind w:firstLine="720"/>
        <w:jc w:val="both"/>
        <w:rPr>
          <w:b/>
        </w:rPr>
      </w:pPr>
      <w:r>
        <w:rPr>
          <w:b/>
        </w:rPr>
        <w:t xml:space="preserve">Q. </w:t>
      </w:r>
      <w:r>
        <w:rPr>
          <w:b/>
        </w:rPr>
        <w:tab/>
      </w:r>
      <w:r w:rsidRPr="00B37259">
        <w:rPr>
          <w:b/>
        </w:rPr>
        <w:t>For item #</w:t>
      </w:r>
      <w:r>
        <w:rPr>
          <w:b/>
        </w:rPr>
        <w:t>4</w:t>
      </w:r>
      <w:r w:rsidRPr="00B37259">
        <w:rPr>
          <w:b/>
        </w:rPr>
        <w:t xml:space="preserve">, please address whether or not the Company’s conservation programs provide benefits to </w:t>
      </w:r>
      <w:r>
        <w:rPr>
          <w:b/>
        </w:rPr>
        <w:t xml:space="preserve">limited-income </w:t>
      </w:r>
      <w:r w:rsidRPr="00B37259">
        <w:rPr>
          <w:b/>
        </w:rPr>
        <w:t>ratepayers that are roughly comparable to other ratepayers.</w:t>
      </w:r>
    </w:p>
    <w:p w:rsidR="0075372F" w:rsidRPr="004C58FC" w:rsidRDefault="0075372F" w:rsidP="0075372F">
      <w:pPr>
        <w:spacing w:line="480" w:lineRule="auto"/>
        <w:ind w:firstLine="720"/>
        <w:jc w:val="both"/>
        <w:rPr>
          <w:color w:val="000000" w:themeColor="text1"/>
        </w:rPr>
      </w:pPr>
      <w:r>
        <w:t xml:space="preserve">A. </w:t>
      </w:r>
      <w:r>
        <w:tab/>
      </w:r>
      <w:r w:rsidRPr="004C58FC">
        <w:rPr>
          <w:color w:val="000000" w:themeColor="text1"/>
        </w:rPr>
        <w:t xml:space="preserve">Overall, </w:t>
      </w:r>
      <w:r>
        <w:rPr>
          <w:color w:val="000000" w:themeColor="text1"/>
        </w:rPr>
        <w:t xml:space="preserve">we believe </w:t>
      </w:r>
      <w:r w:rsidRPr="004C58FC">
        <w:rPr>
          <w:color w:val="000000" w:themeColor="text1"/>
        </w:rPr>
        <w:t xml:space="preserve">the Company’s conservation programs do provide benefits to </w:t>
      </w:r>
      <w:r>
        <w:rPr>
          <w:color w:val="000000" w:themeColor="text1"/>
        </w:rPr>
        <w:t xml:space="preserve">limited-income </w:t>
      </w:r>
      <w:r w:rsidRPr="004C58FC">
        <w:rPr>
          <w:color w:val="000000" w:themeColor="text1"/>
        </w:rPr>
        <w:t xml:space="preserve">ratepayers that are comparable to other ratepayers.  By far the </w:t>
      </w:r>
      <w:r>
        <w:rPr>
          <w:color w:val="000000" w:themeColor="text1"/>
        </w:rPr>
        <w:t>large</w:t>
      </w:r>
      <w:r w:rsidRPr="004C58FC">
        <w:rPr>
          <w:color w:val="000000" w:themeColor="text1"/>
        </w:rPr>
        <w:t xml:space="preserve">st benefit that accrues to all of our </w:t>
      </w:r>
      <w:r>
        <w:rPr>
          <w:color w:val="000000" w:themeColor="text1"/>
        </w:rPr>
        <w:t xml:space="preserve">retail </w:t>
      </w:r>
      <w:r w:rsidRPr="004C58FC">
        <w:rPr>
          <w:color w:val="000000" w:themeColor="text1"/>
        </w:rPr>
        <w:t xml:space="preserve">customers is that, through Avista’s energy efficiency efforts, the </w:t>
      </w:r>
      <w:r w:rsidRPr="00F7271F">
        <w:rPr>
          <w:color w:val="000000" w:themeColor="text1"/>
        </w:rPr>
        <w:t>Company has been able to reduce the need for higher cost incremental sources of energy.  The total levelized cost of the Company’s electric energy efficiency programs is approximately $</w:t>
      </w:r>
      <w:r w:rsidR="00F7271F" w:rsidRPr="00F7271F">
        <w:rPr>
          <w:color w:val="000000" w:themeColor="text1"/>
        </w:rPr>
        <w:t>55.71</w:t>
      </w:r>
      <w:r w:rsidRPr="00F7271F">
        <w:rPr>
          <w:color w:val="000000" w:themeColor="text1"/>
        </w:rPr>
        <w:t xml:space="preserve"> per MWh</w:t>
      </w:r>
      <w:r w:rsidRPr="00F7271F">
        <w:rPr>
          <w:rStyle w:val="FootnoteReference"/>
          <w:color w:val="000000" w:themeColor="text1"/>
        </w:rPr>
        <w:t xml:space="preserve"> </w:t>
      </w:r>
      <w:r w:rsidRPr="00F7271F">
        <w:t>based on 201</w:t>
      </w:r>
      <w:r w:rsidR="00F7271F" w:rsidRPr="00F7271F">
        <w:t>2</w:t>
      </w:r>
      <w:r w:rsidRPr="00F7271F">
        <w:t xml:space="preserve"> </w:t>
      </w:r>
      <w:r w:rsidR="00F7271F">
        <w:t>actual, un</w:t>
      </w:r>
      <w:r w:rsidRPr="00F7271F">
        <w:t>verified savings</w:t>
      </w:r>
      <w:r w:rsidRPr="00F7271F">
        <w:rPr>
          <w:color w:val="000000" w:themeColor="text1"/>
        </w:rPr>
        <w:t xml:space="preserve">, which is less expensive than </w:t>
      </w:r>
      <w:r w:rsidR="0043608E">
        <w:rPr>
          <w:color w:val="000000" w:themeColor="text1"/>
        </w:rPr>
        <w:t xml:space="preserve">incremental </w:t>
      </w:r>
      <w:r w:rsidRPr="00F7271F">
        <w:rPr>
          <w:color w:val="000000" w:themeColor="text1"/>
        </w:rPr>
        <w:t>natural</w:t>
      </w:r>
      <w:r w:rsidRPr="00EB681F">
        <w:rPr>
          <w:color w:val="000000" w:themeColor="text1"/>
        </w:rPr>
        <w:t xml:space="preserve"> gas turbines and wind energy.  By avoiding higher cost power sources, the Company’s overall power supply costs are lower than they </w:t>
      </w:r>
      <w:r w:rsidRPr="00EB681F">
        <w:rPr>
          <w:color w:val="000000" w:themeColor="text1"/>
        </w:rPr>
        <w:lastRenderedPageBreak/>
        <w:t xml:space="preserve">otherwise would have been.  Those savings would especially </w:t>
      </w:r>
      <w:r>
        <w:rPr>
          <w:color w:val="000000" w:themeColor="text1"/>
        </w:rPr>
        <w:t>benefit</w:t>
      </w:r>
      <w:r w:rsidRPr="00EB681F">
        <w:rPr>
          <w:color w:val="000000" w:themeColor="text1"/>
        </w:rPr>
        <w:t xml:space="preserve"> </w:t>
      </w:r>
      <w:r>
        <w:rPr>
          <w:color w:val="000000" w:themeColor="text1"/>
        </w:rPr>
        <w:t xml:space="preserve">limited-income </w:t>
      </w:r>
      <w:r w:rsidRPr="00EB681F">
        <w:rPr>
          <w:color w:val="000000" w:themeColor="text1"/>
        </w:rPr>
        <w:t>customers whose</w:t>
      </w:r>
      <w:r w:rsidRPr="004C58FC">
        <w:rPr>
          <w:color w:val="000000" w:themeColor="text1"/>
        </w:rPr>
        <w:t xml:space="preserve"> energy burdens </w:t>
      </w:r>
      <w:r>
        <w:rPr>
          <w:color w:val="000000" w:themeColor="text1"/>
        </w:rPr>
        <w:t xml:space="preserve">as a percentage of income is </w:t>
      </w:r>
      <w:r w:rsidRPr="004C58FC">
        <w:rPr>
          <w:color w:val="000000" w:themeColor="text1"/>
        </w:rPr>
        <w:t xml:space="preserve">higher than </w:t>
      </w:r>
      <w:r>
        <w:rPr>
          <w:color w:val="000000" w:themeColor="text1"/>
        </w:rPr>
        <w:t xml:space="preserve">that for </w:t>
      </w:r>
      <w:r w:rsidRPr="004C58FC">
        <w:rPr>
          <w:color w:val="000000" w:themeColor="text1"/>
        </w:rPr>
        <w:t>non-</w:t>
      </w:r>
      <w:r>
        <w:rPr>
          <w:color w:val="000000" w:themeColor="text1"/>
        </w:rPr>
        <w:t xml:space="preserve">limited-income </w:t>
      </w:r>
      <w:r w:rsidRPr="004C58FC">
        <w:rPr>
          <w:color w:val="000000" w:themeColor="text1"/>
        </w:rPr>
        <w:t>customers.</w:t>
      </w:r>
    </w:p>
    <w:p w:rsidR="0075372F" w:rsidRPr="00D77281" w:rsidRDefault="0075372F" w:rsidP="0075372F">
      <w:pPr>
        <w:spacing w:line="480" w:lineRule="auto"/>
        <w:ind w:firstLine="720"/>
        <w:jc w:val="both"/>
        <w:rPr>
          <w:color w:val="000000" w:themeColor="text1"/>
        </w:rPr>
      </w:pPr>
      <w:r w:rsidRPr="004C58FC">
        <w:rPr>
          <w:color w:val="000000" w:themeColor="text1"/>
        </w:rPr>
        <w:t>As it relates to the Company’s residential energy efficiency programs, all residential customers</w:t>
      </w:r>
      <w:r>
        <w:rPr>
          <w:color w:val="000000" w:themeColor="text1"/>
        </w:rPr>
        <w:t xml:space="preserve"> irrespective of income </w:t>
      </w:r>
      <w:r w:rsidRPr="004C58FC">
        <w:rPr>
          <w:color w:val="000000" w:themeColor="text1"/>
        </w:rPr>
        <w:t xml:space="preserve">can participate.  </w:t>
      </w:r>
      <w:r>
        <w:rPr>
          <w:color w:val="000000" w:themeColor="text1"/>
        </w:rPr>
        <w:t>A</w:t>
      </w:r>
      <w:r w:rsidRPr="004C58FC">
        <w:rPr>
          <w:color w:val="000000" w:themeColor="text1"/>
        </w:rPr>
        <w:t xml:space="preserve">nalysis prepared for the Company’s </w:t>
      </w:r>
      <w:r>
        <w:rPr>
          <w:color w:val="000000" w:themeColor="text1"/>
        </w:rPr>
        <w:t xml:space="preserve">limited-income </w:t>
      </w:r>
      <w:r w:rsidRPr="00EB681F">
        <w:rPr>
          <w:color w:val="000000" w:themeColor="text1"/>
        </w:rPr>
        <w:t>collaborative shows there is evidence th</w:t>
      </w:r>
      <w:r>
        <w:rPr>
          <w:color w:val="000000" w:themeColor="text1"/>
        </w:rPr>
        <w:t>at</w:t>
      </w:r>
      <w:r w:rsidRPr="00EB681F">
        <w:rPr>
          <w:color w:val="000000" w:themeColor="text1"/>
        </w:rPr>
        <w:t xml:space="preserve"> </w:t>
      </w:r>
      <w:r>
        <w:rPr>
          <w:color w:val="000000" w:themeColor="text1"/>
        </w:rPr>
        <w:t xml:space="preserve">limited-income </w:t>
      </w:r>
      <w:r w:rsidRPr="00EB681F">
        <w:rPr>
          <w:color w:val="000000" w:themeColor="text1"/>
        </w:rPr>
        <w:t>customers, and</w:t>
      </w:r>
      <w:r>
        <w:rPr>
          <w:color w:val="000000" w:themeColor="text1"/>
        </w:rPr>
        <w:t>/</w:t>
      </w:r>
      <w:r w:rsidRPr="00EB681F">
        <w:rPr>
          <w:color w:val="000000" w:themeColor="text1"/>
        </w:rPr>
        <w:t>or their landlords, do participate</w:t>
      </w:r>
      <w:r w:rsidRPr="00EB681F">
        <w:rPr>
          <w:rStyle w:val="FootnoteReference"/>
        </w:rPr>
        <w:footnoteReference w:id="25"/>
      </w:r>
      <w:r w:rsidRPr="00EB681F">
        <w:rPr>
          <w:color w:val="000000" w:themeColor="text1"/>
        </w:rPr>
        <w:t>.  Actual</w:t>
      </w:r>
      <w:r>
        <w:rPr>
          <w:color w:val="000000" w:themeColor="text1"/>
        </w:rPr>
        <w:t xml:space="preserve"> participation levels</w:t>
      </w:r>
      <w:r w:rsidRPr="004C58FC">
        <w:rPr>
          <w:color w:val="000000" w:themeColor="text1"/>
        </w:rPr>
        <w:t xml:space="preserve"> cannot be accurately measured as the </w:t>
      </w:r>
      <w:r w:rsidRPr="00D77281">
        <w:rPr>
          <w:color w:val="000000" w:themeColor="text1"/>
        </w:rPr>
        <w:t>Company does not track the income levels of its customers.</w:t>
      </w:r>
    </w:p>
    <w:p w:rsidR="0075372F" w:rsidRPr="00D77281" w:rsidRDefault="0075372F" w:rsidP="0075372F">
      <w:pPr>
        <w:spacing w:line="480" w:lineRule="auto"/>
        <w:ind w:firstLine="720"/>
        <w:jc w:val="both"/>
        <w:rPr>
          <w:color w:val="000000" w:themeColor="text1"/>
        </w:rPr>
      </w:pPr>
      <w:r w:rsidRPr="00D77281">
        <w:rPr>
          <w:color w:val="000000" w:themeColor="text1"/>
        </w:rPr>
        <w:t xml:space="preserve">Finally, the Company’s energy efficiency tariff rider, through Community Action </w:t>
      </w:r>
      <w:r w:rsidR="00291631">
        <w:rPr>
          <w:color w:val="000000" w:themeColor="text1"/>
        </w:rPr>
        <w:t xml:space="preserve">Partnership </w:t>
      </w:r>
      <w:r w:rsidR="00C95E6C" w:rsidRPr="00D77281">
        <w:rPr>
          <w:color w:val="000000" w:themeColor="text1"/>
        </w:rPr>
        <w:t>(</w:t>
      </w:r>
      <w:r w:rsidR="00C95E6C">
        <w:rPr>
          <w:color w:val="000000" w:themeColor="text1"/>
        </w:rPr>
        <w:t>“</w:t>
      </w:r>
      <w:r w:rsidR="00C95E6C" w:rsidRPr="00D77281">
        <w:rPr>
          <w:color w:val="000000" w:themeColor="text1"/>
        </w:rPr>
        <w:t>CAP</w:t>
      </w:r>
      <w:r w:rsidR="00C95E6C">
        <w:rPr>
          <w:color w:val="000000" w:themeColor="text1"/>
        </w:rPr>
        <w:t>”</w:t>
      </w:r>
      <w:r w:rsidR="00C95E6C" w:rsidRPr="00D77281">
        <w:rPr>
          <w:color w:val="000000" w:themeColor="text1"/>
        </w:rPr>
        <w:t>)</w:t>
      </w:r>
      <w:r w:rsidR="00C95E6C">
        <w:rPr>
          <w:color w:val="000000" w:themeColor="text1"/>
        </w:rPr>
        <w:t xml:space="preserve"> </w:t>
      </w:r>
      <w:r w:rsidRPr="00D77281">
        <w:rPr>
          <w:color w:val="000000" w:themeColor="text1"/>
        </w:rPr>
        <w:t>Agencies, funds limited-income weatherization programs that fund not only 100% of the measure cost, but also an additional 15% for health and human safety investments to preserve the habitability of the residence and preserve the energy efficiency measure.  In addition, Avista provides the CAP agencies with an additional payment, equal to 15% of the project cost, to support the CAP agencies administrative costs.  Customers who otherwise participate in the Company’s regular residential programs typically only rec</w:t>
      </w:r>
      <w:r w:rsidR="00D77281" w:rsidRPr="00D77281">
        <w:rPr>
          <w:color w:val="000000" w:themeColor="text1"/>
        </w:rPr>
        <w:t>eive funding of approximately 50</w:t>
      </w:r>
      <w:r w:rsidRPr="00D77281">
        <w:rPr>
          <w:color w:val="000000" w:themeColor="text1"/>
        </w:rPr>
        <w:t>% for the whole cost of the energy efficiency measure, significantly lower than the 100% of the whole cost of the measure limited-income customers receive</w:t>
      </w:r>
      <w:r w:rsidRPr="00D77281">
        <w:rPr>
          <w:rStyle w:val="FootnoteReference"/>
        </w:rPr>
        <w:footnoteReference w:id="26"/>
      </w:r>
      <w:r w:rsidRPr="00D77281">
        <w:rPr>
          <w:color w:val="000000" w:themeColor="text1"/>
        </w:rPr>
        <w:t>.</w:t>
      </w:r>
    </w:p>
    <w:p w:rsidR="0075372F" w:rsidRPr="004C58FC" w:rsidRDefault="0075372F" w:rsidP="0075372F">
      <w:pPr>
        <w:spacing w:line="480" w:lineRule="auto"/>
        <w:ind w:firstLine="720"/>
        <w:jc w:val="both"/>
        <w:rPr>
          <w:color w:val="000000" w:themeColor="text1"/>
        </w:rPr>
      </w:pPr>
      <w:r w:rsidRPr="00D77281">
        <w:rPr>
          <w:color w:val="000000" w:themeColor="text1"/>
        </w:rPr>
        <w:t xml:space="preserve">Finally it should be noted that the electric limited-income DSM budget accounts for </w:t>
      </w:r>
      <w:r w:rsidR="00D77281" w:rsidRPr="00D77281">
        <w:rPr>
          <w:color w:val="000000" w:themeColor="text1"/>
        </w:rPr>
        <w:t>47</w:t>
      </w:r>
      <w:r w:rsidRPr="00D77281">
        <w:rPr>
          <w:color w:val="000000" w:themeColor="text1"/>
        </w:rPr>
        <w:t>% of the overall residential DSM budget</w:t>
      </w:r>
      <w:r w:rsidR="00D77281" w:rsidRPr="00D77281">
        <w:rPr>
          <w:color w:val="000000" w:themeColor="text1"/>
        </w:rPr>
        <w:t xml:space="preserve"> for 2014</w:t>
      </w:r>
      <w:r w:rsidRPr="00D77281">
        <w:rPr>
          <w:color w:val="000000" w:themeColor="text1"/>
        </w:rPr>
        <w:t xml:space="preserve">.  </w:t>
      </w:r>
      <w:proofErr w:type="gramStart"/>
      <w:r w:rsidR="00D77281" w:rsidRPr="00D77281">
        <w:rPr>
          <w:color w:val="000000" w:themeColor="text1"/>
        </w:rPr>
        <w:t>In my view t</w:t>
      </w:r>
      <w:r w:rsidRPr="00D77281">
        <w:rPr>
          <w:color w:val="000000" w:themeColor="text1"/>
        </w:rPr>
        <w:t xml:space="preserve">hat percentage </w:t>
      </w:r>
      <w:r w:rsidR="00D77281" w:rsidRPr="00D77281">
        <w:rPr>
          <w:color w:val="000000" w:themeColor="text1"/>
        </w:rPr>
        <w:t xml:space="preserve">is in </w:t>
      </w:r>
      <w:r w:rsidR="00D77281" w:rsidRPr="00D77281">
        <w:rPr>
          <w:color w:val="000000" w:themeColor="text1"/>
        </w:rPr>
        <w:lastRenderedPageBreak/>
        <w:t>excess of</w:t>
      </w:r>
      <w:r w:rsidRPr="00D77281">
        <w:rPr>
          <w:color w:val="000000" w:themeColor="text1"/>
        </w:rPr>
        <w:t xml:space="preserve"> the percentage of the Company’s residential customer base that is considered to be limited-income</w:t>
      </w:r>
      <w:r w:rsidRPr="00D77281">
        <w:rPr>
          <w:rStyle w:val="FootnoteReference"/>
        </w:rPr>
        <w:footnoteReference w:id="27"/>
      </w:r>
      <w:r w:rsidRPr="00D77281">
        <w:rPr>
          <w:color w:val="000000" w:themeColor="text1"/>
        </w:rPr>
        <w:t>.</w:t>
      </w:r>
      <w:proofErr w:type="gramEnd"/>
    </w:p>
    <w:p w:rsidR="0075372F" w:rsidRPr="00B37259" w:rsidRDefault="0075372F" w:rsidP="0075372F">
      <w:pPr>
        <w:spacing w:line="480" w:lineRule="auto"/>
        <w:ind w:firstLine="720"/>
        <w:jc w:val="both"/>
        <w:rPr>
          <w:b/>
        </w:rPr>
      </w:pPr>
      <w:r>
        <w:rPr>
          <w:b/>
        </w:rPr>
        <w:t xml:space="preserve">Q. </w:t>
      </w:r>
      <w:r>
        <w:rPr>
          <w:b/>
        </w:rPr>
        <w:tab/>
      </w:r>
      <w:r w:rsidRPr="00B37259">
        <w:rPr>
          <w:b/>
        </w:rPr>
        <w:t>Please address Item #</w:t>
      </w:r>
      <w:r>
        <w:rPr>
          <w:b/>
        </w:rPr>
        <w:t>5</w:t>
      </w:r>
      <w:r w:rsidRPr="00B37259">
        <w:rPr>
          <w:b/>
        </w:rPr>
        <w:t>, the proposed duration of the program, and Item #</w:t>
      </w:r>
      <w:r>
        <w:rPr>
          <w:b/>
        </w:rPr>
        <w:t>6</w:t>
      </w:r>
      <w:r w:rsidRPr="00B37259">
        <w:rPr>
          <w:b/>
        </w:rPr>
        <w:t>, the reports that will be filed with the Commission.</w:t>
      </w:r>
    </w:p>
    <w:p w:rsidR="0075372F" w:rsidRDefault="0075372F" w:rsidP="0075372F">
      <w:pPr>
        <w:spacing w:line="480" w:lineRule="auto"/>
        <w:ind w:firstLine="720"/>
        <w:jc w:val="both"/>
      </w:pPr>
      <w:r>
        <w:t xml:space="preserve">A.  </w:t>
      </w:r>
      <w:r>
        <w:tab/>
        <w:t>The Company believes</w:t>
      </w:r>
      <w:r w:rsidRPr="00B37259">
        <w:t xml:space="preserve"> that a mechanism should</w:t>
      </w:r>
      <w:r>
        <w:t xml:space="preserve"> not</w:t>
      </w:r>
      <w:r w:rsidRPr="00B37259">
        <w:t xml:space="preserve"> be short-term</w:t>
      </w:r>
      <w:r>
        <w:t xml:space="preserve">.  The Company believes that the mechanism should have at </w:t>
      </w:r>
      <w:r w:rsidRPr="002A7002">
        <w:t xml:space="preserve">least </w:t>
      </w:r>
      <w:proofErr w:type="gramStart"/>
      <w:r w:rsidRPr="002A7002">
        <w:t>a five</w:t>
      </w:r>
      <w:proofErr w:type="gramEnd"/>
      <w:r w:rsidRPr="002A7002">
        <w:t>-year duration</w:t>
      </w:r>
      <w:r w:rsidR="004034D5">
        <w:t xml:space="preserve"> in order to allow for a proper assessment over time of its effectiveness</w:t>
      </w:r>
      <w:r>
        <w:t>.  Similar to the current Natural Gas Decoupling Mechanism, t</w:t>
      </w:r>
      <w:r w:rsidRPr="00B37259">
        <w:t xml:space="preserve">he Company </w:t>
      </w:r>
      <w:r>
        <w:t xml:space="preserve">would </w:t>
      </w:r>
      <w:r w:rsidRPr="00B37259">
        <w:t>file</w:t>
      </w:r>
      <w:r>
        <w:t xml:space="preserve"> </w:t>
      </w:r>
      <w:r w:rsidRPr="00B37259">
        <w:t>quarterly report</w:t>
      </w:r>
      <w:r>
        <w:t>s</w:t>
      </w:r>
      <w:r w:rsidRPr="00B37259">
        <w:t xml:space="preserve"> with the Commission showing pertinent information regarding the </w:t>
      </w:r>
      <w:r>
        <w:t>status of the current deferral</w:t>
      </w:r>
      <w:r w:rsidRPr="00B37259">
        <w:t xml:space="preserve">. </w:t>
      </w:r>
    </w:p>
    <w:p w:rsidR="00F7271F" w:rsidRPr="00B37259" w:rsidRDefault="00F7271F" w:rsidP="00F7271F">
      <w:pPr>
        <w:spacing w:line="480" w:lineRule="auto"/>
        <w:ind w:firstLine="720"/>
        <w:jc w:val="both"/>
        <w:rPr>
          <w:b/>
        </w:rPr>
      </w:pPr>
      <w:r>
        <w:rPr>
          <w:b/>
        </w:rPr>
        <w:t xml:space="preserve">Q. </w:t>
      </w:r>
      <w:r>
        <w:rPr>
          <w:b/>
        </w:rPr>
        <w:tab/>
        <w:t xml:space="preserve">Is the Company proposing to facilitate a third-party evaluation of the proposed decoupling mechanisms? </w:t>
      </w:r>
    </w:p>
    <w:p w:rsidR="00F7271F" w:rsidRPr="00B37259" w:rsidRDefault="00F7271F" w:rsidP="00F7271F">
      <w:pPr>
        <w:spacing w:line="480" w:lineRule="auto"/>
        <w:ind w:firstLine="720"/>
        <w:jc w:val="both"/>
      </w:pPr>
      <w:r>
        <w:t xml:space="preserve">A.  </w:t>
      </w:r>
      <w:r>
        <w:tab/>
      </w:r>
      <w:r w:rsidR="00C20044">
        <w:t xml:space="preserve">Yes, the Company proposes to have a third-party evaluation of the mechanisms completed at the end of the third full-year (ending June 30, 2018).  Any proposed modifications or findings resulting from the evaluation would be incorporated into the mechanisms after the end of the fifth full-year (ending June 30, 2020).  The cost of the evaluation would be limited to $150,000, similar to the evaluation </w:t>
      </w:r>
      <w:r w:rsidR="00846B6E">
        <w:t>agreed</w:t>
      </w:r>
      <w:r w:rsidR="00C20044">
        <w:t xml:space="preserve"> upon by the parties in the PSE decoupling dockets.  The cost of the evaluation would be included in the decoupling balancing account</w:t>
      </w:r>
      <w:r w:rsidR="00846B6E">
        <w:t>s</w:t>
      </w:r>
      <w:r w:rsidR="00C20044">
        <w:t>.</w:t>
      </w:r>
      <w:r w:rsidR="00C20044">
        <w:rPr>
          <w:rStyle w:val="FootnoteReference"/>
        </w:rPr>
        <w:footnoteReference w:id="28"/>
      </w:r>
    </w:p>
    <w:p w:rsidR="00291631" w:rsidRPr="00B37259" w:rsidRDefault="00291631" w:rsidP="00291631">
      <w:pPr>
        <w:spacing w:line="480" w:lineRule="auto"/>
        <w:ind w:firstLine="720"/>
        <w:jc w:val="both"/>
        <w:rPr>
          <w:b/>
        </w:rPr>
      </w:pPr>
      <w:r>
        <w:rPr>
          <w:b/>
        </w:rPr>
        <w:t xml:space="preserve">Q.  </w:t>
      </w:r>
      <w:r>
        <w:rPr>
          <w:b/>
        </w:rPr>
        <w:tab/>
      </w:r>
      <w:r w:rsidRPr="00B37259">
        <w:rPr>
          <w:b/>
        </w:rPr>
        <w:t>With Respect to Item #</w:t>
      </w:r>
      <w:r>
        <w:rPr>
          <w:b/>
        </w:rPr>
        <w:t>7</w:t>
      </w:r>
      <w:r w:rsidRPr="00B37259">
        <w:rPr>
          <w:b/>
        </w:rPr>
        <w:t xml:space="preserve">, </w:t>
      </w:r>
      <w:r>
        <w:rPr>
          <w:b/>
        </w:rPr>
        <w:t>are there any other factors impacting the public interest that the Company wants to address</w:t>
      </w:r>
      <w:r w:rsidRPr="00B37259">
        <w:rPr>
          <w:b/>
        </w:rPr>
        <w:t>?</w:t>
      </w:r>
    </w:p>
    <w:p w:rsidR="00291631" w:rsidRDefault="00291631" w:rsidP="00291631">
      <w:pPr>
        <w:spacing w:line="480" w:lineRule="auto"/>
        <w:ind w:firstLine="720"/>
        <w:jc w:val="both"/>
        <w:rPr>
          <w:b/>
        </w:rPr>
      </w:pPr>
      <w:r>
        <w:lastRenderedPageBreak/>
        <w:t>A.</w:t>
      </w:r>
      <w:r>
        <w:tab/>
      </w:r>
      <w:r w:rsidR="004034D5">
        <w:t>For the reasons discussed elsewhere,</w:t>
      </w:r>
      <w:r>
        <w:t xml:space="preserve"> the Company believes that the </w:t>
      </w:r>
      <w:proofErr w:type="gramStart"/>
      <w:r>
        <w:t xml:space="preserve">design of the mechanisms </w:t>
      </w:r>
      <w:r w:rsidR="00EE2BCD">
        <w:t>are</w:t>
      </w:r>
      <w:proofErr w:type="gramEnd"/>
      <w:r w:rsidR="00EE2BCD">
        <w:t xml:space="preserve"> </w:t>
      </w:r>
      <w:r w:rsidR="00EE2BCD" w:rsidRPr="00AD0222">
        <w:t>properly constructed to balance</w:t>
      </w:r>
      <w:r w:rsidR="00EE2BCD">
        <w:t xml:space="preserve"> out both lost and found margin, providing </w:t>
      </w:r>
      <w:r w:rsidR="00EE2BCD" w:rsidRPr="00AD0222">
        <w:t>benefits</w:t>
      </w:r>
      <w:r w:rsidR="00EE2BCD">
        <w:t xml:space="preserve"> to</w:t>
      </w:r>
      <w:r w:rsidR="00EE2BCD" w:rsidRPr="00AD0222">
        <w:t xml:space="preserve"> both the Company and its </w:t>
      </w:r>
      <w:r w:rsidR="00EE2BCD">
        <w:t>customers.</w:t>
      </w:r>
    </w:p>
    <w:p w:rsidR="0075372F" w:rsidRPr="00B37259" w:rsidRDefault="0075372F" w:rsidP="0075372F">
      <w:pPr>
        <w:spacing w:line="480" w:lineRule="auto"/>
        <w:ind w:firstLine="720"/>
        <w:jc w:val="both"/>
        <w:rPr>
          <w:b/>
        </w:rPr>
      </w:pPr>
      <w:r>
        <w:rPr>
          <w:b/>
        </w:rPr>
        <w:t xml:space="preserve">Q.  </w:t>
      </w:r>
      <w:r>
        <w:rPr>
          <w:b/>
        </w:rPr>
        <w:tab/>
      </w:r>
      <w:r w:rsidRPr="00B37259">
        <w:rPr>
          <w:b/>
        </w:rPr>
        <w:t>With Respect to Item #</w:t>
      </w:r>
      <w:r>
        <w:rPr>
          <w:b/>
        </w:rPr>
        <w:t>8</w:t>
      </w:r>
      <w:r w:rsidRPr="00B37259">
        <w:rPr>
          <w:b/>
        </w:rPr>
        <w:t xml:space="preserve">, what is the Company’s </w:t>
      </w:r>
      <w:r w:rsidR="00C95E6C">
        <w:rPr>
          <w:b/>
        </w:rPr>
        <w:t>response to possible concerns</w:t>
      </w:r>
      <w:r w:rsidRPr="00B37259">
        <w:rPr>
          <w:b/>
        </w:rPr>
        <w:t xml:space="preserve"> that</w:t>
      </w:r>
      <w:r>
        <w:rPr>
          <w:b/>
        </w:rPr>
        <w:t xml:space="preserve"> without</w:t>
      </w:r>
      <w:r w:rsidRPr="00B37259">
        <w:rPr>
          <w:b/>
        </w:rPr>
        <w:t xml:space="preserve"> “the risk of recovery of declines in revenue…the utility could lose some of its incentive to manage the company in a manner that constantly looks to reduce costs”?</w:t>
      </w:r>
    </w:p>
    <w:p w:rsidR="0075372F" w:rsidRPr="00B37259" w:rsidRDefault="0075372F" w:rsidP="0075372F">
      <w:pPr>
        <w:spacing w:line="480" w:lineRule="auto"/>
        <w:ind w:firstLine="720"/>
        <w:jc w:val="both"/>
      </w:pPr>
      <w:r>
        <w:t>A.</w:t>
      </w:r>
      <w:r>
        <w:tab/>
        <w:t xml:space="preserve">  The adoption of decoupling would not result in a reduction of efforts by the Company to operate efficiently.  </w:t>
      </w:r>
      <w:r w:rsidRPr="00B37259">
        <w:t>The proposed Decoupling Mechanism</w:t>
      </w:r>
      <w:r>
        <w:t xml:space="preserve"> would provide</w:t>
      </w:r>
      <w:r w:rsidRPr="00B37259">
        <w:t xml:space="preserve"> recovery of fixed costs</w:t>
      </w:r>
      <w:r>
        <w:t>,</w:t>
      </w:r>
      <w:r w:rsidRPr="00B37259">
        <w:t xml:space="preserve"> on a </w:t>
      </w:r>
      <w:r>
        <w:t xml:space="preserve">revenue </w:t>
      </w:r>
      <w:r w:rsidRPr="00B37259">
        <w:t>per customer basis</w:t>
      </w:r>
      <w:r>
        <w:t>,</w:t>
      </w:r>
      <w:r w:rsidRPr="00B37259">
        <w:t xml:space="preserve"> that were previously approved by the Commission in a prior general rate case for recovery.  To the extent those fixed costs increase, or escalate, over time, the Mechanism </w:t>
      </w:r>
      <w:r>
        <w:t>would</w:t>
      </w:r>
      <w:r w:rsidRPr="00B37259">
        <w:t xml:space="preserve"> not provide </w:t>
      </w:r>
      <w:r>
        <w:t xml:space="preserve">for </w:t>
      </w:r>
      <w:r w:rsidRPr="00B37259">
        <w:t>recovery of th</w:t>
      </w:r>
      <w:r>
        <w:t>e</w:t>
      </w:r>
      <w:r w:rsidRPr="00B37259">
        <w:t xml:space="preserve"> change in costs</w:t>
      </w:r>
      <w:r w:rsidR="005C251E">
        <w:t xml:space="preserve"> above the </w:t>
      </w:r>
      <w:r w:rsidR="00976DDC">
        <w:t xml:space="preserve">approved </w:t>
      </w:r>
      <w:r w:rsidR="005C251E">
        <w:t>level</w:t>
      </w:r>
      <w:r w:rsidR="00976DDC">
        <w:t xml:space="preserve"> already</w:t>
      </w:r>
      <w:r w:rsidR="005C251E">
        <w:t xml:space="preserve"> embedded in the </w:t>
      </w:r>
      <w:r w:rsidR="00A65961">
        <w:t>allowed revenue per customer</w:t>
      </w:r>
      <w:r w:rsidRPr="00B37259">
        <w:t xml:space="preserve">.  The Company </w:t>
      </w:r>
      <w:r>
        <w:t xml:space="preserve">would </w:t>
      </w:r>
      <w:r w:rsidRPr="00B37259">
        <w:t>continue to be</w:t>
      </w:r>
      <w:r>
        <w:t xml:space="preserve">ar the risk of changes in </w:t>
      </w:r>
      <w:r w:rsidRPr="00B37259">
        <w:t xml:space="preserve">costs between general rate cases, and therefore must manage the business in a prudent manner.  </w:t>
      </w:r>
      <w:r>
        <w:t>Further, t</w:t>
      </w:r>
      <w:r w:rsidRPr="00B37259">
        <w:t xml:space="preserve">he Commission in a general rate case can always make the </w:t>
      </w:r>
      <w:r>
        <w:t>determination</w:t>
      </w:r>
      <w:r w:rsidRPr="00B37259">
        <w:t xml:space="preserve"> that </w:t>
      </w:r>
      <w:r>
        <w:t>any of the Company’s</w:t>
      </w:r>
      <w:r w:rsidRPr="00B37259">
        <w:t xml:space="preserve"> expenditures were not prudent.  Th</w:t>
      </w:r>
      <w:r>
        <w:t>is</w:t>
      </w:r>
      <w:r w:rsidRPr="00B37259">
        <w:t xml:space="preserve"> potential for disallowance </w:t>
      </w:r>
      <w:r>
        <w:t xml:space="preserve">together with management’s desire to provide attractive earnings for shareholders </w:t>
      </w:r>
      <w:r w:rsidRPr="00B37259">
        <w:t xml:space="preserve">provides enough incentive for management to control costs, and the proposed Decoupling Mechanism does not change that.  </w:t>
      </w:r>
    </w:p>
    <w:p w:rsidR="0075372F" w:rsidRPr="00B37259" w:rsidRDefault="0075372F" w:rsidP="0075372F">
      <w:pPr>
        <w:spacing w:line="480" w:lineRule="auto"/>
        <w:ind w:firstLine="720"/>
        <w:jc w:val="both"/>
        <w:rPr>
          <w:b/>
        </w:rPr>
      </w:pPr>
      <w:r>
        <w:rPr>
          <w:b/>
        </w:rPr>
        <w:t xml:space="preserve">Q.  </w:t>
      </w:r>
      <w:r>
        <w:rPr>
          <w:b/>
        </w:rPr>
        <w:tab/>
      </w:r>
      <w:r w:rsidRPr="00B37259">
        <w:rPr>
          <w:b/>
        </w:rPr>
        <w:t>With Respect to Item #</w:t>
      </w:r>
      <w:r>
        <w:rPr>
          <w:b/>
        </w:rPr>
        <w:t>9, “True-up Mechanism”, the Company previously laid out in substantial detail the elements of the Decoupling Mechanism.  Do you have any additional points you would like to make regarding this item?</w:t>
      </w:r>
    </w:p>
    <w:p w:rsidR="0075372F" w:rsidRDefault="0075372F" w:rsidP="0075372F">
      <w:pPr>
        <w:spacing w:line="480" w:lineRule="auto"/>
        <w:ind w:firstLine="720"/>
        <w:jc w:val="both"/>
      </w:pPr>
      <w:r>
        <w:lastRenderedPageBreak/>
        <w:t>A.</w:t>
      </w:r>
      <w:r>
        <w:tab/>
        <w:t xml:space="preserve">No, </w:t>
      </w:r>
      <w:r w:rsidR="00976DDC">
        <w:t>it is fully discussed elsewhere in my testimony</w:t>
      </w:r>
      <w:r>
        <w:t>.</w:t>
      </w:r>
    </w:p>
    <w:p w:rsidR="0075372F" w:rsidRPr="00B37259" w:rsidRDefault="0075372F" w:rsidP="0075372F">
      <w:pPr>
        <w:spacing w:line="480" w:lineRule="auto"/>
        <w:ind w:firstLine="720"/>
        <w:jc w:val="both"/>
        <w:rPr>
          <w:b/>
        </w:rPr>
      </w:pPr>
      <w:r>
        <w:rPr>
          <w:b/>
        </w:rPr>
        <w:t xml:space="preserve">Q. </w:t>
      </w:r>
      <w:r>
        <w:rPr>
          <w:b/>
        </w:rPr>
        <w:tab/>
      </w:r>
      <w:r w:rsidRPr="00B37259">
        <w:rPr>
          <w:b/>
        </w:rPr>
        <w:t>With respect to Item #</w:t>
      </w:r>
      <w:r>
        <w:rPr>
          <w:b/>
        </w:rPr>
        <w:t>10</w:t>
      </w:r>
      <w:r w:rsidRPr="00B37259">
        <w:rPr>
          <w:b/>
        </w:rPr>
        <w:t>, what i</w:t>
      </w:r>
      <w:r>
        <w:rPr>
          <w:b/>
        </w:rPr>
        <w:t>s</w:t>
      </w:r>
      <w:r w:rsidRPr="00B37259">
        <w:rPr>
          <w:b/>
        </w:rPr>
        <w:t xml:space="preserve"> the Company’s position as it relates to the potential for an adjustment to the Company’s rate of return with the Decoupling Mechanism?</w:t>
      </w:r>
    </w:p>
    <w:p w:rsidR="0075372F" w:rsidRDefault="0075372F" w:rsidP="0075372F">
      <w:pPr>
        <w:spacing w:line="480" w:lineRule="auto"/>
        <w:ind w:firstLine="720"/>
        <w:jc w:val="both"/>
      </w:pPr>
      <w:r w:rsidRPr="004374DA">
        <w:t>A.</w:t>
      </w:r>
      <w:r w:rsidRPr="004374DA">
        <w:tab/>
        <w:t>An adjustment to the Company’s rate of return or equity layer is not warranted.  A</w:t>
      </w:r>
      <w:r>
        <w:t xml:space="preserve">s I explained earlier, revenue provided to Avista through a decoupling mechanism would </w:t>
      </w:r>
      <w:r w:rsidRPr="00D562EE">
        <w:rPr>
          <w:u w:val="single"/>
        </w:rPr>
        <w:t>not</w:t>
      </w:r>
      <w:r>
        <w:t xml:space="preserve"> represent additional revenue to the Company over and above what is needed to recover its costs.  Decoupling would provide a replacement of revenue that the ratemaking process assumes is already present, when in fact the revenue is not realized because of energy efficiency or other decreases in use per customer.</w:t>
      </w:r>
      <w:r w:rsidR="00846B6E">
        <w:t xml:space="preserve">  The fact that retail sales are not normalized actually provides a benefit to the Company and its customers.  For customers, should a winter be colder than normal, or a summer hotter than normal, and revenues on a per customer basis exceed authorized levels, those </w:t>
      </w:r>
      <w:r w:rsidR="00C95E6C">
        <w:t>additional</w:t>
      </w:r>
      <w:r w:rsidR="00846B6E">
        <w:t xml:space="preserve"> revenues would be deferred and returned to customers.</w:t>
      </w:r>
      <w:r w:rsidR="00976DDC">
        <w:t xml:space="preserve">  Moreover, the Commission addressed this issue, when approving PSE’s decoupling mechanisms, and did not order an adjustment to the rate of return.</w:t>
      </w:r>
    </w:p>
    <w:p w:rsidR="0075372F" w:rsidRPr="00F51458" w:rsidRDefault="0075372F" w:rsidP="0075372F">
      <w:pPr>
        <w:spacing w:line="480" w:lineRule="auto"/>
        <w:ind w:right="-36" w:firstLine="720"/>
        <w:rPr>
          <w:b/>
        </w:rPr>
      </w:pPr>
      <w:r w:rsidRPr="00F51458">
        <w:rPr>
          <w:b/>
        </w:rPr>
        <w:t xml:space="preserve">Q.  </w:t>
      </w:r>
      <w:r w:rsidRPr="00F51458">
        <w:rPr>
          <w:b/>
        </w:rPr>
        <w:tab/>
        <w:t>Item #11 from the Commission’s Policy Statement refers to an Earnings Test?   Is the Company proposing an Earnings Test as a part of the mechanism?</w:t>
      </w:r>
    </w:p>
    <w:p w:rsidR="0075372F" w:rsidRDefault="0075372F" w:rsidP="0075372F">
      <w:pPr>
        <w:spacing w:line="480" w:lineRule="auto"/>
        <w:ind w:firstLine="720"/>
        <w:jc w:val="both"/>
      </w:pPr>
      <w:r w:rsidRPr="00F51458">
        <w:t xml:space="preserve">A. </w:t>
      </w:r>
      <w:r w:rsidRPr="00F51458">
        <w:tab/>
      </w:r>
      <w:r w:rsidR="00846B6E">
        <w:t>Yes, t</w:t>
      </w:r>
      <w:r w:rsidRPr="00F51458">
        <w:t xml:space="preserve">he Company has included an earnings-test, individually applied for its electric and natural gas mechanism so as to prevent cross-subsidization. The “earnings-test” is based on the Company’s annual “Commission-basis” operating results, which are filed with the Commission by April 30 for the previous calendar year results.  If the Commission-basis rate of return for the Company’s Washington electric and natural gas operations </w:t>
      </w:r>
      <w:r w:rsidRPr="00F51458">
        <w:lastRenderedPageBreak/>
        <w:t>(individually) exceeds the most recently authorized rate of return, the amount of the proposed surcharge (amount transferred to the balancing account) is reduced</w:t>
      </w:r>
      <w:r w:rsidR="00E23CFF">
        <w:t xml:space="preserve"> or eliminated</w:t>
      </w:r>
      <w:r w:rsidRPr="00F51458">
        <w:t xml:space="preserve"> to </w:t>
      </w:r>
      <w:r w:rsidR="00C95E6C">
        <w:t>move</w:t>
      </w:r>
      <w:r w:rsidRPr="00F51458">
        <w:t xml:space="preserve"> the rate of return down to</w:t>
      </w:r>
      <w:r w:rsidR="00C95E6C">
        <w:t>, or toward,</w:t>
      </w:r>
      <w:r w:rsidRPr="00F51458">
        <w:t xml:space="preserve"> the Commission-authorized level.  </w:t>
      </w:r>
    </w:p>
    <w:p w:rsidR="0075372F" w:rsidRPr="00B37259" w:rsidRDefault="0075372F" w:rsidP="0075372F">
      <w:pPr>
        <w:spacing w:line="480" w:lineRule="auto"/>
        <w:ind w:firstLine="720"/>
        <w:jc w:val="both"/>
        <w:rPr>
          <w:b/>
        </w:rPr>
      </w:pPr>
      <w:r>
        <w:rPr>
          <w:b/>
        </w:rPr>
        <w:t>Q.</w:t>
      </w:r>
      <w:r>
        <w:rPr>
          <w:b/>
        </w:rPr>
        <w:tab/>
        <w:t>Is the Company proposing a DSM test a part of its Decoupling Mechanisms?</w:t>
      </w:r>
      <w:r w:rsidRPr="00B37259">
        <w:rPr>
          <w:b/>
        </w:rPr>
        <w:t xml:space="preserve"> </w:t>
      </w:r>
    </w:p>
    <w:p w:rsidR="0075372F" w:rsidRDefault="0075372F" w:rsidP="0075372F">
      <w:pPr>
        <w:spacing w:line="480" w:lineRule="auto"/>
        <w:ind w:firstLine="720"/>
        <w:jc w:val="both"/>
      </w:pPr>
      <w:r w:rsidRPr="000E41A5">
        <w:t xml:space="preserve">A. </w:t>
      </w:r>
      <w:r w:rsidRPr="000E41A5">
        <w:tab/>
      </w:r>
      <w:r>
        <w:t>No, it is not</w:t>
      </w:r>
      <w:r w:rsidRPr="000E41A5">
        <w:t xml:space="preserve">.  </w:t>
      </w:r>
      <w:r>
        <w:t>As it relates to the electric mechanism, to the extent the Company fails to meet its savings targets required under the Energy Independen</w:t>
      </w:r>
      <w:r w:rsidR="00C95E6C">
        <w:t>ce Act (RCW 19.285), Avista would</w:t>
      </w:r>
      <w:r>
        <w:t xml:space="preserve"> face stiff penalties.  Failure to meet energy efficiency targets should not penalize the Company in terms of its ability to recover </w:t>
      </w:r>
      <w:r w:rsidR="00E23CFF">
        <w:t>its</w:t>
      </w:r>
      <w:r>
        <w:t xml:space="preserve"> Commission approved costs. </w:t>
      </w:r>
    </w:p>
    <w:p w:rsidR="0075372F" w:rsidRDefault="0075372F" w:rsidP="0075372F">
      <w:pPr>
        <w:spacing w:line="480" w:lineRule="auto"/>
        <w:ind w:firstLine="720"/>
        <w:jc w:val="both"/>
        <w:rPr>
          <w:b/>
        </w:rPr>
      </w:pPr>
      <w:r>
        <w:rPr>
          <w:b/>
        </w:rPr>
        <w:t>Q.</w:t>
      </w:r>
      <w:r>
        <w:rPr>
          <w:b/>
        </w:rPr>
        <w:tab/>
        <w:t>Should there be a 3% limit on any annual rate increases?</w:t>
      </w:r>
    </w:p>
    <w:p w:rsidR="0075372F" w:rsidRDefault="0075372F" w:rsidP="0075372F">
      <w:pPr>
        <w:spacing w:line="480" w:lineRule="auto"/>
        <w:ind w:firstLine="720"/>
        <w:jc w:val="both"/>
        <w:rPr>
          <w:b/>
        </w:rPr>
      </w:pPr>
      <w:r>
        <w:t>A.</w:t>
      </w:r>
      <w:r>
        <w:tab/>
        <w:t>Yes, Avista proposes that there would a 3% Rate Increase test, and that there would be no limit on any annual rate reductions.</w:t>
      </w:r>
    </w:p>
    <w:p w:rsidR="0075372F" w:rsidRDefault="0075372F" w:rsidP="0075372F">
      <w:pPr>
        <w:spacing w:line="480" w:lineRule="auto"/>
        <w:ind w:firstLine="720"/>
        <w:jc w:val="both"/>
      </w:pPr>
      <w:r>
        <w:rPr>
          <w:b/>
        </w:rPr>
        <w:t>Q.</w:t>
      </w:r>
      <w:r>
        <w:rPr>
          <w:b/>
        </w:rPr>
        <w:tab/>
        <w:t>Please describe the 3% Rate Increase Limitation Test.</w:t>
      </w:r>
    </w:p>
    <w:p w:rsidR="0075372F" w:rsidRPr="000E41A5" w:rsidRDefault="0075372F" w:rsidP="0075372F">
      <w:pPr>
        <w:spacing w:line="480" w:lineRule="auto"/>
        <w:ind w:firstLine="720"/>
        <w:jc w:val="both"/>
      </w:pPr>
      <w:r>
        <w:t>A.</w:t>
      </w:r>
      <w:r>
        <w:tab/>
      </w:r>
      <w:r w:rsidRPr="000E41A5">
        <w:t xml:space="preserve">After applying the “earnings” </w:t>
      </w:r>
      <w:r>
        <w:t>test</w:t>
      </w:r>
      <w:r w:rsidRPr="000E41A5">
        <w:t xml:space="preserve">, the amount of the rate increase resulting from the adjustment is subject to an annual </w:t>
      </w:r>
      <w:r w:rsidRPr="000E41A5">
        <w:rPr>
          <w:u w:val="single"/>
        </w:rPr>
        <w:t>incremental</w:t>
      </w:r>
      <w:r w:rsidRPr="000E41A5">
        <w:t xml:space="preserve"> limit of </w:t>
      </w:r>
      <w:r>
        <w:t>3</w:t>
      </w:r>
      <w:r w:rsidRPr="000E41A5">
        <w:t xml:space="preserve">%, </w:t>
      </w:r>
      <w:r w:rsidRPr="000E41A5">
        <w:rPr>
          <w:u w:val="single"/>
        </w:rPr>
        <w:t>i.e.</w:t>
      </w:r>
      <w:r w:rsidRPr="000E41A5">
        <w:t xml:space="preserve">, the annual increase in the surcharge cannot exceed a </w:t>
      </w:r>
      <w:r>
        <w:t>3</w:t>
      </w:r>
      <w:r w:rsidRPr="000E41A5">
        <w:t>% rate increase each year</w:t>
      </w:r>
      <w:r>
        <w:t>, with unrecovered balances carried forward to future years for recovery</w:t>
      </w:r>
      <w:r w:rsidRPr="000E41A5">
        <w:t xml:space="preserve">.  The incremental surcharge (percentage) increase is determined by subtracting the annual revenue amount recovered by the </w:t>
      </w:r>
      <w:r w:rsidRPr="000E41A5">
        <w:rPr>
          <w:u w:val="single"/>
        </w:rPr>
        <w:t>present</w:t>
      </w:r>
      <w:r w:rsidRPr="000E41A5">
        <w:t xml:space="preserve"> surcharge rate from deferred revenue to be recovered through the proposed surcharge rate, and dividing that net amount by the total “no</w:t>
      </w:r>
      <w:r>
        <w:t>rmalized” revenue by Rate Group</w:t>
      </w:r>
      <w:r w:rsidRPr="000E41A5">
        <w:t xml:space="preserve"> for the most recent July – June period</w:t>
      </w:r>
      <w:r>
        <w:t xml:space="preserve"> (with the first period being January 2015 – June 2015)</w:t>
      </w:r>
      <w:r w:rsidRPr="000E41A5">
        <w:t xml:space="preserve">.  The normalized revenue is determined by multiplying the weather-corrected usage for the </w:t>
      </w:r>
      <w:r w:rsidRPr="000E41A5">
        <w:lastRenderedPageBreak/>
        <w:t>period</w:t>
      </w:r>
      <w:r>
        <w:rPr>
          <w:rStyle w:val="FootnoteReference"/>
        </w:rPr>
        <w:footnoteReference w:id="29"/>
      </w:r>
      <w:r w:rsidRPr="000E41A5">
        <w:t xml:space="preserve"> by the present </w:t>
      </w:r>
      <w:r>
        <w:t xml:space="preserve">billing </w:t>
      </w:r>
      <w:r w:rsidRPr="000E41A5">
        <w:t xml:space="preserve">rates in effect.  If the incremental surcharge exceeds a </w:t>
      </w:r>
      <w:r>
        <w:t>3</w:t>
      </w:r>
      <w:r w:rsidRPr="000E41A5">
        <w:t xml:space="preserve">% rate increase, only a </w:t>
      </w:r>
      <w:r>
        <w:t>3</w:t>
      </w:r>
      <w:r w:rsidRPr="000E41A5">
        <w:t xml:space="preserve">% increase is implemented and any </w:t>
      </w:r>
      <w:r w:rsidR="00C95E6C">
        <w:t>additional</w:t>
      </w:r>
      <w:r w:rsidRPr="000E41A5">
        <w:t xml:space="preserve"> deferred revenue remains in the deferred revenue account and could be recovered the following year, subject to the </w:t>
      </w:r>
      <w:r>
        <w:t>3</w:t>
      </w:r>
      <w:r w:rsidRPr="000E41A5">
        <w:t xml:space="preserve">% limitation. </w:t>
      </w:r>
      <w:r>
        <w:t xml:space="preserve"> Again, the 3% limitation is not applicable if the Company is in a rebate position.</w:t>
      </w:r>
    </w:p>
    <w:p w:rsidR="0075372F" w:rsidRPr="00B37259" w:rsidRDefault="0075372F" w:rsidP="0075372F">
      <w:pPr>
        <w:spacing w:line="480" w:lineRule="auto"/>
        <w:ind w:firstLine="720"/>
        <w:jc w:val="both"/>
        <w:rPr>
          <w:b/>
        </w:rPr>
      </w:pPr>
      <w:r w:rsidRPr="000E41A5">
        <w:rPr>
          <w:b/>
        </w:rPr>
        <w:t>Q</w:t>
      </w:r>
      <w:r>
        <w:rPr>
          <w:b/>
        </w:rPr>
        <w:t>.</w:t>
      </w:r>
      <w:r>
        <w:rPr>
          <w:b/>
        </w:rPr>
        <w:tab/>
      </w:r>
      <w:r w:rsidRPr="00B37259">
        <w:rPr>
          <w:b/>
        </w:rPr>
        <w:t>Please address Item #</w:t>
      </w:r>
      <w:r>
        <w:rPr>
          <w:b/>
        </w:rPr>
        <w:t>12</w:t>
      </w:r>
      <w:r w:rsidRPr="00B37259">
        <w:rPr>
          <w:b/>
        </w:rPr>
        <w:t xml:space="preserve">, Accounting for </w:t>
      </w:r>
      <w:r w:rsidR="00F51458">
        <w:rPr>
          <w:b/>
        </w:rPr>
        <w:t xml:space="preserve">electric </w:t>
      </w:r>
      <w:r w:rsidRPr="00B37259">
        <w:rPr>
          <w:b/>
        </w:rPr>
        <w:t>Off-System Sales and Avoided Costs</w:t>
      </w:r>
      <w:r>
        <w:rPr>
          <w:b/>
        </w:rPr>
        <w:t>.</w:t>
      </w:r>
      <w:r w:rsidRPr="00B37259">
        <w:rPr>
          <w:b/>
        </w:rPr>
        <w:t xml:space="preserve"> </w:t>
      </w:r>
    </w:p>
    <w:p w:rsidR="00E23CFF" w:rsidRDefault="0075372F" w:rsidP="0075372F">
      <w:pPr>
        <w:spacing w:line="480" w:lineRule="auto"/>
        <w:ind w:firstLine="720"/>
        <w:jc w:val="both"/>
      </w:pPr>
      <w:r>
        <w:t xml:space="preserve">A. </w:t>
      </w:r>
      <w:r>
        <w:tab/>
      </w:r>
      <w:r w:rsidR="00642E83">
        <w:t xml:space="preserve">The Company’s Energy Recovery Mechanism (ERM) is designed to capture any change in Off-System Sales and Purchased Power expense that may arise due to changes in retail load.  The Retail Revenue Credit </w:t>
      </w:r>
      <w:r w:rsidR="00C95E6C">
        <w:t xml:space="preserve">(“RRC”) </w:t>
      </w:r>
      <w:r w:rsidR="00642E83">
        <w:t>rate is applied to the change in retail sales to take into account that there would be a corresponding change in retail revenue.  The</w:t>
      </w:r>
      <w:r w:rsidR="00C95E6C">
        <w:t xml:space="preserve"> </w:t>
      </w:r>
      <w:r w:rsidR="00642E83">
        <w:t>RRC rate multiplied by actual retail sales (kWhs) represents the embedded volumetric retail revenue accounted for in the ERM.  As demonstrated earlier in my testimony and as shown in Exhibit No.___(PDE-9), the Company’s proposed Electric Decoupling Mechanism specifically excludes that embedded volumetric retail revenue accounted for in the ERM</w:t>
      </w:r>
      <w:r w:rsidR="00C95E6C">
        <w:t>,</w:t>
      </w:r>
      <w:r w:rsidR="00642E83">
        <w:t xml:space="preserve"> because the same Retail Revenue Credit rate determines the amount of power supply revenue excluded from both the allowed and actual revenues measure</w:t>
      </w:r>
      <w:r w:rsidR="0039709C">
        <w:t>d in the decoupling mechanism.</w:t>
      </w:r>
      <w:r w:rsidR="00C95E6C">
        <w:t xml:space="preserve">  </w:t>
      </w:r>
      <w:r w:rsidR="006324E1">
        <w:t xml:space="preserve">In short, the Company would not be </w:t>
      </w:r>
      <w:r w:rsidR="00C95E6C">
        <w:t>double counting in the ERM and Electric D</w:t>
      </w:r>
      <w:r w:rsidR="006324E1">
        <w:t xml:space="preserve">ecoupling </w:t>
      </w:r>
      <w:r w:rsidR="00C95E6C">
        <w:t>M</w:t>
      </w:r>
      <w:r w:rsidR="006324E1">
        <w:t>echanism as it relates to power supply costs.</w:t>
      </w:r>
    </w:p>
    <w:p w:rsidR="000F4153" w:rsidRDefault="000F4153" w:rsidP="000F4153">
      <w:pPr>
        <w:spacing w:line="480" w:lineRule="auto"/>
        <w:ind w:firstLine="720"/>
        <w:jc w:val="both"/>
        <w:rPr>
          <w:b/>
        </w:rPr>
      </w:pPr>
      <w:r>
        <w:rPr>
          <w:b/>
        </w:rPr>
        <w:t>Q.</w:t>
      </w:r>
      <w:r>
        <w:rPr>
          <w:b/>
        </w:rPr>
        <w:tab/>
        <w:t>Has the Company prepared electric and natural gas tariffs that would administer the decoupling mechanisms?</w:t>
      </w:r>
    </w:p>
    <w:p w:rsidR="000F4153" w:rsidRDefault="000F4153" w:rsidP="000F4153">
      <w:pPr>
        <w:spacing w:line="480" w:lineRule="auto"/>
        <w:ind w:firstLine="720"/>
        <w:jc w:val="both"/>
        <w:rPr>
          <w:b/>
        </w:rPr>
      </w:pPr>
      <w:r>
        <w:t>A.</w:t>
      </w:r>
      <w:r>
        <w:tab/>
        <w:t>Yes, included in Exhibit No.__</w:t>
      </w:r>
      <w:proofErr w:type="gramStart"/>
      <w:r>
        <w:t>_(</w:t>
      </w:r>
      <w:proofErr w:type="gramEnd"/>
      <w:r>
        <w:t xml:space="preserve">PDE-3) and Exhibit No.___(PDE-6) are new tariff </w:t>
      </w:r>
      <w:r w:rsidR="006E7C1D">
        <w:t>Schedules 99 (electric) and 199 (natural gas).  These tariffs outline the mechanics of the decoupling mechanisms and will serve as the rate adjustment tariffs.</w:t>
      </w:r>
    </w:p>
    <w:p w:rsidR="000F4153" w:rsidRDefault="000F4153" w:rsidP="000F4153">
      <w:pPr>
        <w:spacing w:line="480" w:lineRule="auto"/>
        <w:ind w:firstLine="720"/>
        <w:jc w:val="both"/>
        <w:rPr>
          <w:b/>
        </w:rPr>
      </w:pPr>
      <w:r>
        <w:rPr>
          <w:b/>
        </w:rPr>
        <w:lastRenderedPageBreak/>
        <w:t>Q.</w:t>
      </w:r>
      <w:r>
        <w:rPr>
          <w:b/>
        </w:rPr>
        <w:tab/>
        <w:t>What is the Company proposing to do with its existing limited natural gas decoupling mechanism</w:t>
      </w:r>
      <w:r w:rsidR="006E7C1D">
        <w:rPr>
          <w:b/>
        </w:rPr>
        <w:t xml:space="preserve"> administered under rate Schedule 159</w:t>
      </w:r>
      <w:r>
        <w:rPr>
          <w:b/>
        </w:rPr>
        <w:t>?</w:t>
      </w:r>
    </w:p>
    <w:p w:rsidR="00B220C2" w:rsidRDefault="000F4153" w:rsidP="00B220C2">
      <w:pPr>
        <w:spacing w:line="480" w:lineRule="auto"/>
        <w:ind w:firstLine="720"/>
        <w:jc w:val="both"/>
      </w:pPr>
      <w:r>
        <w:t>A.</w:t>
      </w:r>
      <w:r>
        <w:tab/>
      </w:r>
      <w:r w:rsidR="006324E1">
        <w:t>The Company is pro</w:t>
      </w:r>
      <w:r w:rsidR="00642E83">
        <w:t>p</w:t>
      </w:r>
      <w:r w:rsidR="006324E1">
        <w:t xml:space="preserve">osing to terminate its current partial natural gas </w:t>
      </w:r>
      <w:r w:rsidR="00642E83">
        <w:t>decoupling</w:t>
      </w:r>
      <w:r w:rsidR="006324E1">
        <w:t xml:space="preserve"> mechanism effective January 1, 2015</w:t>
      </w:r>
      <w:r w:rsidR="00976DDC">
        <w:t xml:space="preserve"> and substitute the proposed mechanism in its place.  </w:t>
      </w:r>
      <w:r w:rsidR="006324E1">
        <w:t>If</w:t>
      </w:r>
      <w:r w:rsidR="006E7C1D">
        <w:t xml:space="preserve"> the Company’s request for the new Natural Gas Decoupling </w:t>
      </w:r>
      <w:r w:rsidR="006324E1">
        <w:t>Mechanism</w:t>
      </w:r>
      <w:r w:rsidR="006E7C1D">
        <w:t xml:space="preserve"> is approved, the Company</w:t>
      </w:r>
      <w:r w:rsidR="00FB67D0">
        <w:t xml:space="preserve"> would transfer any remaining deferral balance into the new mechanism (Residential Rate Group).  </w:t>
      </w:r>
    </w:p>
    <w:p w:rsidR="00C95E6C" w:rsidRDefault="00C95E6C" w:rsidP="00976DDC">
      <w:pPr>
        <w:pStyle w:val="TestBody"/>
        <w:tabs>
          <w:tab w:val="num" w:pos="0"/>
          <w:tab w:val="num" w:pos="720"/>
        </w:tabs>
        <w:spacing w:line="480" w:lineRule="auto"/>
        <w:ind w:left="0" w:firstLine="0"/>
        <w:jc w:val="center"/>
        <w:rPr>
          <w:rFonts w:ascii="Times New Roman" w:hAnsi="Times New Roman" w:cs="Times New Roman"/>
          <w:b/>
          <w:bCs/>
          <w:u w:val="single"/>
        </w:rPr>
      </w:pPr>
    </w:p>
    <w:p w:rsidR="00976DDC" w:rsidRPr="00E47BE6" w:rsidRDefault="00976DDC" w:rsidP="00976DDC">
      <w:pPr>
        <w:pStyle w:val="TestBody"/>
        <w:tabs>
          <w:tab w:val="num" w:pos="0"/>
          <w:tab w:val="num" w:pos="720"/>
        </w:tabs>
        <w:spacing w:line="480" w:lineRule="auto"/>
        <w:ind w:left="0" w:firstLine="0"/>
        <w:jc w:val="center"/>
        <w:rPr>
          <w:rFonts w:ascii="Times New Roman" w:hAnsi="Times New Roman" w:cs="Times New Roman"/>
          <w:b/>
          <w:bCs/>
          <w:u w:val="single"/>
        </w:rPr>
      </w:pPr>
      <w:r>
        <w:rPr>
          <w:rFonts w:ascii="Times New Roman" w:hAnsi="Times New Roman" w:cs="Times New Roman"/>
          <w:b/>
          <w:bCs/>
          <w:u w:val="single"/>
        </w:rPr>
        <w:t>VIII</w:t>
      </w:r>
      <w:r w:rsidRPr="00BE21E7">
        <w:rPr>
          <w:rFonts w:ascii="Times New Roman" w:hAnsi="Times New Roman" w:cs="Times New Roman"/>
          <w:b/>
          <w:bCs/>
          <w:u w:val="single"/>
        </w:rPr>
        <w:t>.</w:t>
      </w:r>
      <w:r w:rsidRPr="00BE21E7">
        <w:rPr>
          <w:rFonts w:ascii="Times New Roman" w:hAnsi="Times New Roman" w:cs="Times New Roman"/>
          <w:b/>
          <w:bCs/>
          <w:u w:val="single"/>
        </w:rPr>
        <w:tab/>
      </w:r>
      <w:r>
        <w:rPr>
          <w:rFonts w:ascii="Times New Roman" w:hAnsi="Times New Roman" w:cs="Times New Roman"/>
          <w:b/>
          <w:bCs/>
          <w:u w:val="single"/>
        </w:rPr>
        <w:t>RENEWABLE ENERGY CREDIT (“REC”) REVENUE MECHANISM</w:t>
      </w:r>
    </w:p>
    <w:p w:rsidR="00976DDC" w:rsidRPr="00E47BE6" w:rsidRDefault="00976DDC" w:rsidP="00976DDC">
      <w:pPr>
        <w:pStyle w:val="BodyText"/>
        <w:tabs>
          <w:tab w:val="num" w:pos="0"/>
          <w:tab w:val="left" w:pos="810"/>
        </w:tabs>
        <w:spacing w:line="480" w:lineRule="auto"/>
        <w:ind w:firstLine="720"/>
        <w:jc w:val="both"/>
        <w:rPr>
          <w:bCs w:val="0"/>
        </w:rPr>
      </w:pPr>
      <w:proofErr w:type="gramStart"/>
      <w:r w:rsidRPr="00E47BE6">
        <w:rPr>
          <w:bCs w:val="0"/>
        </w:rPr>
        <w:t>Q.</w:t>
      </w:r>
      <w:r w:rsidRPr="00E47BE6">
        <w:rPr>
          <w:bCs w:val="0"/>
        </w:rPr>
        <w:tab/>
        <w:t>Please describe the Company’s proposal for returning REC revenue to customers.</w:t>
      </w:r>
      <w:proofErr w:type="gramEnd"/>
    </w:p>
    <w:p w:rsidR="00451C4F" w:rsidRDefault="00976DDC" w:rsidP="00976DDC">
      <w:pPr>
        <w:pStyle w:val="BodyText"/>
        <w:tabs>
          <w:tab w:val="num" w:pos="0"/>
          <w:tab w:val="left" w:pos="810"/>
        </w:tabs>
        <w:spacing w:line="480" w:lineRule="auto"/>
        <w:ind w:firstLine="720"/>
        <w:jc w:val="both"/>
        <w:rPr>
          <w:b w:val="0"/>
        </w:rPr>
      </w:pPr>
      <w:r>
        <w:rPr>
          <w:b w:val="0"/>
          <w:bCs w:val="0"/>
        </w:rPr>
        <w:t>A.</w:t>
      </w:r>
      <w:r>
        <w:rPr>
          <w:b w:val="0"/>
          <w:bCs w:val="0"/>
        </w:rPr>
        <w:tab/>
        <w:t>As discussed by Mr. Johnson, the Company proposes to implement a REC revenue rebate effective January 1, 2015, coinciding with any change in base rates.  This rebate will be based on actual and projected net REC revenues from 2012 through June 2016</w:t>
      </w:r>
      <w:r w:rsidR="00451C4F">
        <w:rPr>
          <w:b w:val="0"/>
          <w:bCs w:val="0"/>
        </w:rPr>
        <w:t xml:space="preserve">. </w:t>
      </w:r>
      <w:r>
        <w:rPr>
          <w:b w:val="0"/>
          <w:bCs w:val="0"/>
        </w:rPr>
        <w:t>The amortization period for this rebate will be 18 months,</w:t>
      </w:r>
      <w:r w:rsidR="00451C4F">
        <w:rPr>
          <w:b w:val="0"/>
          <w:bCs w:val="0"/>
        </w:rPr>
        <w:t xml:space="preserve"> January 2015 through June 2016</w:t>
      </w:r>
      <w:r>
        <w:rPr>
          <w:b w:val="0"/>
          <w:bCs w:val="0"/>
        </w:rPr>
        <w:t xml:space="preserve"> </w:t>
      </w:r>
      <w:r w:rsidR="00451C4F">
        <w:rPr>
          <w:b w:val="0"/>
          <w:bCs w:val="0"/>
        </w:rPr>
        <w:t>(see Exhibit No.__</w:t>
      </w:r>
      <w:proofErr w:type="gramStart"/>
      <w:r w:rsidR="00451C4F">
        <w:rPr>
          <w:b w:val="0"/>
          <w:bCs w:val="0"/>
        </w:rPr>
        <w:t>_(</w:t>
      </w:r>
      <w:proofErr w:type="gramEnd"/>
      <w:r w:rsidR="00451C4F">
        <w:rPr>
          <w:b w:val="0"/>
          <w:bCs w:val="0"/>
        </w:rPr>
        <w:t xml:space="preserve">WGJ-5) </w:t>
      </w:r>
      <w:r w:rsidR="00C95E6C">
        <w:rPr>
          <w:b w:val="0"/>
          <w:bCs w:val="0"/>
        </w:rPr>
        <w:t xml:space="preserve">which includes </w:t>
      </w:r>
      <w:r w:rsidR="00451C4F">
        <w:rPr>
          <w:b w:val="0"/>
          <w:bCs w:val="0"/>
        </w:rPr>
        <w:t>a</w:t>
      </w:r>
      <w:r w:rsidR="00451C4F" w:rsidRPr="00451C4F">
        <w:rPr>
          <w:b w:val="0"/>
        </w:rPr>
        <w:t xml:space="preserve"> schematic of the proposed REC revenue mechanism</w:t>
      </w:r>
      <w:r w:rsidR="00451C4F">
        <w:rPr>
          <w:b w:val="0"/>
        </w:rPr>
        <w:t xml:space="preserve">). </w:t>
      </w:r>
    </w:p>
    <w:p w:rsidR="00976DDC" w:rsidRDefault="00976DDC" w:rsidP="00976DDC">
      <w:pPr>
        <w:pStyle w:val="BodyText"/>
        <w:tabs>
          <w:tab w:val="num" w:pos="0"/>
          <w:tab w:val="left" w:pos="810"/>
        </w:tabs>
        <w:spacing w:line="480" w:lineRule="auto"/>
        <w:ind w:firstLine="720"/>
        <w:jc w:val="both"/>
        <w:rPr>
          <w:b w:val="0"/>
          <w:bCs w:val="0"/>
        </w:rPr>
      </w:pPr>
      <w:r>
        <w:rPr>
          <w:b w:val="0"/>
          <w:bCs w:val="0"/>
        </w:rPr>
        <w:t xml:space="preserve">REC revenue will be based on the actual REC revenue in excess of the amount in base rates for 2012 and 2013, the estimated REC revenue in excess of the amount in base rates for 2014, and the total estimated REC revenue for the period January 2015 through June 2016.    The Company proposes that the rebate be implemented on a uniform cents/kWh basis across all rate classes.  </w:t>
      </w:r>
    </w:p>
    <w:p w:rsidR="00976DDC" w:rsidRPr="00E67E92" w:rsidRDefault="00976DDC" w:rsidP="00976DDC">
      <w:pPr>
        <w:pStyle w:val="BodyText"/>
        <w:tabs>
          <w:tab w:val="num" w:pos="0"/>
          <w:tab w:val="left" w:pos="810"/>
        </w:tabs>
        <w:spacing w:line="480" w:lineRule="auto"/>
        <w:ind w:firstLine="720"/>
        <w:jc w:val="both"/>
        <w:rPr>
          <w:bCs w:val="0"/>
        </w:rPr>
      </w:pPr>
      <w:r w:rsidRPr="00E67E92">
        <w:rPr>
          <w:bCs w:val="0"/>
        </w:rPr>
        <w:lastRenderedPageBreak/>
        <w:t>Q.</w:t>
      </w:r>
      <w:r w:rsidRPr="00E67E92">
        <w:rPr>
          <w:bCs w:val="0"/>
        </w:rPr>
        <w:tab/>
        <w:t>What is the estimated REC revenue rebate to go into effect on January 1, 2015?</w:t>
      </w:r>
    </w:p>
    <w:p w:rsidR="00976DDC" w:rsidRDefault="00976DDC" w:rsidP="00976DDC">
      <w:pPr>
        <w:pStyle w:val="BodyText"/>
        <w:tabs>
          <w:tab w:val="num" w:pos="0"/>
          <w:tab w:val="left" w:pos="810"/>
        </w:tabs>
        <w:spacing w:line="480" w:lineRule="auto"/>
        <w:ind w:firstLine="720"/>
        <w:jc w:val="both"/>
        <w:rPr>
          <w:b w:val="0"/>
          <w:bCs w:val="0"/>
        </w:rPr>
      </w:pPr>
      <w:r>
        <w:rPr>
          <w:b w:val="0"/>
          <w:bCs w:val="0"/>
        </w:rPr>
        <w:t>A.</w:t>
      </w:r>
      <w:r>
        <w:rPr>
          <w:b w:val="0"/>
          <w:bCs w:val="0"/>
        </w:rPr>
        <w:tab/>
        <w:t xml:space="preserve">Based on actual 2012 and 2013 REC revenue plus the estimated REC revenue for the period 2014 through June 2016, the total rebate amount is $7,841,726 (Washington allocation).  Amortized over an 18 month period </w:t>
      </w:r>
      <w:r w:rsidRPr="00714990">
        <w:rPr>
          <w:b w:val="0"/>
          <w:bCs w:val="0"/>
        </w:rPr>
        <w:t>the rebate is $0.00094/kWh, or approximately a 1.1% reduction in rates.  A table showing net REC</w:t>
      </w:r>
      <w:r>
        <w:rPr>
          <w:b w:val="0"/>
          <w:bCs w:val="0"/>
        </w:rPr>
        <w:t xml:space="preserve"> revenues, both actual and projected, by year is shown in Exhibit No. </w:t>
      </w:r>
      <w:proofErr w:type="gramStart"/>
      <w:r>
        <w:rPr>
          <w:b w:val="0"/>
          <w:bCs w:val="0"/>
        </w:rPr>
        <w:t>___ (WGJ-6).</w:t>
      </w:r>
      <w:proofErr w:type="gramEnd"/>
    </w:p>
    <w:p w:rsidR="00976DDC" w:rsidRPr="00E67E92" w:rsidRDefault="00976DDC" w:rsidP="00976DDC">
      <w:pPr>
        <w:pStyle w:val="BodyText"/>
        <w:tabs>
          <w:tab w:val="num" w:pos="0"/>
          <w:tab w:val="left" w:pos="810"/>
        </w:tabs>
        <w:spacing w:line="480" w:lineRule="auto"/>
        <w:ind w:firstLine="720"/>
        <w:jc w:val="both"/>
        <w:rPr>
          <w:bCs w:val="0"/>
        </w:rPr>
      </w:pPr>
      <w:r>
        <w:rPr>
          <w:bCs w:val="0"/>
        </w:rPr>
        <w:t>Q.</w:t>
      </w:r>
      <w:r>
        <w:rPr>
          <w:bCs w:val="0"/>
        </w:rPr>
        <w:tab/>
        <w:t>Has the Company developed a tariff to administer the proposed mechanism</w:t>
      </w:r>
      <w:r w:rsidRPr="00E67E92">
        <w:rPr>
          <w:bCs w:val="0"/>
        </w:rPr>
        <w:t>?</w:t>
      </w:r>
    </w:p>
    <w:p w:rsidR="00976DDC" w:rsidRDefault="00976DDC" w:rsidP="00976DDC">
      <w:pPr>
        <w:autoSpaceDE/>
        <w:autoSpaceDN/>
        <w:spacing w:line="480" w:lineRule="auto"/>
        <w:ind w:firstLine="720"/>
        <w:jc w:val="both"/>
      </w:pPr>
      <w:r>
        <w:t>A.</w:t>
      </w:r>
      <w:r>
        <w:tab/>
        <w:t>Yes, the Company has developed electric rate Schedule 98, “Renewable Energy Credit Revenue Mechanism”, and has included this tariff sheet in its proposed tariffs, Exhibit No.__</w:t>
      </w:r>
      <w:proofErr w:type="gramStart"/>
      <w:r>
        <w:t>_(</w:t>
      </w:r>
      <w:proofErr w:type="gramEnd"/>
      <w:r>
        <w:t>PDE-3).</w:t>
      </w:r>
    </w:p>
    <w:p w:rsidR="00976DDC" w:rsidRDefault="00976DDC" w:rsidP="00976DDC">
      <w:pPr>
        <w:autoSpaceDE/>
        <w:autoSpaceDN/>
        <w:spacing w:line="480" w:lineRule="auto"/>
      </w:pPr>
    </w:p>
    <w:p w:rsidR="00976DDC" w:rsidRPr="00AD03A5" w:rsidRDefault="00976DDC" w:rsidP="00976DDC">
      <w:pPr>
        <w:pStyle w:val="P267"/>
        <w:tabs>
          <w:tab w:val="clear" w:pos="360"/>
          <w:tab w:val="left" w:pos="0"/>
        </w:tabs>
        <w:ind w:left="0"/>
        <w:jc w:val="center"/>
        <w:rPr>
          <w:rFonts w:ascii="Times New Roman" w:hAnsi="Times New Roman" w:cs="Times New Roman"/>
        </w:rPr>
      </w:pPr>
      <w:r>
        <w:rPr>
          <w:rFonts w:ascii="Times New Roman" w:hAnsi="Times New Roman" w:cs="Times New Roman"/>
        </w:rPr>
        <w:t>IX</w:t>
      </w:r>
      <w:proofErr w:type="gramStart"/>
      <w:r w:rsidRPr="00AD03A5">
        <w:rPr>
          <w:rFonts w:ascii="Times New Roman" w:hAnsi="Times New Roman" w:cs="Times New Roman"/>
        </w:rPr>
        <w:t>.  SUMMARY</w:t>
      </w:r>
      <w:proofErr w:type="gramEnd"/>
      <w:r w:rsidRPr="00AD03A5">
        <w:rPr>
          <w:rFonts w:ascii="Times New Roman" w:hAnsi="Times New Roman" w:cs="Times New Roman"/>
        </w:rPr>
        <w:t xml:space="preserve"> OF UE-</w:t>
      </w:r>
      <w:r>
        <w:rPr>
          <w:rFonts w:ascii="Times New Roman" w:hAnsi="Times New Roman" w:cs="Times New Roman"/>
        </w:rPr>
        <w:t>120436</w:t>
      </w:r>
      <w:r w:rsidRPr="00AD03A5">
        <w:rPr>
          <w:rFonts w:ascii="Times New Roman" w:hAnsi="Times New Roman" w:cs="Times New Roman"/>
        </w:rPr>
        <w:t>/UG-</w:t>
      </w:r>
      <w:r>
        <w:rPr>
          <w:rFonts w:ascii="Times New Roman" w:hAnsi="Times New Roman" w:cs="Times New Roman"/>
        </w:rPr>
        <w:t>120437</w:t>
      </w:r>
      <w:r w:rsidRPr="00AD03A5">
        <w:rPr>
          <w:rFonts w:ascii="Times New Roman" w:hAnsi="Times New Roman" w:cs="Times New Roman"/>
        </w:rPr>
        <w:t xml:space="preserve"> ORDER </w:t>
      </w:r>
      <w:r>
        <w:rPr>
          <w:rFonts w:ascii="Times New Roman" w:hAnsi="Times New Roman" w:cs="Times New Roman"/>
        </w:rPr>
        <w:t>No. 09</w:t>
      </w:r>
      <w:r w:rsidRPr="00AD03A5">
        <w:rPr>
          <w:rFonts w:ascii="Times New Roman" w:hAnsi="Times New Roman" w:cs="Times New Roman"/>
        </w:rPr>
        <w:t xml:space="preserve"> REQUIREMENTS</w:t>
      </w:r>
    </w:p>
    <w:p w:rsidR="00976DDC" w:rsidRDefault="00976DDC" w:rsidP="00976DDC">
      <w:pPr>
        <w:spacing w:line="480" w:lineRule="auto"/>
        <w:ind w:firstLine="720"/>
        <w:jc w:val="both"/>
        <w:rPr>
          <w:b/>
        </w:rPr>
      </w:pPr>
      <w:r w:rsidRPr="00AD03A5">
        <w:rPr>
          <w:b/>
        </w:rPr>
        <w:t>Q.</w:t>
      </w:r>
      <w:r w:rsidRPr="00AD03A5">
        <w:rPr>
          <w:b/>
        </w:rPr>
        <w:tab/>
      </w:r>
      <w:r w:rsidR="00C95E6C">
        <w:rPr>
          <w:b/>
        </w:rPr>
        <w:t xml:space="preserve">Has the Company complied with the requirements of the Commission’s </w:t>
      </w:r>
      <w:r>
        <w:rPr>
          <w:b/>
        </w:rPr>
        <w:t>Order No. 09 (and Settlement Stipulation) in Dockets UE-120436 and UG-120437?</w:t>
      </w:r>
    </w:p>
    <w:p w:rsidR="00976DDC" w:rsidRDefault="00976DDC" w:rsidP="00976DDC">
      <w:pPr>
        <w:spacing w:line="480" w:lineRule="auto"/>
        <w:ind w:firstLine="720"/>
        <w:jc w:val="both"/>
        <w:rPr>
          <w:rFonts w:eastAsia="Calibri"/>
        </w:rPr>
      </w:pPr>
      <w:r w:rsidRPr="00206BDE">
        <w:rPr>
          <w:rFonts w:eastAsia="Calibri"/>
        </w:rPr>
        <w:t>A.</w:t>
      </w:r>
      <w:r w:rsidRPr="00206BDE">
        <w:rPr>
          <w:rFonts w:eastAsia="Calibri"/>
        </w:rPr>
        <w:tab/>
        <w:t xml:space="preserve">Yes.  </w:t>
      </w:r>
      <w:r>
        <w:rPr>
          <w:rFonts w:eastAsia="Calibri"/>
        </w:rPr>
        <w:t xml:space="preserve">Detailed below are </w:t>
      </w:r>
      <w:r w:rsidRPr="006753D1">
        <w:rPr>
          <w:rFonts w:eastAsia="Calibri"/>
        </w:rPr>
        <w:t>four items</w:t>
      </w:r>
      <w:r w:rsidRPr="00266EF0">
        <w:rPr>
          <w:rFonts w:eastAsia="Calibri"/>
        </w:rPr>
        <w:t xml:space="preserve"> that the Company </w:t>
      </w:r>
      <w:r>
        <w:rPr>
          <w:rFonts w:eastAsia="Calibri"/>
        </w:rPr>
        <w:t>was required to address based on</w:t>
      </w:r>
      <w:r w:rsidRPr="00266EF0">
        <w:rPr>
          <w:rFonts w:eastAsia="Calibri"/>
        </w:rPr>
        <w:t xml:space="preserve"> Order No. </w:t>
      </w:r>
      <w:r>
        <w:rPr>
          <w:rFonts w:eastAsia="Calibri"/>
        </w:rPr>
        <w:t>09 in Dockets UE-120436 and UG-</w:t>
      </w:r>
      <w:proofErr w:type="gramStart"/>
      <w:r>
        <w:rPr>
          <w:rFonts w:eastAsia="Calibri"/>
        </w:rPr>
        <w:t>120437.</w:t>
      </w:r>
      <w:proofErr w:type="gramEnd"/>
      <w:r>
        <w:rPr>
          <w:rFonts w:eastAsia="Calibri"/>
        </w:rPr>
        <w:t xml:space="preserve">  Shown below</w:t>
      </w:r>
      <w:r w:rsidR="00451C4F">
        <w:rPr>
          <w:rFonts w:eastAsia="Calibri"/>
        </w:rPr>
        <w:t>,</w:t>
      </w:r>
      <w:r>
        <w:rPr>
          <w:rFonts w:eastAsia="Calibri"/>
        </w:rPr>
        <w:t xml:space="preserve"> in no particular order</w:t>
      </w:r>
      <w:r w:rsidR="00451C4F">
        <w:rPr>
          <w:rFonts w:eastAsia="Calibri"/>
        </w:rPr>
        <w:t>,</w:t>
      </w:r>
      <w:r>
        <w:rPr>
          <w:rFonts w:eastAsia="Calibri"/>
        </w:rPr>
        <w:t xml:space="preserve"> are the requirements, </w:t>
      </w:r>
      <w:r w:rsidRPr="00266EF0">
        <w:rPr>
          <w:rFonts w:eastAsia="Calibri"/>
        </w:rPr>
        <w:t xml:space="preserve">the page number </w:t>
      </w:r>
      <w:r>
        <w:rPr>
          <w:rFonts w:eastAsia="Calibri"/>
        </w:rPr>
        <w:t xml:space="preserve">and paragraph where the items are located </w:t>
      </w:r>
      <w:r w:rsidRPr="00266EF0">
        <w:rPr>
          <w:rFonts w:eastAsia="Calibri"/>
        </w:rPr>
        <w:t xml:space="preserve">in the </w:t>
      </w:r>
      <w:r>
        <w:rPr>
          <w:rFonts w:eastAsia="Calibri"/>
        </w:rPr>
        <w:t>Order</w:t>
      </w:r>
      <w:r w:rsidRPr="00266EF0">
        <w:rPr>
          <w:rFonts w:eastAsia="Calibri"/>
        </w:rPr>
        <w:t xml:space="preserve">, and </w:t>
      </w:r>
      <w:r>
        <w:rPr>
          <w:rFonts w:eastAsia="Calibri"/>
        </w:rPr>
        <w:t>the witnesses that address the issues in this docket.</w:t>
      </w:r>
    </w:p>
    <w:p w:rsidR="00976DDC" w:rsidRDefault="00976DDC" w:rsidP="00976DDC">
      <w:pPr>
        <w:ind w:firstLine="720"/>
        <w:jc w:val="both"/>
        <w:rPr>
          <w:rFonts w:eastAsia="Calibri"/>
        </w:rPr>
      </w:pPr>
      <w:r w:rsidRPr="008B7E2A">
        <w:rPr>
          <w:rFonts w:eastAsia="Calibri"/>
          <w:b/>
        </w:rPr>
        <w:t xml:space="preserve">Item 1 – </w:t>
      </w:r>
      <w:r w:rsidR="00451C4F">
        <w:rPr>
          <w:rFonts w:eastAsia="Calibri"/>
          <w:b/>
        </w:rPr>
        <w:t>REC Mechanism (</w:t>
      </w:r>
      <w:r w:rsidRPr="008B7E2A">
        <w:rPr>
          <w:rFonts w:eastAsia="Calibri"/>
          <w:b/>
        </w:rPr>
        <w:t xml:space="preserve">Order Page </w:t>
      </w:r>
      <w:r>
        <w:rPr>
          <w:rFonts w:eastAsia="Calibri"/>
          <w:b/>
        </w:rPr>
        <w:t>32</w:t>
      </w:r>
      <w:r w:rsidRPr="008B7E2A">
        <w:rPr>
          <w:rFonts w:eastAsia="Calibri"/>
          <w:b/>
        </w:rPr>
        <w:t xml:space="preserve">, Paragraphs </w:t>
      </w:r>
      <w:r>
        <w:rPr>
          <w:rFonts w:eastAsia="Calibri"/>
          <w:b/>
        </w:rPr>
        <w:t>83-85</w:t>
      </w:r>
      <w:r w:rsidR="00451C4F">
        <w:rPr>
          <w:rFonts w:eastAsia="Calibri"/>
          <w:b/>
        </w:rPr>
        <w:t>)</w:t>
      </w:r>
      <w:r>
        <w:rPr>
          <w:rFonts w:eastAsia="Calibri"/>
        </w:rPr>
        <w:t>:</w:t>
      </w:r>
    </w:p>
    <w:p w:rsidR="00976DDC" w:rsidRPr="00451C4F" w:rsidRDefault="00976DDC" w:rsidP="00976DDC">
      <w:pPr>
        <w:tabs>
          <w:tab w:val="left" w:pos="1710"/>
        </w:tabs>
        <w:ind w:left="720"/>
        <w:jc w:val="both"/>
        <w:rPr>
          <w:rFonts w:eastAsia="Calibri"/>
          <w:i/>
        </w:rPr>
      </w:pPr>
      <w:r w:rsidRPr="00451C4F">
        <w:rPr>
          <w:rFonts w:eastAsia="Calibri"/>
          <w:i/>
        </w:rPr>
        <w:t xml:space="preserve">"The Commission orders Avista to defer the difference between the REC sale proceeds in base rates and actual REC sale proceeds to a separate tracking account not subject to the trigger mechanism of the ERM. At the time of its next filed rate case, Avista will propose a mechanism for returning any such accumulated difference of REC sale proceeds in a true-up. The Commission recognizes that the </w:t>
      </w:r>
      <w:r w:rsidRPr="00451C4F">
        <w:rPr>
          <w:rFonts w:eastAsia="Calibri"/>
          <w:i/>
        </w:rPr>
        <w:lastRenderedPageBreak/>
        <w:t>balance in this account at the time of the next general rate case may be a credit or debt to customers.  To simplify the treatment of REC sale proceeds in the next general rate case, the Commission orders Avista to remove REC sale proceeds from the ERM account and base rates, to project the revenues expected in the rate year, and to defer such revenues to a tracking account established by the Company. The REC sale proceeds will be returned to ratepayers via a mechanism consistent with those used by Puget Sound Energy and PacifiCorp and presented for approval in the next general rate case.  For the 2012 REC sale proceeds currently accounted for in the ERM, the Commission orders that all such revenues in excess of the $4,077,485 million now credited to customers be deferred into the tracking account established by this Order without being subject to the ERM deadbands or sharing bands.”</w:t>
      </w:r>
    </w:p>
    <w:p w:rsidR="00976DDC" w:rsidRDefault="00976DDC" w:rsidP="00976DDC">
      <w:pPr>
        <w:tabs>
          <w:tab w:val="left" w:pos="1710"/>
        </w:tabs>
        <w:ind w:left="720"/>
        <w:jc w:val="both"/>
        <w:rPr>
          <w:rFonts w:eastAsia="Calibri"/>
        </w:rPr>
      </w:pPr>
    </w:p>
    <w:p w:rsidR="00451C4F" w:rsidRDefault="00451C4F" w:rsidP="00976DDC">
      <w:pPr>
        <w:tabs>
          <w:tab w:val="left" w:pos="1710"/>
        </w:tabs>
        <w:ind w:left="720"/>
        <w:jc w:val="both"/>
        <w:rPr>
          <w:rFonts w:eastAsia="Calibri"/>
        </w:rPr>
      </w:pPr>
      <w:r>
        <w:rPr>
          <w:rFonts w:eastAsia="Calibri"/>
        </w:rPr>
        <w:t>This item is addressed by Mr. Johnson in Exhibit No.__</w:t>
      </w:r>
      <w:proofErr w:type="gramStart"/>
      <w:r>
        <w:rPr>
          <w:rFonts w:eastAsia="Calibri"/>
        </w:rPr>
        <w:t>_(</w:t>
      </w:r>
      <w:proofErr w:type="gramEnd"/>
      <w:r>
        <w:rPr>
          <w:rFonts w:eastAsia="Calibri"/>
        </w:rPr>
        <w:t>WGJ-1T).</w:t>
      </w:r>
    </w:p>
    <w:p w:rsidR="00451C4F" w:rsidRDefault="00451C4F" w:rsidP="00976DDC">
      <w:pPr>
        <w:tabs>
          <w:tab w:val="left" w:pos="1710"/>
        </w:tabs>
        <w:ind w:left="720"/>
        <w:jc w:val="both"/>
        <w:rPr>
          <w:rFonts w:eastAsia="Calibri"/>
        </w:rPr>
      </w:pPr>
    </w:p>
    <w:p w:rsidR="00976DDC" w:rsidRDefault="00976DDC" w:rsidP="00976DDC">
      <w:pPr>
        <w:ind w:firstLine="720"/>
        <w:jc w:val="both"/>
        <w:rPr>
          <w:rFonts w:eastAsia="Calibri"/>
        </w:rPr>
      </w:pPr>
      <w:r w:rsidRPr="008B7E2A">
        <w:rPr>
          <w:rFonts w:eastAsia="Calibri"/>
          <w:b/>
        </w:rPr>
        <w:t xml:space="preserve">Item </w:t>
      </w:r>
      <w:r>
        <w:rPr>
          <w:rFonts w:eastAsia="Calibri"/>
          <w:b/>
        </w:rPr>
        <w:t>2</w:t>
      </w:r>
      <w:r w:rsidRPr="008B7E2A">
        <w:rPr>
          <w:rFonts w:eastAsia="Calibri"/>
          <w:b/>
        </w:rPr>
        <w:t xml:space="preserve"> – </w:t>
      </w:r>
      <w:r w:rsidR="00451C4F">
        <w:rPr>
          <w:rFonts w:eastAsia="Calibri"/>
          <w:b/>
        </w:rPr>
        <w:t>Changes to the Retail Revenue Credit (</w:t>
      </w:r>
      <w:r w:rsidRPr="008B7E2A">
        <w:rPr>
          <w:rFonts w:eastAsia="Calibri"/>
          <w:b/>
        </w:rPr>
        <w:t xml:space="preserve">Order Page </w:t>
      </w:r>
      <w:r>
        <w:rPr>
          <w:rFonts w:eastAsia="Calibri"/>
          <w:b/>
        </w:rPr>
        <w:t>32</w:t>
      </w:r>
      <w:r w:rsidRPr="008B7E2A">
        <w:rPr>
          <w:rFonts w:eastAsia="Calibri"/>
          <w:b/>
        </w:rPr>
        <w:t>, Paragraph</w:t>
      </w:r>
      <w:r>
        <w:rPr>
          <w:rFonts w:eastAsia="Calibri"/>
          <w:b/>
        </w:rPr>
        <w:t xml:space="preserve"> 86</w:t>
      </w:r>
      <w:r w:rsidR="00451C4F">
        <w:rPr>
          <w:rFonts w:eastAsia="Calibri"/>
          <w:b/>
        </w:rPr>
        <w:t>)</w:t>
      </w:r>
      <w:r>
        <w:rPr>
          <w:rFonts w:eastAsia="Calibri"/>
        </w:rPr>
        <w:t>:</w:t>
      </w:r>
    </w:p>
    <w:p w:rsidR="00976DDC" w:rsidRPr="00451C4F" w:rsidRDefault="00976DDC" w:rsidP="00976DDC">
      <w:pPr>
        <w:ind w:left="720"/>
        <w:jc w:val="both"/>
        <w:rPr>
          <w:rFonts w:eastAsia="Calibri"/>
          <w:i/>
        </w:rPr>
      </w:pPr>
      <w:r w:rsidRPr="00451C4F">
        <w:rPr>
          <w:rFonts w:eastAsia="Calibri"/>
          <w:i/>
        </w:rPr>
        <w:t>“The Settlement also alters the retail revenue credit in the ERM. The Commission accepts the Settlement as a non-precedent setting agreement. To extend this modification to the ERM, the Company must seek approval in the next general rate case and provide more extensive testimony in support of its request. We expect the parties to contribute to our determination as to whether extending the change to the retail revenue credit is in the public interest.”</w:t>
      </w:r>
    </w:p>
    <w:p w:rsidR="00451C4F" w:rsidRDefault="00451C4F" w:rsidP="00976DDC">
      <w:pPr>
        <w:ind w:left="720"/>
        <w:jc w:val="both"/>
        <w:rPr>
          <w:rFonts w:eastAsia="Calibri"/>
        </w:rPr>
      </w:pPr>
    </w:p>
    <w:p w:rsidR="00451C4F" w:rsidRDefault="00451C4F" w:rsidP="00976DDC">
      <w:pPr>
        <w:ind w:left="720"/>
        <w:jc w:val="both"/>
        <w:rPr>
          <w:rFonts w:eastAsia="Calibri"/>
        </w:rPr>
      </w:pPr>
      <w:r>
        <w:rPr>
          <w:rFonts w:eastAsia="Calibri"/>
        </w:rPr>
        <w:t>This item is addressed by Mr. Johnson in Exhibit No.__</w:t>
      </w:r>
      <w:proofErr w:type="gramStart"/>
      <w:r>
        <w:rPr>
          <w:rFonts w:eastAsia="Calibri"/>
        </w:rPr>
        <w:t>_(</w:t>
      </w:r>
      <w:proofErr w:type="gramEnd"/>
      <w:r>
        <w:rPr>
          <w:rFonts w:eastAsia="Calibri"/>
        </w:rPr>
        <w:t>WGJ-1T).</w:t>
      </w:r>
    </w:p>
    <w:p w:rsidR="00451C4F" w:rsidRDefault="00451C4F" w:rsidP="00976DDC">
      <w:pPr>
        <w:ind w:left="720"/>
        <w:jc w:val="both"/>
        <w:rPr>
          <w:rFonts w:eastAsia="Calibri"/>
        </w:rPr>
      </w:pPr>
    </w:p>
    <w:p w:rsidR="00976DDC" w:rsidRDefault="00976DDC" w:rsidP="00976DDC">
      <w:pPr>
        <w:ind w:left="720"/>
        <w:jc w:val="both"/>
        <w:rPr>
          <w:rFonts w:eastAsia="Calibri"/>
        </w:rPr>
      </w:pPr>
      <w:r w:rsidRPr="008B7E2A">
        <w:rPr>
          <w:rFonts w:eastAsia="Calibri"/>
          <w:b/>
        </w:rPr>
        <w:t xml:space="preserve">Item </w:t>
      </w:r>
      <w:r>
        <w:rPr>
          <w:rFonts w:eastAsia="Calibri"/>
          <w:b/>
        </w:rPr>
        <w:t>3</w:t>
      </w:r>
      <w:r w:rsidRPr="008B7E2A">
        <w:rPr>
          <w:rFonts w:eastAsia="Calibri"/>
          <w:b/>
        </w:rPr>
        <w:t xml:space="preserve"> – </w:t>
      </w:r>
      <w:r w:rsidR="00451C4F">
        <w:rPr>
          <w:rFonts w:eastAsia="Calibri"/>
          <w:b/>
        </w:rPr>
        <w:t>Planned Capital Additions (</w:t>
      </w:r>
      <w:r w:rsidRPr="008B7E2A">
        <w:rPr>
          <w:rFonts w:eastAsia="Calibri"/>
          <w:b/>
        </w:rPr>
        <w:t xml:space="preserve">Order </w:t>
      </w:r>
      <w:r>
        <w:rPr>
          <w:rFonts w:eastAsia="Calibri"/>
          <w:b/>
        </w:rPr>
        <w:t>Page 38</w:t>
      </w:r>
      <w:r w:rsidRPr="008B7E2A">
        <w:rPr>
          <w:rFonts w:eastAsia="Calibri"/>
          <w:b/>
        </w:rPr>
        <w:t xml:space="preserve">, Paragraphs </w:t>
      </w:r>
      <w:r>
        <w:rPr>
          <w:rFonts w:eastAsia="Calibri"/>
          <w:b/>
        </w:rPr>
        <w:t>114 &amp; 115</w:t>
      </w:r>
      <w:r w:rsidR="00451C4F">
        <w:rPr>
          <w:rFonts w:eastAsia="Calibri"/>
          <w:b/>
        </w:rPr>
        <w:t>)</w:t>
      </w:r>
      <w:r>
        <w:rPr>
          <w:rFonts w:eastAsia="Calibri"/>
        </w:rPr>
        <w:t>:</w:t>
      </w:r>
    </w:p>
    <w:p w:rsidR="00976DDC" w:rsidRPr="00451C4F" w:rsidRDefault="00976DDC" w:rsidP="00976DDC">
      <w:pPr>
        <w:ind w:left="720"/>
        <w:jc w:val="both"/>
        <w:rPr>
          <w:rFonts w:eastAsia="Calibri"/>
          <w:i/>
        </w:rPr>
      </w:pPr>
      <w:r w:rsidRPr="00451C4F">
        <w:rPr>
          <w:rFonts w:eastAsia="Calibri"/>
          <w:i/>
        </w:rPr>
        <w:t>With regard to its planned capital expenditures for calendar year 2013, Avista must file: (1) a progress report on its 2013 capital expenditures on or before September 30, 2013; and (2) a comprehensive report on the final totals for 2013 capital expenditures on or before March 1, 2014. As to the capital expenditures Avista plans to make in calendar year 2014, the Company must file: (1) its capital expenditure plan for 2014 on or before September 30, 2013; and (2) updates on changes in meeting its capital expenditure plan for 2014 and reports on progress in making such capital improvements on June 1, September 1, and December 1, 2014, respectively, for the previous quarters.</w:t>
      </w:r>
    </w:p>
    <w:p w:rsidR="00976DDC" w:rsidRDefault="00976DDC" w:rsidP="00976DDC">
      <w:pPr>
        <w:tabs>
          <w:tab w:val="left" w:pos="1710"/>
        </w:tabs>
        <w:ind w:left="720"/>
        <w:jc w:val="both"/>
        <w:rPr>
          <w:rFonts w:eastAsia="Calibri"/>
        </w:rPr>
      </w:pPr>
    </w:p>
    <w:p w:rsidR="00451C4F" w:rsidRDefault="00451C4F" w:rsidP="00451C4F">
      <w:pPr>
        <w:ind w:left="720"/>
        <w:jc w:val="both"/>
        <w:rPr>
          <w:rFonts w:eastAsia="Calibri"/>
          <w:b/>
        </w:rPr>
      </w:pPr>
      <w:r>
        <w:rPr>
          <w:rFonts w:eastAsia="Calibri"/>
        </w:rPr>
        <w:t xml:space="preserve">This item is addressed by Company witness Mr. De </w:t>
      </w:r>
      <w:proofErr w:type="spellStart"/>
      <w:r>
        <w:rPr>
          <w:rFonts w:eastAsia="Calibri"/>
        </w:rPr>
        <w:t>Felice</w:t>
      </w:r>
      <w:proofErr w:type="spellEnd"/>
      <w:r>
        <w:rPr>
          <w:rFonts w:eastAsia="Calibri"/>
        </w:rPr>
        <w:t xml:space="preserve"> in Exhibit No.__</w:t>
      </w:r>
      <w:proofErr w:type="gramStart"/>
      <w:r>
        <w:rPr>
          <w:rFonts w:eastAsia="Calibri"/>
        </w:rPr>
        <w:t>_(</w:t>
      </w:r>
      <w:proofErr w:type="gramEnd"/>
      <w:r>
        <w:rPr>
          <w:rFonts w:eastAsia="Calibri"/>
        </w:rPr>
        <w:t>DBD-1T).</w:t>
      </w:r>
    </w:p>
    <w:p w:rsidR="00451C4F" w:rsidRDefault="00451C4F" w:rsidP="00976DDC">
      <w:pPr>
        <w:ind w:firstLine="720"/>
        <w:jc w:val="both"/>
        <w:rPr>
          <w:rFonts w:eastAsia="Calibri"/>
          <w:b/>
        </w:rPr>
      </w:pPr>
    </w:p>
    <w:p w:rsidR="00976DDC" w:rsidRDefault="00976DDC" w:rsidP="00976DDC">
      <w:pPr>
        <w:ind w:firstLine="720"/>
        <w:jc w:val="both"/>
        <w:rPr>
          <w:rFonts w:eastAsia="Calibri"/>
        </w:rPr>
      </w:pPr>
      <w:r w:rsidRPr="008B7E2A">
        <w:rPr>
          <w:rFonts w:eastAsia="Calibri"/>
          <w:b/>
        </w:rPr>
        <w:t xml:space="preserve">Item </w:t>
      </w:r>
      <w:r>
        <w:rPr>
          <w:rFonts w:eastAsia="Calibri"/>
          <w:b/>
        </w:rPr>
        <w:t>4</w:t>
      </w:r>
      <w:r w:rsidRPr="008B7E2A">
        <w:rPr>
          <w:rFonts w:eastAsia="Calibri"/>
          <w:b/>
        </w:rPr>
        <w:t xml:space="preserve"> – </w:t>
      </w:r>
      <w:r w:rsidR="00451C4F">
        <w:rPr>
          <w:rFonts w:eastAsia="Calibri"/>
          <w:b/>
        </w:rPr>
        <w:t>Allocation Methods (</w:t>
      </w:r>
      <w:r>
        <w:rPr>
          <w:rFonts w:eastAsia="Calibri"/>
          <w:b/>
        </w:rPr>
        <w:t xml:space="preserve">Stipulation </w:t>
      </w:r>
      <w:r w:rsidRPr="008B7E2A">
        <w:rPr>
          <w:rFonts w:eastAsia="Calibri"/>
          <w:b/>
        </w:rPr>
        <w:t xml:space="preserve">Page </w:t>
      </w:r>
      <w:r>
        <w:rPr>
          <w:rFonts w:eastAsia="Calibri"/>
          <w:b/>
        </w:rPr>
        <w:t>7</w:t>
      </w:r>
      <w:r w:rsidRPr="008B7E2A">
        <w:rPr>
          <w:rFonts w:eastAsia="Calibri"/>
          <w:b/>
        </w:rPr>
        <w:t>, Paragraph</w:t>
      </w:r>
      <w:r>
        <w:rPr>
          <w:rFonts w:eastAsia="Calibri"/>
          <w:b/>
        </w:rPr>
        <w:t xml:space="preserve"> 17</w:t>
      </w:r>
      <w:r w:rsidR="00451C4F">
        <w:rPr>
          <w:rFonts w:eastAsia="Calibri"/>
          <w:b/>
        </w:rPr>
        <w:t>)</w:t>
      </w:r>
      <w:r>
        <w:rPr>
          <w:rFonts w:eastAsia="Calibri"/>
        </w:rPr>
        <w:t>:</w:t>
      </w:r>
    </w:p>
    <w:p w:rsidR="00976DDC" w:rsidRPr="00451C4F" w:rsidRDefault="00451C4F" w:rsidP="00451C4F">
      <w:pPr>
        <w:tabs>
          <w:tab w:val="left" w:pos="1710"/>
        </w:tabs>
        <w:ind w:left="720"/>
        <w:jc w:val="both"/>
        <w:rPr>
          <w:rFonts w:eastAsia="Calibri"/>
          <w:i/>
        </w:rPr>
      </w:pPr>
      <w:r w:rsidRPr="00451C4F">
        <w:rPr>
          <w:rFonts w:eastAsia="Calibri"/>
          <w:i/>
        </w:rPr>
        <w:t>“</w:t>
      </w:r>
      <w:r w:rsidR="00976DDC" w:rsidRPr="00451C4F">
        <w:rPr>
          <w:rFonts w:eastAsia="Calibri"/>
          <w:i/>
        </w:rPr>
        <w:t xml:space="preserve">Avista will provide justification for the service and jurisdictional cost allocation methodologies it employs in its next general rate case filing."   </w:t>
      </w:r>
    </w:p>
    <w:p w:rsidR="00451C4F" w:rsidRDefault="00451C4F" w:rsidP="00451C4F">
      <w:pPr>
        <w:ind w:firstLine="720"/>
        <w:jc w:val="both"/>
        <w:rPr>
          <w:rFonts w:eastAsia="Calibri"/>
        </w:rPr>
      </w:pPr>
    </w:p>
    <w:p w:rsidR="00451C4F" w:rsidRDefault="00451C4F" w:rsidP="00451C4F">
      <w:pPr>
        <w:ind w:firstLine="720"/>
        <w:jc w:val="both"/>
        <w:rPr>
          <w:b/>
        </w:rPr>
      </w:pPr>
      <w:r>
        <w:rPr>
          <w:rFonts w:eastAsia="Calibri"/>
        </w:rPr>
        <w:t>This item is addressed by Ms. Andrews in Exhibit No.__</w:t>
      </w:r>
      <w:proofErr w:type="gramStart"/>
      <w:r>
        <w:rPr>
          <w:rFonts w:eastAsia="Calibri"/>
        </w:rPr>
        <w:t>_(</w:t>
      </w:r>
      <w:proofErr w:type="gramEnd"/>
      <w:r>
        <w:rPr>
          <w:rFonts w:eastAsia="Calibri"/>
        </w:rPr>
        <w:t>EMA-1T).</w:t>
      </w:r>
    </w:p>
    <w:p w:rsidR="002E7F3A" w:rsidRDefault="002E7F3A" w:rsidP="00976DDC">
      <w:pPr>
        <w:spacing w:line="480" w:lineRule="auto"/>
        <w:ind w:firstLine="720"/>
        <w:jc w:val="both"/>
        <w:rPr>
          <w:b/>
        </w:rPr>
      </w:pPr>
    </w:p>
    <w:p w:rsidR="00976DDC" w:rsidRPr="0020672A" w:rsidRDefault="00976DDC" w:rsidP="00976DDC">
      <w:pPr>
        <w:spacing w:line="480" w:lineRule="auto"/>
        <w:ind w:firstLine="720"/>
        <w:jc w:val="both"/>
        <w:rPr>
          <w:b/>
        </w:rPr>
      </w:pPr>
      <w:proofErr w:type="gramStart"/>
      <w:r w:rsidRPr="0020672A">
        <w:rPr>
          <w:b/>
        </w:rPr>
        <w:lastRenderedPageBreak/>
        <w:t xml:space="preserve">Q.  </w:t>
      </w:r>
      <w:r>
        <w:rPr>
          <w:b/>
        </w:rPr>
        <w:tab/>
        <w:t>Were all the requirements in Order No. 09 and the Settlement Stipulation met by the Company prior to filing, or included in, this general rate case?</w:t>
      </w:r>
      <w:proofErr w:type="gramEnd"/>
    </w:p>
    <w:p w:rsidR="00976DDC" w:rsidRPr="004118A9" w:rsidRDefault="00976DDC" w:rsidP="00976DDC">
      <w:pPr>
        <w:spacing w:line="480" w:lineRule="auto"/>
        <w:ind w:firstLine="720"/>
        <w:jc w:val="both"/>
        <w:rPr>
          <w:rFonts w:eastAsia="Calibri"/>
        </w:rPr>
      </w:pPr>
      <w:r w:rsidRPr="0020672A">
        <w:t>A.</w:t>
      </w:r>
      <w:r w:rsidRPr="0020672A">
        <w:rPr>
          <w:b/>
        </w:rPr>
        <w:t xml:space="preserve">  </w:t>
      </w:r>
      <w:r>
        <w:rPr>
          <w:b/>
        </w:rPr>
        <w:tab/>
      </w:r>
      <w:r>
        <w:t>Yes, a</w:t>
      </w:r>
      <w:r>
        <w:rPr>
          <w:rFonts w:eastAsia="Calibri"/>
        </w:rPr>
        <w:t>ll of the items that were required of the Company in Order No. 09 and the Settlement Stipulation were either completed prior to filing this general rate case or are addressed in this docket as required.  Th</w:t>
      </w:r>
      <w:r w:rsidR="00816DD9">
        <w:rPr>
          <w:rFonts w:eastAsia="Calibri"/>
        </w:rPr>
        <w:t xml:space="preserve">is includes </w:t>
      </w:r>
      <w:r>
        <w:rPr>
          <w:rFonts w:eastAsia="Calibri"/>
        </w:rPr>
        <w:t>the capital expenditure reports that are due during the pendency of this general rate case.</w:t>
      </w:r>
    </w:p>
    <w:p w:rsidR="00976DDC" w:rsidRPr="0020672A" w:rsidRDefault="00976DDC" w:rsidP="00976DDC">
      <w:pPr>
        <w:spacing w:line="480" w:lineRule="auto"/>
        <w:ind w:firstLine="720"/>
        <w:jc w:val="both"/>
        <w:rPr>
          <w:b/>
        </w:rPr>
      </w:pPr>
      <w:r w:rsidRPr="0020672A">
        <w:rPr>
          <w:b/>
        </w:rPr>
        <w:t xml:space="preserve">Q.  </w:t>
      </w:r>
      <w:r>
        <w:rPr>
          <w:b/>
        </w:rPr>
        <w:tab/>
        <w:t>Does this conclude your pre-filed, direct testimony?</w:t>
      </w:r>
    </w:p>
    <w:p w:rsidR="00976DDC" w:rsidRPr="00F72F9A" w:rsidRDefault="00976DDC" w:rsidP="00976DDC">
      <w:pPr>
        <w:spacing w:line="480" w:lineRule="auto"/>
        <w:ind w:firstLine="720"/>
        <w:jc w:val="both"/>
      </w:pPr>
      <w:r w:rsidRPr="0020672A">
        <w:t>A.</w:t>
      </w:r>
      <w:r w:rsidRPr="0020672A">
        <w:rPr>
          <w:b/>
        </w:rPr>
        <w:t xml:space="preserve">  </w:t>
      </w:r>
      <w:r>
        <w:rPr>
          <w:b/>
        </w:rPr>
        <w:tab/>
      </w:r>
      <w:r>
        <w:t xml:space="preserve">Yes it does. </w:t>
      </w:r>
    </w:p>
    <w:sectPr w:rsidR="00976DDC" w:rsidRPr="00F72F9A" w:rsidSect="00D32A7D">
      <w:pgSz w:w="12240" w:h="15840" w:code="1"/>
      <w:pgMar w:top="1440" w:right="1440" w:bottom="144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C2B" w:rsidRDefault="00791C2B">
      <w:r>
        <w:separator/>
      </w:r>
    </w:p>
  </w:endnote>
  <w:endnote w:type="continuationSeparator" w:id="0">
    <w:p w:rsidR="00791C2B" w:rsidRDefault="00791C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TC Zapf Dingbat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B" w:rsidRPr="00C372CC" w:rsidRDefault="00791C2B">
    <w:pPr>
      <w:pStyle w:val="Footer"/>
      <w:tabs>
        <w:tab w:val="clear" w:pos="4320"/>
        <w:tab w:val="clear" w:pos="8640"/>
        <w:tab w:val="left" w:pos="180"/>
        <w:tab w:val="right" w:pos="9360"/>
      </w:tabs>
    </w:pPr>
    <w:r w:rsidRPr="00C372CC">
      <w:t>Direct Testimony of Patrick D. Ehrbar</w:t>
    </w:r>
  </w:p>
  <w:p w:rsidR="00791C2B" w:rsidRPr="00C372CC" w:rsidRDefault="00791C2B">
    <w:pPr>
      <w:pStyle w:val="Footer"/>
      <w:tabs>
        <w:tab w:val="clear" w:pos="4320"/>
        <w:tab w:val="clear" w:pos="8640"/>
        <w:tab w:val="left" w:pos="180"/>
        <w:tab w:val="right" w:pos="9360"/>
      </w:tabs>
    </w:pPr>
    <w:r w:rsidRPr="00C372CC">
      <w:t>Avista Corporation</w:t>
    </w:r>
  </w:p>
  <w:p w:rsidR="00791C2B" w:rsidRPr="00C372CC" w:rsidRDefault="00791C2B" w:rsidP="00CA7EA4">
    <w:pPr>
      <w:pStyle w:val="Footer"/>
      <w:tabs>
        <w:tab w:val="clear" w:pos="4320"/>
        <w:tab w:val="clear" w:pos="8640"/>
        <w:tab w:val="left" w:pos="180"/>
        <w:tab w:val="right" w:pos="8910"/>
      </w:tabs>
      <w:rPr>
        <w:rStyle w:val="PageNumber"/>
      </w:rPr>
    </w:pPr>
    <w:r w:rsidRPr="00C372CC">
      <w:t>Docket Nos. UE-1</w:t>
    </w:r>
    <w:r>
      <w:t>4</w:t>
    </w:r>
    <w:r w:rsidRPr="00C372CC">
      <w:t>____ and UG-1</w:t>
    </w:r>
    <w:r>
      <w:t>4</w:t>
    </w:r>
    <w:r w:rsidRPr="00C372CC">
      <w:t>____</w:t>
    </w:r>
    <w:r w:rsidRPr="00C372CC">
      <w:tab/>
      <w:t xml:space="preserve">Page </w:t>
    </w:r>
    <w:r w:rsidRPr="00C372CC">
      <w:rPr>
        <w:rStyle w:val="PageNumber"/>
      </w:rPr>
      <w:fldChar w:fldCharType="begin"/>
    </w:r>
    <w:r w:rsidRPr="00C372CC">
      <w:rPr>
        <w:rStyle w:val="PageNumber"/>
      </w:rPr>
      <w:instrText xml:space="preserve"> PAGE </w:instrText>
    </w:r>
    <w:r w:rsidRPr="00C372CC">
      <w:rPr>
        <w:rStyle w:val="PageNumber"/>
      </w:rPr>
      <w:fldChar w:fldCharType="separate"/>
    </w:r>
    <w:r w:rsidR="00822621">
      <w:rPr>
        <w:rStyle w:val="PageNumber"/>
        <w:noProof/>
      </w:rPr>
      <w:t>1</w:t>
    </w:r>
    <w:r w:rsidRPr="00C372CC">
      <w:rPr>
        <w:rStyle w:val="PageNumber"/>
      </w:rPr>
      <w:fldChar w:fldCharType="end"/>
    </w:r>
  </w:p>
  <w:p w:rsidR="00791C2B" w:rsidRPr="00C66B50" w:rsidRDefault="00791C2B">
    <w:pPr>
      <w:pStyle w:val="Footer"/>
      <w:tabs>
        <w:tab w:val="clear" w:pos="4320"/>
        <w:tab w:val="clear" w:pos="8640"/>
        <w:tab w:val="left" w:pos="180"/>
        <w:tab w:val="right" w:pos="9360"/>
      </w:tabs>
      <w:rPr>
        <w:sz w:val="22"/>
        <w:szCs w:val="2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B" w:rsidRDefault="00791C2B">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C2B" w:rsidRDefault="00791C2B">
      <w:r>
        <w:separator/>
      </w:r>
    </w:p>
  </w:footnote>
  <w:footnote w:type="continuationSeparator" w:id="0">
    <w:p w:rsidR="00791C2B" w:rsidRDefault="00791C2B">
      <w:r>
        <w:continuationSeparator/>
      </w:r>
    </w:p>
  </w:footnote>
  <w:footnote w:id="1">
    <w:p w:rsidR="00791C2B" w:rsidRDefault="00791C2B">
      <w:pPr>
        <w:pStyle w:val="FootnoteText"/>
      </w:pPr>
      <w:r>
        <w:rPr>
          <w:rStyle w:val="FootnoteReference"/>
        </w:rPr>
        <w:footnoteRef/>
      </w:r>
      <w:r>
        <w:t xml:space="preserve"> Dockets UE-120436 and UG-120437, Order No. 09.</w:t>
      </w:r>
    </w:p>
  </w:footnote>
  <w:footnote w:id="2">
    <w:p w:rsidR="00791C2B" w:rsidRDefault="00791C2B" w:rsidP="004A14EC">
      <w:pPr>
        <w:pStyle w:val="FootnoteText"/>
        <w:jc w:val="both"/>
      </w:pPr>
      <w:r>
        <w:rPr>
          <w:rStyle w:val="FootnoteReference"/>
        </w:rPr>
        <w:footnoteRef/>
      </w:r>
      <w:r>
        <w:t xml:space="preserve"> Included in present billing rates is a refund of approximately $9.0 million from the Energy Recovery Mechanism Schedule 93 (as approved in Docket UE-120436), and a refund of approximately $4.3 million from the Bonneville Power Settlement (Docket UE-</w:t>
      </w:r>
      <w:r w:rsidRPr="00E66914">
        <w:t>130536</w:t>
      </w:r>
      <w:r>
        <w:t>).   Effective January 1, 2015, the rebates associated with the ERM and BPA Settlement will expire.</w:t>
      </w:r>
    </w:p>
  </w:footnote>
  <w:footnote w:id="3">
    <w:p w:rsidR="00791C2B" w:rsidRDefault="00791C2B" w:rsidP="003A16ED">
      <w:pPr>
        <w:pStyle w:val="FootnoteText"/>
        <w:jc w:val="both"/>
      </w:pPr>
      <w:r>
        <w:rPr>
          <w:rStyle w:val="FootnoteReference"/>
        </w:rPr>
        <w:footnoteRef/>
      </w:r>
      <w:r>
        <w:t xml:space="preserve"> The proposed increase in natural gas revenues of 8.1% includes revenues from base tariffs as well as the current cost of natural gas included in Schedule 150.</w:t>
      </w:r>
    </w:p>
  </w:footnote>
  <w:footnote w:id="4">
    <w:p w:rsidR="00791C2B" w:rsidRPr="009D7F10" w:rsidRDefault="00791C2B" w:rsidP="003A16ED">
      <w:pPr>
        <w:pStyle w:val="TestBody"/>
        <w:widowControl w:val="0"/>
        <w:tabs>
          <w:tab w:val="left" w:pos="1440"/>
        </w:tabs>
        <w:spacing w:line="240" w:lineRule="auto"/>
        <w:ind w:left="0" w:firstLine="0"/>
        <w:rPr>
          <w:rFonts w:ascii="Times New Roman" w:hAnsi="Times New Roman" w:cs="Times New Roman"/>
          <w:sz w:val="20"/>
          <w:szCs w:val="20"/>
        </w:rPr>
      </w:pPr>
      <w:r w:rsidRPr="009D7F10">
        <w:rPr>
          <w:rStyle w:val="FootnoteReference"/>
          <w:rFonts w:ascii="Times New Roman" w:hAnsi="Times New Roman"/>
          <w:sz w:val="20"/>
          <w:szCs w:val="20"/>
        </w:rPr>
        <w:footnoteRef/>
      </w:r>
      <w:r w:rsidRPr="009D7F10">
        <w:rPr>
          <w:rFonts w:ascii="Times New Roman" w:hAnsi="Times New Roman" w:cs="Times New Roman"/>
          <w:sz w:val="20"/>
          <w:szCs w:val="20"/>
        </w:rPr>
        <w:t xml:space="preserve"> For Schedule 146, including an estimate of </w:t>
      </w:r>
      <w:r>
        <w:rPr>
          <w:rFonts w:ascii="Times New Roman" w:hAnsi="Times New Roman" w:cs="Times New Roman"/>
          <w:sz w:val="20"/>
          <w:szCs w:val="20"/>
        </w:rPr>
        <w:t>50</w:t>
      </w:r>
      <w:r w:rsidRPr="009D7F10">
        <w:rPr>
          <w:rFonts w:ascii="Times New Roman" w:hAnsi="Times New Roman" w:cs="Times New Roman"/>
          <w:sz w:val="20"/>
          <w:szCs w:val="20"/>
        </w:rPr>
        <w:t xml:space="preserve">.0 cents per therm for the cost of natural gas and pipeline transportation, the proposed increase to Schedule 146 rates represents an average increase of </w:t>
      </w:r>
      <w:r>
        <w:rPr>
          <w:rFonts w:ascii="Times New Roman" w:hAnsi="Times New Roman" w:cs="Times New Roman"/>
          <w:sz w:val="20"/>
          <w:szCs w:val="20"/>
        </w:rPr>
        <w:t>2.3</w:t>
      </w:r>
      <w:r w:rsidRPr="009D7F10">
        <w:rPr>
          <w:rFonts w:ascii="Times New Roman" w:hAnsi="Times New Roman" w:cs="Times New Roman"/>
          <w:sz w:val="20"/>
          <w:szCs w:val="20"/>
        </w:rPr>
        <w:t>% in those customers’ total natural gas bill.</w:t>
      </w:r>
    </w:p>
    <w:p w:rsidR="00791C2B" w:rsidRDefault="00791C2B" w:rsidP="00E66914">
      <w:pPr>
        <w:pStyle w:val="FootnoteText"/>
        <w:jc w:val="both"/>
      </w:pPr>
    </w:p>
  </w:footnote>
  <w:footnote w:id="5">
    <w:p w:rsidR="00791C2B" w:rsidRDefault="00791C2B" w:rsidP="00E66914">
      <w:pPr>
        <w:pStyle w:val="FootnoteText"/>
        <w:jc w:val="both"/>
      </w:pPr>
      <w:r w:rsidRPr="00287B1F">
        <w:rPr>
          <w:rStyle w:val="FootnoteReference"/>
        </w:rPr>
        <w:footnoteRef/>
      </w:r>
      <w:r w:rsidRPr="00287B1F">
        <w:t xml:space="preserve"> </w:t>
      </w:r>
      <w:proofErr w:type="gramStart"/>
      <w:r w:rsidRPr="00287B1F">
        <w:t>Knox Exhibit No.</w:t>
      </w:r>
      <w:proofErr w:type="gramEnd"/>
      <w:r w:rsidRPr="00287B1F">
        <w:t xml:space="preserve"> __</w:t>
      </w:r>
      <w:proofErr w:type="gramStart"/>
      <w:r w:rsidRPr="00287B1F">
        <w:t>_(</w:t>
      </w:r>
      <w:proofErr w:type="gramEnd"/>
      <w:r w:rsidRPr="00287B1F">
        <w:t xml:space="preserve">TLK-4), at 3 </w:t>
      </w:r>
      <w:proofErr w:type="spellStart"/>
      <w:r w:rsidRPr="00287B1F">
        <w:t>ln</w:t>
      </w:r>
      <w:proofErr w:type="spellEnd"/>
      <w:r w:rsidRPr="00287B1F">
        <w:t>.</w:t>
      </w:r>
      <w:r>
        <w:t xml:space="preserve"> </w:t>
      </w:r>
      <w:r w:rsidRPr="00287B1F">
        <w:t>28</w:t>
      </w:r>
    </w:p>
  </w:footnote>
  <w:footnote w:id="6">
    <w:p w:rsidR="00791C2B" w:rsidRDefault="00791C2B" w:rsidP="0008235E">
      <w:pPr>
        <w:pStyle w:val="FootnoteText"/>
        <w:jc w:val="both"/>
      </w:pPr>
      <w:r>
        <w:rPr>
          <w:rStyle w:val="FootnoteReference"/>
        </w:rPr>
        <w:footnoteRef/>
      </w:r>
      <w:r>
        <w:t xml:space="preserve"> The components would be updated with the final approved capital structure, gross-up factor, and depreciation factor as ordered by the Commission at the culmination of this general rate case.</w:t>
      </w:r>
    </w:p>
  </w:footnote>
  <w:footnote w:id="7">
    <w:p w:rsidR="00791C2B" w:rsidRDefault="00791C2B" w:rsidP="0008235E">
      <w:pPr>
        <w:pStyle w:val="FootnoteText"/>
        <w:jc w:val="both"/>
      </w:pPr>
      <w:r>
        <w:rPr>
          <w:rStyle w:val="FootnoteReference"/>
        </w:rPr>
        <w:footnoteRef/>
      </w:r>
      <w:r>
        <w:t xml:space="preserve"> The Capital Recovery Factor is derived by adding together the Company’s approved weighted Cost of Capital, grossed up for revenue related expenses, and the effective depreciation rate for all Street and Area Lights (FERC Account 373) from the Company’s Cost of Service study.</w:t>
      </w:r>
    </w:p>
  </w:footnote>
  <w:footnote w:id="8">
    <w:p w:rsidR="00791C2B" w:rsidRDefault="00791C2B" w:rsidP="0008235E">
      <w:pPr>
        <w:pStyle w:val="FootnoteText"/>
        <w:jc w:val="both"/>
      </w:pPr>
      <w:r>
        <w:rPr>
          <w:rStyle w:val="FootnoteReference"/>
        </w:rPr>
        <w:footnoteRef/>
      </w:r>
      <w:r>
        <w:t xml:space="preserve"> </w:t>
      </w:r>
      <w:r w:rsidRPr="00FE74A8">
        <w:t xml:space="preserve">The </w:t>
      </w:r>
      <w:r>
        <w:t>maintenance component</w:t>
      </w:r>
      <w:r w:rsidRPr="00FE74A8">
        <w:t xml:space="preserve"> for an </w:t>
      </w:r>
      <w:r w:rsidRPr="002A7002">
        <w:rPr>
          <w:u w:val="single"/>
        </w:rPr>
        <w:t>existing</w:t>
      </w:r>
      <w:r w:rsidRPr="00FE74A8">
        <w:t xml:space="preserve"> light can be derived by subtracting the</w:t>
      </w:r>
      <w:r>
        <w:t xml:space="preserve"> Schedule 46 (energy) light code monthly charge from the same Schedule 44 light code monthly charge (</w:t>
      </w:r>
      <w:r w:rsidRPr="00FE74A8">
        <w:t>maintenance and energy</w:t>
      </w:r>
      <w:r>
        <w:t>)</w:t>
      </w:r>
      <w:r w:rsidRPr="00FE74A8">
        <w:t xml:space="preserve">.  </w:t>
      </w:r>
      <w:r w:rsidRPr="00D37769">
        <w:t xml:space="preserve">The maintenance component for a </w:t>
      </w:r>
      <w:r w:rsidRPr="002A7002">
        <w:rPr>
          <w:u w:val="single"/>
        </w:rPr>
        <w:t>new</w:t>
      </w:r>
      <w:r w:rsidRPr="00D37769">
        <w:t xml:space="preserve"> lighting standard that is outside of what is in the Company’s present offerings will be based on an engineering estimate of the monthly maintenance cost grossed up for revenue related expenses.</w:t>
      </w:r>
    </w:p>
  </w:footnote>
  <w:footnote w:id="9">
    <w:p w:rsidR="00791C2B" w:rsidRDefault="00791C2B" w:rsidP="0080740D">
      <w:pPr>
        <w:pStyle w:val="FootnoteText"/>
        <w:jc w:val="both"/>
      </w:pPr>
      <w:r>
        <w:rPr>
          <w:rStyle w:val="FootnoteReference"/>
        </w:rPr>
        <w:footnoteRef/>
      </w:r>
      <w:r>
        <w:t xml:space="preserve"> The calculation of the minimum charge for Schedule 111 is equal to the total bill for 200 therms priced at Schedule 101 base rates (excluding Schedule 150 gas costs).</w:t>
      </w:r>
    </w:p>
  </w:footnote>
  <w:footnote w:id="10">
    <w:p w:rsidR="00791C2B" w:rsidRDefault="00791C2B" w:rsidP="00E66914">
      <w:pPr>
        <w:pStyle w:val="FootnoteText"/>
        <w:jc w:val="both"/>
      </w:pPr>
      <w:r w:rsidRPr="00EB082C">
        <w:rPr>
          <w:rStyle w:val="FootnoteReference"/>
        </w:rPr>
        <w:footnoteRef/>
      </w:r>
      <w:r w:rsidRPr="00EB082C">
        <w:t xml:space="preserve"> </w:t>
      </w:r>
      <w:proofErr w:type="gramStart"/>
      <w:r>
        <w:t xml:space="preserve">Harper, </w:t>
      </w:r>
      <w:r w:rsidRPr="00EB082C">
        <w:t>Exhibit No.</w:t>
      </w:r>
      <w:proofErr w:type="gramEnd"/>
      <w:r w:rsidRPr="00EB082C">
        <w:t xml:space="preserve"> </w:t>
      </w:r>
      <w:r w:rsidRPr="0031526F">
        <w:t>__</w:t>
      </w:r>
      <w:proofErr w:type="gramStart"/>
      <w:r w:rsidRPr="0031526F">
        <w:t>_(</w:t>
      </w:r>
      <w:proofErr w:type="gramEnd"/>
      <w:r>
        <w:t>SAH</w:t>
      </w:r>
      <w:r w:rsidRPr="00EA75E7">
        <w:t>-2)</w:t>
      </w:r>
      <w:r>
        <w:t>, p</w:t>
      </w:r>
      <w:r w:rsidRPr="00EB082C">
        <w:t xml:space="preserve"> 1.5</w:t>
      </w:r>
      <w:r>
        <w:t>.</w:t>
      </w:r>
    </w:p>
  </w:footnote>
  <w:footnote w:id="11">
    <w:p w:rsidR="00791C2B" w:rsidRDefault="00791C2B" w:rsidP="00CF4E3A">
      <w:pPr>
        <w:pStyle w:val="FootnoteText"/>
        <w:jc w:val="both"/>
      </w:pPr>
      <w:r>
        <w:rPr>
          <w:rStyle w:val="FootnoteReference"/>
        </w:rPr>
        <w:footnoteRef/>
      </w:r>
      <w:r>
        <w:t xml:space="preserve"> Customer usage extracted from the Company’s billing system were from Schedule 1 customers that had their account open during the entire test year, i.e., from July 1, 2012 through June 30, 2013.  Any accounts opened for a partial year were excluded.  Further, the Company is aware that the limited income population used for this analysis is not </w:t>
      </w:r>
      <w:proofErr w:type="gramStart"/>
      <w:r>
        <w:t>comprehensive,</w:t>
      </w:r>
      <w:proofErr w:type="gramEnd"/>
      <w:r>
        <w:t xml:space="preserve"> however the Company does not track customer incomes and therefore could only rely upon LIHEAP and LIRAP participants to be the proxy group for the limited income population.</w:t>
      </w:r>
    </w:p>
  </w:footnote>
  <w:footnote w:id="12">
    <w:p w:rsidR="00791C2B" w:rsidRDefault="00791C2B" w:rsidP="00E66914">
      <w:pPr>
        <w:pStyle w:val="FootnoteText"/>
        <w:jc w:val="both"/>
      </w:pPr>
      <w:r>
        <w:rPr>
          <w:rStyle w:val="FootnoteReference"/>
        </w:rPr>
        <w:footnoteRef/>
      </w:r>
      <w:r>
        <w:t xml:space="preserve"> </w:t>
      </w:r>
      <w:proofErr w:type="gramStart"/>
      <w:r>
        <w:t>Avista Docket UG-060518, “Evaluation of Avista Gas Decoupling Mechanism Pilot”, p. 81, Table K-10.</w:t>
      </w:r>
      <w:proofErr w:type="gramEnd"/>
    </w:p>
  </w:footnote>
  <w:footnote w:id="13">
    <w:p w:rsidR="00791C2B" w:rsidRDefault="00791C2B" w:rsidP="00E66914">
      <w:pPr>
        <w:pStyle w:val="FootnoteText"/>
        <w:jc w:val="both"/>
      </w:pPr>
      <w:r>
        <w:rPr>
          <w:rStyle w:val="FootnoteReference"/>
        </w:rPr>
        <w:footnoteRef/>
      </w:r>
      <w:r>
        <w:t xml:space="preserve"> Johnson Exhibit No.__</w:t>
      </w:r>
      <w:proofErr w:type="gramStart"/>
      <w:r>
        <w:t>_(</w:t>
      </w:r>
      <w:proofErr w:type="gramEnd"/>
      <w:r>
        <w:t>WGJ-4).  See annual “Average Market Sale and Purchase Price per MWH”.</w:t>
      </w:r>
    </w:p>
  </w:footnote>
  <w:footnote w:id="14">
    <w:p w:rsidR="00791C2B" w:rsidRDefault="00791C2B" w:rsidP="008E1B2E">
      <w:pPr>
        <w:pStyle w:val="FootnoteText"/>
        <w:jc w:val="both"/>
      </w:pPr>
      <w:r w:rsidRPr="00AD0D54">
        <w:rPr>
          <w:rStyle w:val="FootnoteReference"/>
        </w:rPr>
        <w:footnoteRef/>
      </w:r>
      <w:r w:rsidRPr="00AD0D54">
        <w:t xml:space="preserve"> Docket U-100522, Report And Policy Statement On Regulatory Mechanisms, Including Decoupling, To Encourage Utilities To Meet Or Exceed Their Conservation Targets, p. 27.</w:t>
      </w:r>
    </w:p>
  </w:footnote>
  <w:footnote w:id="15">
    <w:p w:rsidR="00791C2B" w:rsidRDefault="00791C2B" w:rsidP="00C227DF">
      <w:pPr>
        <w:pStyle w:val="FootnoteText"/>
        <w:jc w:val="both"/>
      </w:pPr>
      <w:r>
        <w:rPr>
          <w:rStyle w:val="FootnoteReference"/>
        </w:rPr>
        <w:footnoteRef/>
      </w:r>
      <w:r>
        <w:t xml:space="preserve"> See Exhibit No.__</w:t>
      </w:r>
      <w:proofErr w:type="gramStart"/>
      <w:r>
        <w:t>_(</w:t>
      </w:r>
      <w:proofErr w:type="gramEnd"/>
      <w:r>
        <w:t>WGJ-7) for the Retail Revenue Credit of 0.03360/kWh.  As shown on page 1 of Exhibit No.__</w:t>
      </w:r>
      <w:proofErr w:type="gramStart"/>
      <w:r>
        <w:t>_(</w:t>
      </w:r>
      <w:proofErr w:type="gramEnd"/>
      <w:r>
        <w:t>PDE-9), the Retail Revenue Credit has been grossed up for revenue related expenses to $0.03518/kWh.</w:t>
      </w:r>
    </w:p>
  </w:footnote>
  <w:footnote w:id="16">
    <w:p w:rsidR="00791C2B" w:rsidRDefault="00791C2B" w:rsidP="00103076">
      <w:pPr>
        <w:pStyle w:val="FootnoteText"/>
        <w:jc w:val="both"/>
      </w:pPr>
      <w:r>
        <w:rPr>
          <w:rStyle w:val="FootnoteReference"/>
        </w:rPr>
        <w:footnoteRef/>
      </w:r>
      <w:r>
        <w:t xml:space="preserve"> </w:t>
      </w:r>
      <w:r w:rsidRPr="00132707">
        <w:t xml:space="preserve">Interest </w:t>
      </w:r>
      <w:r>
        <w:t>would</w:t>
      </w:r>
      <w:r w:rsidRPr="00132707">
        <w:t xml:space="preserve"> be accrued on the unamortized balance in the </w:t>
      </w:r>
      <w:r>
        <w:t>d</w:t>
      </w:r>
      <w:r w:rsidRPr="00132707">
        <w:t xml:space="preserve">ecoupling </w:t>
      </w:r>
      <w:r>
        <w:t>balancing a</w:t>
      </w:r>
      <w:r w:rsidRPr="00132707">
        <w:t>ccount</w:t>
      </w:r>
      <w:r>
        <w:t>s</w:t>
      </w:r>
      <w:r w:rsidRPr="00132707">
        <w:t xml:space="preserve"> at the quar</w:t>
      </w:r>
      <w:r>
        <w:t>terly rate published by the</w:t>
      </w:r>
      <w:r w:rsidRPr="004B4C53">
        <w:t xml:space="preserve"> Federal Energy Regulatory Commission (“FERC”)</w:t>
      </w:r>
    </w:p>
  </w:footnote>
  <w:footnote w:id="17">
    <w:p w:rsidR="00791C2B" w:rsidRDefault="00791C2B" w:rsidP="00103076">
      <w:pPr>
        <w:pStyle w:val="FootnoteText"/>
        <w:jc w:val="both"/>
      </w:pPr>
      <w:r>
        <w:rPr>
          <w:rStyle w:val="FootnoteReference"/>
        </w:rPr>
        <w:footnoteRef/>
      </w:r>
      <w:r>
        <w:t xml:space="preserve"> Note that the deferral calculations would be completed at the revenue level.  The actual deferral would have an additional calculation to remove revenue related expenses.  The final deferred balance which the Company would file for later rebate or recovery from customers would then be grossed up for revenue related expenses.</w:t>
      </w:r>
    </w:p>
  </w:footnote>
  <w:footnote w:id="18">
    <w:p w:rsidR="00791C2B" w:rsidRDefault="00791C2B" w:rsidP="004034D5">
      <w:pPr>
        <w:pStyle w:val="FootnoteText"/>
        <w:jc w:val="both"/>
      </w:pPr>
      <w:r>
        <w:rPr>
          <w:rStyle w:val="FootnoteReference"/>
        </w:rPr>
        <w:footnoteRef/>
      </w:r>
      <w:r>
        <w:t xml:space="preserve"> The proposed effective date for rates in this general rate case is January 1, 2015.  The Company proposes that the first deferral period would be the six-month time period of January 1, 2015 through June 30, 2015, and would then be based on a July – June deferral period thereafter.</w:t>
      </w:r>
    </w:p>
  </w:footnote>
  <w:footnote w:id="19">
    <w:p w:rsidR="00791C2B" w:rsidRDefault="00791C2B" w:rsidP="004034D5">
      <w:pPr>
        <w:pStyle w:val="FootnoteText"/>
        <w:spacing w:before="60"/>
      </w:pPr>
      <w:r>
        <w:rPr>
          <w:rStyle w:val="FootnoteReference"/>
        </w:rPr>
        <w:footnoteRef/>
      </w:r>
      <w:r>
        <w:t xml:space="preserve"> </w:t>
      </w:r>
      <w:proofErr w:type="gramStart"/>
      <w:r>
        <w:t>18 CFR 35.19a.</w:t>
      </w:r>
      <w:proofErr w:type="gramEnd"/>
    </w:p>
  </w:footnote>
  <w:footnote w:id="20">
    <w:p w:rsidR="00791C2B" w:rsidRDefault="00791C2B" w:rsidP="00D57309">
      <w:pPr>
        <w:pStyle w:val="FootnoteText"/>
        <w:jc w:val="both"/>
      </w:pPr>
      <w:r>
        <w:rPr>
          <w:rStyle w:val="FootnoteReference"/>
        </w:rPr>
        <w:footnoteRef/>
      </w:r>
      <w:r>
        <w:t xml:space="preserve"> </w:t>
      </w:r>
      <w:r w:rsidRPr="00132707">
        <w:t xml:space="preserve">Interest </w:t>
      </w:r>
      <w:r>
        <w:t>would</w:t>
      </w:r>
      <w:r w:rsidRPr="00132707">
        <w:t xml:space="preserve"> be accrued on the unamortized balance in the </w:t>
      </w:r>
      <w:r>
        <w:t>d</w:t>
      </w:r>
      <w:r w:rsidRPr="00132707">
        <w:t xml:space="preserve">ecoupling </w:t>
      </w:r>
      <w:r>
        <w:t>balancing a</w:t>
      </w:r>
      <w:r w:rsidRPr="00132707">
        <w:t>ccount</w:t>
      </w:r>
      <w:r>
        <w:t>s</w:t>
      </w:r>
      <w:r w:rsidRPr="00132707">
        <w:t xml:space="preserve"> at the quar</w:t>
      </w:r>
      <w:r>
        <w:t>terly rate published by the</w:t>
      </w:r>
      <w:r w:rsidRPr="004B4C53">
        <w:t xml:space="preserve"> Federal Energy Regulatory Commission (“FERC”)</w:t>
      </w:r>
    </w:p>
  </w:footnote>
  <w:footnote w:id="21">
    <w:p w:rsidR="00791C2B" w:rsidRDefault="00791C2B" w:rsidP="00D57309">
      <w:pPr>
        <w:pStyle w:val="FootnoteText"/>
        <w:jc w:val="both"/>
      </w:pPr>
      <w:r>
        <w:rPr>
          <w:rStyle w:val="FootnoteReference"/>
        </w:rPr>
        <w:footnoteRef/>
      </w:r>
      <w:r>
        <w:t xml:space="preserve"> Note that the deferral calculations would be completed at the revenue level.  The actual deferral would have an additional calculation to remove revenue related expenses.  The final deferred balance which the Company would file for later rebate or recovery from customers would then be grossed up for revenue related expenses.</w:t>
      </w:r>
    </w:p>
  </w:footnote>
  <w:footnote w:id="22">
    <w:p w:rsidR="00791C2B" w:rsidRDefault="00791C2B">
      <w:pPr>
        <w:pStyle w:val="FootnoteText"/>
      </w:pPr>
      <w:r>
        <w:rPr>
          <w:rStyle w:val="FootnoteReference"/>
        </w:rPr>
        <w:footnoteRef/>
      </w:r>
      <w:r>
        <w:t xml:space="preserve"> </w:t>
      </w:r>
      <w:r w:rsidRPr="00291484">
        <w:t>Docket U-100522</w:t>
      </w:r>
      <w:r>
        <w:t xml:space="preserve"> – “</w:t>
      </w:r>
      <w:r w:rsidRPr="00291484">
        <w:t>Report And Policy Statement On Regulatory Mechanisms, Including Decoupling, To Encourage Utilities To Meet Or Exceed</w:t>
      </w:r>
      <w:r>
        <w:t xml:space="preserve"> Their Conservation Targets”.</w:t>
      </w:r>
    </w:p>
  </w:footnote>
  <w:footnote w:id="23">
    <w:p w:rsidR="00791C2B" w:rsidRDefault="00791C2B" w:rsidP="0075372F">
      <w:pPr>
        <w:pStyle w:val="FootnoteText"/>
      </w:pPr>
      <w:r>
        <w:rPr>
          <w:rStyle w:val="FootnoteReference"/>
        </w:rPr>
        <w:footnoteRef/>
      </w:r>
      <w:r>
        <w:t xml:space="preserve"> Docket Nos. </w:t>
      </w:r>
      <w:proofErr w:type="gramStart"/>
      <w:r>
        <w:t>UE-121697 and UG-121705, Order No. 7, ¶95.</w:t>
      </w:r>
      <w:proofErr w:type="gramEnd"/>
    </w:p>
  </w:footnote>
  <w:footnote w:id="24">
    <w:p w:rsidR="00791C2B" w:rsidRPr="004E0430" w:rsidRDefault="00791C2B" w:rsidP="0075372F">
      <w:pPr>
        <w:pStyle w:val="FootnoteText"/>
        <w:jc w:val="both"/>
      </w:pPr>
      <w:r w:rsidRPr="004E0430">
        <w:rPr>
          <w:rStyle w:val="FootnoteReference"/>
        </w:rPr>
        <w:footnoteRef/>
      </w:r>
      <w:r w:rsidRPr="004E0430">
        <w:t xml:space="preserve"> </w:t>
      </w:r>
      <w:r>
        <w:t xml:space="preserve">Docket U-100522, </w:t>
      </w:r>
      <w:r w:rsidRPr="004E0430">
        <w:t>Report and Policy Statement on Regulatory Mechanisms, Including Decoupling, to Encourage Utilities to Meet or Exceed Their Conservation Targets, November 2010, Page 3.</w:t>
      </w:r>
    </w:p>
  </w:footnote>
  <w:footnote w:id="25">
    <w:p w:rsidR="00791C2B" w:rsidRPr="004E0430" w:rsidRDefault="00791C2B" w:rsidP="0075372F">
      <w:pPr>
        <w:pStyle w:val="FootnoteText"/>
        <w:jc w:val="both"/>
      </w:pPr>
      <w:r w:rsidRPr="004E0430">
        <w:rPr>
          <w:rStyle w:val="FootnoteReference"/>
        </w:rPr>
        <w:footnoteRef/>
      </w:r>
      <w:r w:rsidRPr="004E0430">
        <w:t xml:space="preserve"> Avista Utilities Low Income Energy Efficiency Report, Docket</w:t>
      </w:r>
      <w:r>
        <w:t>s</w:t>
      </w:r>
      <w:r w:rsidRPr="004E0430">
        <w:t xml:space="preserve"> UE-090134</w:t>
      </w:r>
      <w:r>
        <w:t xml:space="preserve">, UG-090135 and UG-060518 (consolidated), Compliance Filing, </w:t>
      </w:r>
      <w:r w:rsidRPr="004E0430">
        <w:t>September 2010.</w:t>
      </w:r>
    </w:p>
  </w:footnote>
  <w:footnote w:id="26">
    <w:p w:rsidR="00791C2B" w:rsidRPr="004E0430" w:rsidRDefault="00791C2B" w:rsidP="0075372F">
      <w:pPr>
        <w:pStyle w:val="FootnoteText"/>
        <w:jc w:val="both"/>
      </w:pPr>
      <w:r w:rsidRPr="004E0430">
        <w:rPr>
          <w:rStyle w:val="FootnoteReference"/>
        </w:rPr>
        <w:footnoteRef/>
      </w:r>
      <w:r w:rsidRPr="004E0430">
        <w:t xml:space="preserve"> </w:t>
      </w:r>
      <w:proofErr w:type="gramStart"/>
      <w:r w:rsidRPr="004E0430">
        <w:t>20</w:t>
      </w:r>
      <w:r>
        <w:t>10</w:t>
      </w:r>
      <w:r w:rsidRPr="004E0430">
        <w:t xml:space="preserve"> </w:t>
      </w:r>
      <w:r>
        <w:t>Triple E Report</w:t>
      </w:r>
      <w:r w:rsidRPr="004E0430">
        <w:t>.</w:t>
      </w:r>
      <w:proofErr w:type="gramEnd"/>
    </w:p>
  </w:footnote>
  <w:footnote w:id="27">
    <w:p w:rsidR="00791C2B" w:rsidRPr="004E0430" w:rsidRDefault="00791C2B" w:rsidP="0075372F">
      <w:pPr>
        <w:pStyle w:val="FootnoteText"/>
        <w:jc w:val="both"/>
      </w:pPr>
      <w:r w:rsidRPr="004E0430">
        <w:rPr>
          <w:rStyle w:val="FootnoteReference"/>
        </w:rPr>
        <w:footnoteRef/>
      </w:r>
      <w:r w:rsidRPr="004E0430">
        <w:t xml:space="preserve"> Avista Utilities Low Income Energy Efficiency Report, Docket</w:t>
      </w:r>
      <w:r>
        <w:t>s</w:t>
      </w:r>
      <w:r w:rsidRPr="004E0430">
        <w:t xml:space="preserve"> UE-090134</w:t>
      </w:r>
      <w:r>
        <w:t>, UG-090135 and UG-060518 (consolidated), Compliance Filing, September 2010,</w:t>
      </w:r>
      <w:r w:rsidRPr="004E0430">
        <w:t xml:space="preserve"> Page 4.</w:t>
      </w:r>
    </w:p>
  </w:footnote>
  <w:footnote w:id="28">
    <w:p w:rsidR="00791C2B" w:rsidRDefault="00791C2B" w:rsidP="00846B6E">
      <w:pPr>
        <w:pStyle w:val="FootnoteText"/>
        <w:jc w:val="both"/>
      </w:pPr>
      <w:r>
        <w:rPr>
          <w:rStyle w:val="FootnoteReference"/>
        </w:rPr>
        <w:footnoteRef/>
      </w:r>
      <w:r>
        <w:t xml:space="preserve"> The cost of the evaluation would be allocated to the mechanisms using the total Allowed Non-Power Supply ($236.6 million) and Allowed Non-PGA ($51.3 million) revenues.  Within the mechanism, the cost would be spread to the Rate Groups based on each group’s share of the total revenue.</w:t>
      </w:r>
    </w:p>
  </w:footnote>
  <w:footnote w:id="29">
    <w:p w:rsidR="00791C2B" w:rsidRDefault="00791C2B" w:rsidP="0075372F">
      <w:pPr>
        <w:pStyle w:val="FootnoteText"/>
      </w:pPr>
      <w:r>
        <w:rPr>
          <w:rStyle w:val="FootnoteReference"/>
        </w:rPr>
        <w:footnoteRef/>
      </w:r>
      <w:r>
        <w:t xml:space="preserve"> </w:t>
      </w:r>
      <w:proofErr w:type="gramStart"/>
      <w:r>
        <w:t>Inclusive of booked billed revenue, booked unbilled revenue and the weather adjustment.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B" w:rsidRDefault="00791C2B">
    <w:pPr>
      <w:pStyle w:val="Header"/>
      <w:jc w:val="right"/>
    </w:pPr>
    <w:r>
      <w:t>Exhibit No. __</w:t>
    </w:r>
    <w:proofErr w:type="gramStart"/>
    <w:r>
      <w:t>_(</w:t>
    </w:r>
    <w:proofErr w:type="gramEnd"/>
    <w:r>
      <w:t>PDE-1T)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B" w:rsidRDefault="00791C2B" w:rsidP="007B58C5">
    <w:pPr>
      <w:pStyle w:val="Header"/>
      <w:jc w:val="right"/>
    </w:pPr>
    <w:r>
      <w:t>Exhibit No. __</w:t>
    </w:r>
    <w:proofErr w:type="gramStart"/>
    <w:r>
      <w:t>_(</w:t>
    </w:r>
    <w:proofErr w:type="gramEnd"/>
    <w:r>
      <w:t>PDE-1T)</w:t>
    </w:r>
  </w:p>
  <w:p w:rsidR="00791C2B" w:rsidRDefault="00791C2B"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017"/>
    <w:multiLevelType w:val="hybridMultilevel"/>
    <w:tmpl w:val="C2863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0F0A25AE"/>
    <w:multiLevelType w:val="hybridMultilevel"/>
    <w:tmpl w:val="CE447D62"/>
    <w:lvl w:ilvl="0" w:tplc="1FCACEF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7">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8">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9">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1">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2">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3">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4">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5">
    <w:nsid w:val="227A56D3"/>
    <w:multiLevelType w:val="hybridMultilevel"/>
    <w:tmpl w:val="7EA28972"/>
    <w:lvl w:ilvl="0" w:tplc="4D6EE88E">
      <w:start w:val="1"/>
      <w:numFmt w:val="upperLetter"/>
      <w:lvlText w:val="%1."/>
      <w:lvlJc w:val="left"/>
      <w:pPr>
        <w:tabs>
          <w:tab w:val="num" w:pos="1530"/>
        </w:tabs>
        <w:ind w:left="1530" w:hanging="720"/>
      </w:pPr>
      <w:rPr>
        <w:rFonts w:ascii="Times New Roman" w:eastAsia="Times New Roman" w:hAnsi="Times New Roman" w:cs="Times New Roman"/>
      </w:rPr>
    </w:lvl>
    <w:lvl w:ilvl="1" w:tplc="46324E58">
      <w:start w:val="17"/>
      <w:numFmt w:val="upperLetter"/>
      <w:lvlText w:val="%2."/>
      <w:lvlJc w:val="left"/>
      <w:pPr>
        <w:tabs>
          <w:tab w:val="num" w:pos="2970"/>
        </w:tabs>
        <w:ind w:left="2970" w:hanging="144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6">
    <w:nsid w:val="235E76F7"/>
    <w:multiLevelType w:val="multilevel"/>
    <w:tmpl w:val="7736C418"/>
    <w:styleLink w:val="RTF5fNum2027"/>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9">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2">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3">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4">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3E126A0D"/>
    <w:multiLevelType w:val="hybridMultilevel"/>
    <w:tmpl w:val="89EE0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7">
    <w:nsid w:val="45825E14"/>
    <w:multiLevelType w:val="hybridMultilevel"/>
    <w:tmpl w:val="5E068FDA"/>
    <w:lvl w:ilvl="0" w:tplc="36221CBE">
      <w:start w:val="1"/>
      <w:numFmt w:val="upp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9">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30">
    <w:nsid w:val="4F301ADC"/>
    <w:multiLevelType w:val="hybridMultilevel"/>
    <w:tmpl w:val="29FC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2">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8159CF"/>
    <w:multiLevelType w:val="singleLevel"/>
    <w:tmpl w:val="214EFFDC"/>
    <w:lvl w:ilvl="0">
      <w:start w:val="17"/>
      <w:numFmt w:val="upperLetter"/>
      <w:lvlText w:val="%1."/>
      <w:lvlJc w:val="left"/>
      <w:pPr>
        <w:tabs>
          <w:tab w:val="num" w:pos="1440"/>
        </w:tabs>
        <w:ind w:left="1440" w:hanging="720"/>
      </w:pPr>
      <w:rPr>
        <w:rFonts w:cs="Times New Roman" w:hint="default"/>
      </w:rPr>
    </w:lvl>
  </w:abstractNum>
  <w:abstractNum w:abstractNumId="34">
    <w:nsid w:val="56891531"/>
    <w:multiLevelType w:val="hybridMultilevel"/>
    <w:tmpl w:val="568EE9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36">
    <w:nsid w:val="56F52A1F"/>
    <w:multiLevelType w:val="hybridMultilevel"/>
    <w:tmpl w:val="4674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38">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9">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60C3609E"/>
    <w:multiLevelType w:val="hybridMultilevel"/>
    <w:tmpl w:val="481CBC8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43">
    <w:nsid w:val="63CC5A89"/>
    <w:multiLevelType w:val="multilevel"/>
    <w:tmpl w:val="287EC87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64530618"/>
    <w:multiLevelType w:val="hybridMultilevel"/>
    <w:tmpl w:val="DB98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6">
    <w:nsid w:val="6BD16CA6"/>
    <w:multiLevelType w:val="hybridMultilevel"/>
    <w:tmpl w:val="CEB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48">
    <w:nsid w:val="71B33DC8"/>
    <w:multiLevelType w:val="multilevel"/>
    <w:tmpl w:val="287EC87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50">
    <w:nsid w:val="76654A71"/>
    <w:multiLevelType w:val="hybridMultilevel"/>
    <w:tmpl w:val="144C2512"/>
    <w:lvl w:ilvl="0" w:tplc="8C32BD2E">
      <w:start w:val="17"/>
      <w:numFmt w:val="upp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51">
    <w:nsid w:val="7AAC6A41"/>
    <w:multiLevelType w:val="hybridMultilevel"/>
    <w:tmpl w:val="13C2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6"/>
  </w:num>
  <w:num w:numId="2">
    <w:abstractNumId w:val="29"/>
  </w:num>
  <w:num w:numId="3">
    <w:abstractNumId w:val="2"/>
  </w:num>
  <w:num w:numId="4">
    <w:abstractNumId w:val="21"/>
  </w:num>
  <w:num w:numId="5">
    <w:abstractNumId w:val="6"/>
  </w:num>
  <w:num w:numId="6">
    <w:abstractNumId w:val="19"/>
  </w:num>
  <w:num w:numId="7">
    <w:abstractNumId w:val="10"/>
  </w:num>
  <w:num w:numId="8">
    <w:abstractNumId w:val="14"/>
  </w:num>
  <w:num w:numId="9">
    <w:abstractNumId w:val="24"/>
  </w:num>
  <w:num w:numId="10">
    <w:abstractNumId w:val="17"/>
  </w:num>
  <w:num w:numId="11">
    <w:abstractNumId w:val="8"/>
  </w:num>
  <w:num w:numId="12">
    <w:abstractNumId w:val="49"/>
  </w:num>
  <w:num w:numId="13">
    <w:abstractNumId w:val="45"/>
  </w:num>
  <w:num w:numId="14">
    <w:abstractNumId w:val="52"/>
  </w:num>
  <w:num w:numId="15">
    <w:abstractNumId w:val="13"/>
  </w:num>
  <w:num w:numId="16">
    <w:abstractNumId w:val="16"/>
  </w:num>
  <w:num w:numId="17">
    <w:abstractNumId w:val="23"/>
  </w:num>
  <w:num w:numId="18">
    <w:abstractNumId w:val="47"/>
  </w:num>
  <w:num w:numId="19">
    <w:abstractNumId w:val="18"/>
  </w:num>
  <w:num w:numId="20">
    <w:abstractNumId w:val="37"/>
  </w:num>
  <w:num w:numId="21">
    <w:abstractNumId w:val="1"/>
  </w:num>
  <w:num w:numId="22">
    <w:abstractNumId w:val="35"/>
  </w:num>
  <w:num w:numId="23">
    <w:abstractNumId w:val="28"/>
  </w:num>
  <w:num w:numId="24">
    <w:abstractNumId w:val="22"/>
  </w:num>
  <w:num w:numId="25">
    <w:abstractNumId w:val="4"/>
  </w:num>
  <w:num w:numId="26">
    <w:abstractNumId w:val="3"/>
  </w:num>
  <w:num w:numId="27">
    <w:abstractNumId w:val="12"/>
  </w:num>
  <w:num w:numId="28">
    <w:abstractNumId w:val="42"/>
  </w:num>
  <w:num w:numId="29">
    <w:abstractNumId w:val="11"/>
  </w:num>
  <w:num w:numId="30">
    <w:abstractNumId w:val="31"/>
  </w:num>
  <w:num w:numId="31">
    <w:abstractNumId w:val="38"/>
  </w:num>
  <w:num w:numId="32">
    <w:abstractNumId w:val="39"/>
  </w:num>
  <w:num w:numId="33">
    <w:abstractNumId w:val="32"/>
  </w:num>
  <w:num w:numId="34">
    <w:abstractNumId w:val="7"/>
  </w:num>
  <w:num w:numId="35">
    <w:abstractNumId w:val="33"/>
  </w:num>
  <w:num w:numId="36">
    <w:abstractNumId w:val="50"/>
  </w:num>
  <w:num w:numId="37">
    <w:abstractNumId w:val="5"/>
  </w:num>
  <w:num w:numId="38">
    <w:abstractNumId w:val="27"/>
  </w:num>
  <w:num w:numId="39">
    <w:abstractNumId w:val="15"/>
  </w:num>
  <w:num w:numId="40">
    <w:abstractNumId w:val="41"/>
  </w:num>
  <w:num w:numId="41">
    <w:abstractNumId w:val="25"/>
  </w:num>
  <w:num w:numId="42">
    <w:abstractNumId w:val="34"/>
  </w:num>
  <w:num w:numId="43">
    <w:abstractNumId w:val="0"/>
  </w:num>
  <w:num w:numId="44">
    <w:abstractNumId w:val="30"/>
  </w:num>
  <w:num w:numId="45">
    <w:abstractNumId w:val="9"/>
  </w:num>
  <w:num w:numId="46">
    <w:abstractNumId w:val="40"/>
  </w:num>
  <w:num w:numId="47">
    <w:abstractNumId w:val="20"/>
  </w:num>
  <w:num w:numId="48">
    <w:abstractNumId w:val="43"/>
  </w:num>
  <w:num w:numId="49">
    <w:abstractNumId w:val="48"/>
  </w:num>
  <w:num w:numId="50">
    <w:abstractNumId w:val="44"/>
  </w:num>
  <w:num w:numId="51">
    <w:abstractNumId w:val="36"/>
  </w:num>
  <w:num w:numId="52">
    <w:abstractNumId w:val="46"/>
  </w:num>
  <w:num w:numId="53">
    <w:abstractNumId w:val="5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0480"/>
    <w:rsid w:val="00003068"/>
    <w:rsid w:val="00004003"/>
    <w:rsid w:val="00005690"/>
    <w:rsid w:val="000061C2"/>
    <w:rsid w:val="00006E2F"/>
    <w:rsid w:val="00007E94"/>
    <w:rsid w:val="00010A41"/>
    <w:rsid w:val="00010FB3"/>
    <w:rsid w:val="00013EB7"/>
    <w:rsid w:val="0001498B"/>
    <w:rsid w:val="00015AD9"/>
    <w:rsid w:val="00016F05"/>
    <w:rsid w:val="00022EA9"/>
    <w:rsid w:val="00024AC8"/>
    <w:rsid w:val="0003051A"/>
    <w:rsid w:val="0003347A"/>
    <w:rsid w:val="0003621B"/>
    <w:rsid w:val="00042739"/>
    <w:rsid w:val="00045827"/>
    <w:rsid w:val="00045C70"/>
    <w:rsid w:val="00046323"/>
    <w:rsid w:val="000504EF"/>
    <w:rsid w:val="00054A99"/>
    <w:rsid w:val="000568B0"/>
    <w:rsid w:val="00060FF5"/>
    <w:rsid w:val="00064145"/>
    <w:rsid w:val="00066C73"/>
    <w:rsid w:val="0006733F"/>
    <w:rsid w:val="00067420"/>
    <w:rsid w:val="00070A2E"/>
    <w:rsid w:val="0007197F"/>
    <w:rsid w:val="000725F5"/>
    <w:rsid w:val="00075515"/>
    <w:rsid w:val="00075612"/>
    <w:rsid w:val="00081958"/>
    <w:rsid w:val="0008235E"/>
    <w:rsid w:val="000831A6"/>
    <w:rsid w:val="00083D6D"/>
    <w:rsid w:val="000844DB"/>
    <w:rsid w:val="0008527C"/>
    <w:rsid w:val="00085E52"/>
    <w:rsid w:val="000925D0"/>
    <w:rsid w:val="000926C0"/>
    <w:rsid w:val="000926CF"/>
    <w:rsid w:val="0009624A"/>
    <w:rsid w:val="0009730E"/>
    <w:rsid w:val="000A0894"/>
    <w:rsid w:val="000A19F4"/>
    <w:rsid w:val="000A204F"/>
    <w:rsid w:val="000A2244"/>
    <w:rsid w:val="000A232B"/>
    <w:rsid w:val="000A2AD6"/>
    <w:rsid w:val="000A3548"/>
    <w:rsid w:val="000A497F"/>
    <w:rsid w:val="000A4A15"/>
    <w:rsid w:val="000A4C44"/>
    <w:rsid w:val="000A502C"/>
    <w:rsid w:val="000A6665"/>
    <w:rsid w:val="000A6734"/>
    <w:rsid w:val="000A6860"/>
    <w:rsid w:val="000A6BBC"/>
    <w:rsid w:val="000B2F0A"/>
    <w:rsid w:val="000B55F7"/>
    <w:rsid w:val="000B567E"/>
    <w:rsid w:val="000B5939"/>
    <w:rsid w:val="000B5DDE"/>
    <w:rsid w:val="000B6A29"/>
    <w:rsid w:val="000B7DDE"/>
    <w:rsid w:val="000C19AD"/>
    <w:rsid w:val="000C21C5"/>
    <w:rsid w:val="000C64E4"/>
    <w:rsid w:val="000D4B96"/>
    <w:rsid w:val="000D5132"/>
    <w:rsid w:val="000D6ABC"/>
    <w:rsid w:val="000D6BFD"/>
    <w:rsid w:val="000D7C83"/>
    <w:rsid w:val="000E2E27"/>
    <w:rsid w:val="000E62F6"/>
    <w:rsid w:val="000E6F31"/>
    <w:rsid w:val="000F0B81"/>
    <w:rsid w:val="000F2A4D"/>
    <w:rsid w:val="000F3263"/>
    <w:rsid w:val="000F3897"/>
    <w:rsid w:val="000F3DC4"/>
    <w:rsid w:val="000F4153"/>
    <w:rsid w:val="000F5D38"/>
    <w:rsid w:val="000F6CFB"/>
    <w:rsid w:val="00100091"/>
    <w:rsid w:val="001020C1"/>
    <w:rsid w:val="00102C9F"/>
    <w:rsid w:val="00102DA5"/>
    <w:rsid w:val="00103076"/>
    <w:rsid w:val="00103E4A"/>
    <w:rsid w:val="0010527D"/>
    <w:rsid w:val="00106FF3"/>
    <w:rsid w:val="00110785"/>
    <w:rsid w:val="001121FA"/>
    <w:rsid w:val="00112801"/>
    <w:rsid w:val="00113A3C"/>
    <w:rsid w:val="001210ED"/>
    <w:rsid w:val="00121B28"/>
    <w:rsid w:val="0012232D"/>
    <w:rsid w:val="00122BB9"/>
    <w:rsid w:val="0012369E"/>
    <w:rsid w:val="001279B7"/>
    <w:rsid w:val="00131A33"/>
    <w:rsid w:val="00131E05"/>
    <w:rsid w:val="00132707"/>
    <w:rsid w:val="00133769"/>
    <w:rsid w:val="0013455F"/>
    <w:rsid w:val="00135AD1"/>
    <w:rsid w:val="00137989"/>
    <w:rsid w:val="00141F88"/>
    <w:rsid w:val="001448F1"/>
    <w:rsid w:val="00146C46"/>
    <w:rsid w:val="00147D24"/>
    <w:rsid w:val="00150518"/>
    <w:rsid w:val="00156D28"/>
    <w:rsid w:val="0015701E"/>
    <w:rsid w:val="00162D05"/>
    <w:rsid w:val="001634DE"/>
    <w:rsid w:val="00164150"/>
    <w:rsid w:val="0017074B"/>
    <w:rsid w:val="00170A22"/>
    <w:rsid w:val="00171B4C"/>
    <w:rsid w:val="00174FCE"/>
    <w:rsid w:val="0017674C"/>
    <w:rsid w:val="00177866"/>
    <w:rsid w:val="00177CFC"/>
    <w:rsid w:val="00177FF7"/>
    <w:rsid w:val="00180519"/>
    <w:rsid w:val="001813D8"/>
    <w:rsid w:val="00185D46"/>
    <w:rsid w:val="0019267A"/>
    <w:rsid w:val="00197176"/>
    <w:rsid w:val="001A1483"/>
    <w:rsid w:val="001A3017"/>
    <w:rsid w:val="001A315C"/>
    <w:rsid w:val="001A4278"/>
    <w:rsid w:val="001A60D6"/>
    <w:rsid w:val="001A786F"/>
    <w:rsid w:val="001B0AC2"/>
    <w:rsid w:val="001B23F5"/>
    <w:rsid w:val="001B2DA2"/>
    <w:rsid w:val="001B3343"/>
    <w:rsid w:val="001B3BF7"/>
    <w:rsid w:val="001C15C7"/>
    <w:rsid w:val="001C4645"/>
    <w:rsid w:val="001C57DE"/>
    <w:rsid w:val="001C5F10"/>
    <w:rsid w:val="001C6565"/>
    <w:rsid w:val="001D224A"/>
    <w:rsid w:val="001D2BD3"/>
    <w:rsid w:val="001D2DC2"/>
    <w:rsid w:val="001D76D1"/>
    <w:rsid w:val="001E12F2"/>
    <w:rsid w:val="001E427B"/>
    <w:rsid w:val="001E455B"/>
    <w:rsid w:val="001E65B2"/>
    <w:rsid w:val="001E6D70"/>
    <w:rsid w:val="001E7D9F"/>
    <w:rsid w:val="001F0D77"/>
    <w:rsid w:val="001F4EC4"/>
    <w:rsid w:val="00200521"/>
    <w:rsid w:val="00203679"/>
    <w:rsid w:val="002041A4"/>
    <w:rsid w:val="00204C48"/>
    <w:rsid w:val="00204E63"/>
    <w:rsid w:val="00204EB2"/>
    <w:rsid w:val="00206BDE"/>
    <w:rsid w:val="002079A8"/>
    <w:rsid w:val="00207D6E"/>
    <w:rsid w:val="00214D76"/>
    <w:rsid w:val="0021578E"/>
    <w:rsid w:val="00216493"/>
    <w:rsid w:val="00216BB6"/>
    <w:rsid w:val="00221538"/>
    <w:rsid w:val="0022220E"/>
    <w:rsid w:val="0022502F"/>
    <w:rsid w:val="00226A86"/>
    <w:rsid w:val="00230326"/>
    <w:rsid w:val="00232747"/>
    <w:rsid w:val="002329CD"/>
    <w:rsid w:val="002336F1"/>
    <w:rsid w:val="00233F30"/>
    <w:rsid w:val="002369E0"/>
    <w:rsid w:val="00240E36"/>
    <w:rsid w:val="002467E2"/>
    <w:rsid w:val="0025349A"/>
    <w:rsid w:val="0025427B"/>
    <w:rsid w:val="002543B2"/>
    <w:rsid w:val="002558EB"/>
    <w:rsid w:val="00257659"/>
    <w:rsid w:val="00260171"/>
    <w:rsid w:val="0026350D"/>
    <w:rsid w:val="00265299"/>
    <w:rsid w:val="00265A10"/>
    <w:rsid w:val="00266EF0"/>
    <w:rsid w:val="00272E6B"/>
    <w:rsid w:val="002734F6"/>
    <w:rsid w:val="002746C1"/>
    <w:rsid w:val="0027643C"/>
    <w:rsid w:val="00280678"/>
    <w:rsid w:val="00284453"/>
    <w:rsid w:val="00284C92"/>
    <w:rsid w:val="0028794F"/>
    <w:rsid w:val="00287B1F"/>
    <w:rsid w:val="0029101F"/>
    <w:rsid w:val="00291631"/>
    <w:rsid w:val="00292D6F"/>
    <w:rsid w:val="00294B78"/>
    <w:rsid w:val="00294C0F"/>
    <w:rsid w:val="00294CA7"/>
    <w:rsid w:val="00294F94"/>
    <w:rsid w:val="0029596D"/>
    <w:rsid w:val="002A1F24"/>
    <w:rsid w:val="002A2752"/>
    <w:rsid w:val="002A433D"/>
    <w:rsid w:val="002A5583"/>
    <w:rsid w:val="002A7002"/>
    <w:rsid w:val="002B1B54"/>
    <w:rsid w:val="002B3375"/>
    <w:rsid w:val="002B68A1"/>
    <w:rsid w:val="002B6EA3"/>
    <w:rsid w:val="002B738D"/>
    <w:rsid w:val="002C0C2F"/>
    <w:rsid w:val="002C1009"/>
    <w:rsid w:val="002C1940"/>
    <w:rsid w:val="002C60CB"/>
    <w:rsid w:val="002C625F"/>
    <w:rsid w:val="002D398E"/>
    <w:rsid w:val="002E0B86"/>
    <w:rsid w:val="002E3123"/>
    <w:rsid w:val="002E3552"/>
    <w:rsid w:val="002E35D8"/>
    <w:rsid w:val="002E7F3A"/>
    <w:rsid w:val="002F0D16"/>
    <w:rsid w:val="002F3BC3"/>
    <w:rsid w:val="002F5AD7"/>
    <w:rsid w:val="0030040F"/>
    <w:rsid w:val="00301EC5"/>
    <w:rsid w:val="00303750"/>
    <w:rsid w:val="0030773D"/>
    <w:rsid w:val="00310EBD"/>
    <w:rsid w:val="00311F09"/>
    <w:rsid w:val="00313EFD"/>
    <w:rsid w:val="0031526F"/>
    <w:rsid w:val="003162C7"/>
    <w:rsid w:val="003279B2"/>
    <w:rsid w:val="00334F95"/>
    <w:rsid w:val="00336CAF"/>
    <w:rsid w:val="003370D8"/>
    <w:rsid w:val="0033746D"/>
    <w:rsid w:val="00337649"/>
    <w:rsid w:val="00337BB3"/>
    <w:rsid w:val="00344D41"/>
    <w:rsid w:val="00346019"/>
    <w:rsid w:val="00352B85"/>
    <w:rsid w:val="003538D4"/>
    <w:rsid w:val="00356E89"/>
    <w:rsid w:val="00357DE8"/>
    <w:rsid w:val="00362A42"/>
    <w:rsid w:val="003636C6"/>
    <w:rsid w:val="00364F2D"/>
    <w:rsid w:val="00371D94"/>
    <w:rsid w:val="003730D2"/>
    <w:rsid w:val="00377B55"/>
    <w:rsid w:val="00377BBA"/>
    <w:rsid w:val="00381013"/>
    <w:rsid w:val="00384DAD"/>
    <w:rsid w:val="003956A9"/>
    <w:rsid w:val="0039709C"/>
    <w:rsid w:val="003A16ED"/>
    <w:rsid w:val="003B133A"/>
    <w:rsid w:val="003B278C"/>
    <w:rsid w:val="003B42EC"/>
    <w:rsid w:val="003C1E67"/>
    <w:rsid w:val="003C3120"/>
    <w:rsid w:val="003C50D7"/>
    <w:rsid w:val="003C53DB"/>
    <w:rsid w:val="003D2E9A"/>
    <w:rsid w:val="003D665D"/>
    <w:rsid w:val="003D716B"/>
    <w:rsid w:val="003E2C1F"/>
    <w:rsid w:val="003E3A36"/>
    <w:rsid w:val="003E52DF"/>
    <w:rsid w:val="003E654B"/>
    <w:rsid w:val="003E71B4"/>
    <w:rsid w:val="003E7ABF"/>
    <w:rsid w:val="003F11AC"/>
    <w:rsid w:val="003F5EB7"/>
    <w:rsid w:val="003F6BFD"/>
    <w:rsid w:val="003F766B"/>
    <w:rsid w:val="0040013A"/>
    <w:rsid w:val="004032B9"/>
    <w:rsid w:val="004034D5"/>
    <w:rsid w:val="004043D5"/>
    <w:rsid w:val="00407743"/>
    <w:rsid w:val="00411FE6"/>
    <w:rsid w:val="004163BA"/>
    <w:rsid w:val="00416D8E"/>
    <w:rsid w:val="00417744"/>
    <w:rsid w:val="004233FE"/>
    <w:rsid w:val="0043473F"/>
    <w:rsid w:val="00434EE0"/>
    <w:rsid w:val="0043608E"/>
    <w:rsid w:val="00437376"/>
    <w:rsid w:val="00437F07"/>
    <w:rsid w:val="004414DA"/>
    <w:rsid w:val="00443386"/>
    <w:rsid w:val="00444CC5"/>
    <w:rsid w:val="00444CEA"/>
    <w:rsid w:val="004461E9"/>
    <w:rsid w:val="0044635D"/>
    <w:rsid w:val="004477EA"/>
    <w:rsid w:val="00451B1C"/>
    <w:rsid w:val="00451C4F"/>
    <w:rsid w:val="004568E4"/>
    <w:rsid w:val="00460A8B"/>
    <w:rsid w:val="004621CA"/>
    <w:rsid w:val="004627E0"/>
    <w:rsid w:val="00466E60"/>
    <w:rsid w:val="004713C9"/>
    <w:rsid w:val="004729E4"/>
    <w:rsid w:val="00474CF8"/>
    <w:rsid w:val="00475FB0"/>
    <w:rsid w:val="00476E35"/>
    <w:rsid w:val="00482455"/>
    <w:rsid w:val="004868D1"/>
    <w:rsid w:val="004910B1"/>
    <w:rsid w:val="00492441"/>
    <w:rsid w:val="004940D3"/>
    <w:rsid w:val="00497EDA"/>
    <w:rsid w:val="004A0973"/>
    <w:rsid w:val="004A14EC"/>
    <w:rsid w:val="004A3FBB"/>
    <w:rsid w:val="004A43E9"/>
    <w:rsid w:val="004A5E75"/>
    <w:rsid w:val="004A5E9F"/>
    <w:rsid w:val="004B1B0F"/>
    <w:rsid w:val="004B1D0C"/>
    <w:rsid w:val="004B23F1"/>
    <w:rsid w:val="004B4017"/>
    <w:rsid w:val="004B402E"/>
    <w:rsid w:val="004B650C"/>
    <w:rsid w:val="004B6F76"/>
    <w:rsid w:val="004C1B9A"/>
    <w:rsid w:val="004C2025"/>
    <w:rsid w:val="004C3DE4"/>
    <w:rsid w:val="004C58FC"/>
    <w:rsid w:val="004C5C79"/>
    <w:rsid w:val="004C6D99"/>
    <w:rsid w:val="004C715C"/>
    <w:rsid w:val="004D081B"/>
    <w:rsid w:val="004D0E04"/>
    <w:rsid w:val="004D102F"/>
    <w:rsid w:val="004D1B1A"/>
    <w:rsid w:val="004D207D"/>
    <w:rsid w:val="004D28F2"/>
    <w:rsid w:val="004D772E"/>
    <w:rsid w:val="004D7861"/>
    <w:rsid w:val="004E3BE5"/>
    <w:rsid w:val="004E4650"/>
    <w:rsid w:val="004E5181"/>
    <w:rsid w:val="004E793A"/>
    <w:rsid w:val="004E7C36"/>
    <w:rsid w:val="004F713F"/>
    <w:rsid w:val="004F7C90"/>
    <w:rsid w:val="0050216C"/>
    <w:rsid w:val="0050474D"/>
    <w:rsid w:val="005141FE"/>
    <w:rsid w:val="00514E80"/>
    <w:rsid w:val="00515008"/>
    <w:rsid w:val="00516F25"/>
    <w:rsid w:val="00517717"/>
    <w:rsid w:val="00520565"/>
    <w:rsid w:val="00524793"/>
    <w:rsid w:val="00524E01"/>
    <w:rsid w:val="00524EA6"/>
    <w:rsid w:val="00531D60"/>
    <w:rsid w:val="005369BB"/>
    <w:rsid w:val="00536E7C"/>
    <w:rsid w:val="005410BB"/>
    <w:rsid w:val="00541BEB"/>
    <w:rsid w:val="0054237D"/>
    <w:rsid w:val="005426B3"/>
    <w:rsid w:val="00545B95"/>
    <w:rsid w:val="00551C2D"/>
    <w:rsid w:val="0055278A"/>
    <w:rsid w:val="005540EB"/>
    <w:rsid w:val="0055620C"/>
    <w:rsid w:val="00562193"/>
    <w:rsid w:val="00562C12"/>
    <w:rsid w:val="0056366E"/>
    <w:rsid w:val="005678FA"/>
    <w:rsid w:val="00571787"/>
    <w:rsid w:val="00577848"/>
    <w:rsid w:val="00580834"/>
    <w:rsid w:val="005819D4"/>
    <w:rsid w:val="00583438"/>
    <w:rsid w:val="0058469D"/>
    <w:rsid w:val="00585860"/>
    <w:rsid w:val="00586BE2"/>
    <w:rsid w:val="00586CB3"/>
    <w:rsid w:val="00592BD1"/>
    <w:rsid w:val="00593603"/>
    <w:rsid w:val="00593B68"/>
    <w:rsid w:val="00596611"/>
    <w:rsid w:val="005A10A8"/>
    <w:rsid w:val="005A200C"/>
    <w:rsid w:val="005A37F6"/>
    <w:rsid w:val="005A38EB"/>
    <w:rsid w:val="005A47CB"/>
    <w:rsid w:val="005A55AE"/>
    <w:rsid w:val="005A6FE5"/>
    <w:rsid w:val="005A6FF9"/>
    <w:rsid w:val="005B0B41"/>
    <w:rsid w:val="005B1AA3"/>
    <w:rsid w:val="005B4C72"/>
    <w:rsid w:val="005B5994"/>
    <w:rsid w:val="005C1AB9"/>
    <w:rsid w:val="005C251E"/>
    <w:rsid w:val="005C2C88"/>
    <w:rsid w:val="005C37F4"/>
    <w:rsid w:val="005C3EE2"/>
    <w:rsid w:val="005C4E2C"/>
    <w:rsid w:val="005C4F7B"/>
    <w:rsid w:val="005D0943"/>
    <w:rsid w:val="005D45EC"/>
    <w:rsid w:val="005D7A9E"/>
    <w:rsid w:val="005E12E5"/>
    <w:rsid w:val="005E2247"/>
    <w:rsid w:val="005E25D7"/>
    <w:rsid w:val="005E61D1"/>
    <w:rsid w:val="005E79A4"/>
    <w:rsid w:val="005F0B42"/>
    <w:rsid w:val="005F1CE5"/>
    <w:rsid w:val="005F4B1C"/>
    <w:rsid w:val="005F52EE"/>
    <w:rsid w:val="00601C28"/>
    <w:rsid w:val="006057DA"/>
    <w:rsid w:val="0061080A"/>
    <w:rsid w:val="00614DB9"/>
    <w:rsid w:val="0061606F"/>
    <w:rsid w:val="0061684F"/>
    <w:rsid w:val="00620985"/>
    <w:rsid w:val="00625666"/>
    <w:rsid w:val="006324E1"/>
    <w:rsid w:val="00633F02"/>
    <w:rsid w:val="00634835"/>
    <w:rsid w:val="006368E0"/>
    <w:rsid w:val="00642E83"/>
    <w:rsid w:val="00643147"/>
    <w:rsid w:val="006435B7"/>
    <w:rsid w:val="00643CE5"/>
    <w:rsid w:val="0064487F"/>
    <w:rsid w:val="00644E23"/>
    <w:rsid w:val="00645683"/>
    <w:rsid w:val="006456F0"/>
    <w:rsid w:val="00645E0A"/>
    <w:rsid w:val="006470C2"/>
    <w:rsid w:val="006507E2"/>
    <w:rsid w:val="00651416"/>
    <w:rsid w:val="00652AC9"/>
    <w:rsid w:val="0065749C"/>
    <w:rsid w:val="00664B41"/>
    <w:rsid w:val="00667220"/>
    <w:rsid w:val="006676B9"/>
    <w:rsid w:val="006712D4"/>
    <w:rsid w:val="00672D65"/>
    <w:rsid w:val="006753D1"/>
    <w:rsid w:val="00675C4E"/>
    <w:rsid w:val="0067797B"/>
    <w:rsid w:val="00677B7B"/>
    <w:rsid w:val="00680941"/>
    <w:rsid w:val="006848C3"/>
    <w:rsid w:val="0068497F"/>
    <w:rsid w:val="00685D0C"/>
    <w:rsid w:val="00686872"/>
    <w:rsid w:val="00690866"/>
    <w:rsid w:val="006A2A4B"/>
    <w:rsid w:val="006A2C7D"/>
    <w:rsid w:val="006A2F58"/>
    <w:rsid w:val="006A39AB"/>
    <w:rsid w:val="006A4BDB"/>
    <w:rsid w:val="006A4CE9"/>
    <w:rsid w:val="006B0FBF"/>
    <w:rsid w:val="006B1DF5"/>
    <w:rsid w:val="006B4092"/>
    <w:rsid w:val="006B6BC2"/>
    <w:rsid w:val="006C1681"/>
    <w:rsid w:val="006C2F60"/>
    <w:rsid w:val="006C6690"/>
    <w:rsid w:val="006C681F"/>
    <w:rsid w:val="006D0B08"/>
    <w:rsid w:val="006D0C1F"/>
    <w:rsid w:val="006D1C8A"/>
    <w:rsid w:val="006D3C1A"/>
    <w:rsid w:val="006E11B2"/>
    <w:rsid w:val="006E2663"/>
    <w:rsid w:val="006E2F83"/>
    <w:rsid w:val="006E3755"/>
    <w:rsid w:val="006E7C1D"/>
    <w:rsid w:val="006F42EC"/>
    <w:rsid w:val="006F6605"/>
    <w:rsid w:val="006F681C"/>
    <w:rsid w:val="006F730C"/>
    <w:rsid w:val="00701425"/>
    <w:rsid w:val="00702E30"/>
    <w:rsid w:val="00704982"/>
    <w:rsid w:val="00704EEB"/>
    <w:rsid w:val="007055A8"/>
    <w:rsid w:val="007077ED"/>
    <w:rsid w:val="007100B2"/>
    <w:rsid w:val="00711833"/>
    <w:rsid w:val="00712A9B"/>
    <w:rsid w:val="00716C13"/>
    <w:rsid w:val="00720F15"/>
    <w:rsid w:val="00721F40"/>
    <w:rsid w:val="00722C46"/>
    <w:rsid w:val="007267F6"/>
    <w:rsid w:val="00733A66"/>
    <w:rsid w:val="00736360"/>
    <w:rsid w:val="00737207"/>
    <w:rsid w:val="00737CA1"/>
    <w:rsid w:val="00742B9F"/>
    <w:rsid w:val="00743B59"/>
    <w:rsid w:val="00744D65"/>
    <w:rsid w:val="0074529E"/>
    <w:rsid w:val="0075372F"/>
    <w:rsid w:val="007559C8"/>
    <w:rsid w:val="00757728"/>
    <w:rsid w:val="007579AD"/>
    <w:rsid w:val="0076151E"/>
    <w:rsid w:val="007645E8"/>
    <w:rsid w:val="00772721"/>
    <w:rsid w:val="00774CC3"/>
    <w:rsid w:val="00775966"/>
    <w:rsid w:val="00777ABD"/>
    <w:rsid w:val="0078116B"/>
    <w:rsid w:val="00781C4B"/>
    <w:rsid w:val="00782766"/>
    <w:rsid w:val="007836C7"/>
    <w:rsid w:val="00786A12"/>
    <w:rsid w:val="00787FB4"/>
    <w:rsid w:val="007917C5"/>
    <w:rsid w:val="00791C2B"/>
    <w:rsid w:val="007928C1"/>
    <w:rsid w:val="00794492"/>
    <w:rsid w:val="00796789"/>
    <w:rsid w:val="00797C30"/>
    <w:rsid w:val="007A2A98"/>
    <w:rsid w:val="007A5DCF"/>
    <w:rsid w:val="007A73E1"/>
    <w:rsid w:val="007A7BE0"/>
    <w:rsid w:val="007B04C8"/>
    <w:rsid w:val="007B5402"/>
    <w:rsid w:val="007B58C5"/>
    <w:rsid w:val="007B5B92"/>
    <w:rsid w:val="007B60A4"/>
    <w:rsid w:val="007B7B22"/>
    <w:rsid w:val="007B7C07"/>
    <w:rsid w:val="007C1D7F"/>
    <w:rsid w:val="007C32EE"/>
    <w:rsid w:val="007C504B"/>
    <w:rsid w:val="007C54AA"/>
    <w:rsid w:val="007C57D8"/>
    <w:rsid w:val="007C7320"/>
    <w:rsid w:val="007C7911"/>
    <w:rsid w:val="007E1AF4"/>
    <w:rsid w:val="007E208F"/>
    <w:rsid w:val="007E6EA3"/>
    <w:rsid w:val="007E74EA"/>
    <w:rsid w:val="007F042B"/>
    <w:rsid w:val="007F095E"/>
    <w:rsid w:val="007F101D"/>
    <w:rsid w:val="007F213C"/>
    <w:rsid w:val="007F6B5E"/>
    <w:rsid w:val="00802819"/>
    <w:rsid w:val="00804381"/>
    <w:rsid w:val="00806C7F"/>
    <w:rsid w:val="0080740D"/>
    <w:rsid w:val="00807FC4"/>
    <w:rsid w:val="00812DE4"/>
    <w:rsid w:val="00814123"/>
    <w:rsid w:val="008147B1"/>
    <w:rsid w:val="00815D50"/>
    <w:rsid w:val="00816DD9"/>
    <w:rsid w:val="00817ECB"/>
    <w:rsid w:val="008202A5"/>
    <w:rsid w:val="00820881"/>
    <w:rsid w:val="00822186"/>
    <w:rsid w:val="0082229C"/>
    <w:rsid w:val="00822621"/>
    <w:rsid w:val="00824F12"/>
    <w:rsid w:val="0082656C"/>
    <w:rsid w:val="0082661B"/>
    <w:rsid w:val="00830886"/>
    <w:rsid w:val="0083229F"/>
    <w:rsid w:val="00833CE1"/>
    <w:rsid w:val="008354EE"/>
    <w:rsid w:val="00843D43"/>
    <w:rsid w:val="00846B6E"/>
    <w:rsid w:val="008503A2"/>
    <w:rsid w:val="008555E4"/>
    <w:rsid w:val="00872D83"/>
    <w:rsid w:val="0087366D"/>
    <w:rsid w:val="00874B82"/>
    <w:rsid w:val="008779F0"/>
    <w:rsid w:val="00881754"/>
    <w:rsid w:val="00882549"/>
    <w:rsid w:val="008832F2"/>
    <w:rsid w:val="00886C9D"/>
    <w:rsid w:val="00886E4E"/>
    <w:rsid w:val="008918EA"/>
    <w:rsid w:val="00891D48"/>
    <w:rsid w:val="00891F68"/>
    <w:rsid w:val="00892413"/>
    <w:rsid w:val="00892BAC"/>
    <w:rsid w:val="0089410F"/>
    <w:rsid w:val="00894834"/>
    <w:rsid w:val="00894CE2"/>
    <w:rsid w:val="008970B3"/>
    <w:rsid w:val="00897B8E"/>
    <w:rsid w:val="008A7469"/>
    <w:rsid w:val="008B41AB"/>
    <w:rsid w:val="008B4398"/>
    <w:rsid w:val="008B536F"/>
    <w:rsid w:val="008B5C02"/>
    <w:rsid w:val="008B744B"/>
    <w:rsid w:val="008B7D0B"/>
    <w:rsid w:val="008B7E2A"/>
    <w:rsid w:val="008C2923"/>
    <w:rsid w:val="008C49C5"/>
    <w:rsid w:val="008C59AC"/>
    <w:rsid w:val="008C630F"/>
    <w:rsid w:val="008D18B6"/>
    <w:rsid w:val="008D1B9E"/>
    <w:rsid w:val="008D2D75"/>
    <w:rsid w:val="008D308F"/>
    <w:rsid w:val="008D5C91"/>
    <w:rsid w:val="008E1B2E"/>
    <w:rsid w:val="008E48B0"/>
    <w:rsid w:val="008E49DF"/>
    <w:rsid w:val="008E580F"/>
    <w:rsid w:val="008E7886"/>
    <w:rsid w:val="008F0D0B"/>
    <w:rsid w:val="008F5275"/>
    <w:rsid w:val="008F62BD"/>
    <w:rsid w:val="008F6E36"/>
    <w:rsid w:val="008F70B5"/>
    <w:rsid w:val="009026B3"/>
    <w:rsid w:val="00904ACA"/>
    <w:rsid w:val="0090528A"/>
    <w:rsid w:val="00905F79"/>
    <w:rsid w:val="00910A6F"/>
    <w:rsid w:val="0091181E"/>
    <w:rsid w:val="0091216A"/>
    <w:rsid w:val="00912886"/>
    <w:rsid w:val="0091322F"/>
    <w:rsid w:val="00914F08"/>
    <w:rsid w:val="00916D0F"/>
    <w:rsid w:val="00921304"/>
    <w:rsid w:val="00923D5A"/>
    <w:rsid w:val="00925CE2"/>
    <w:rsid w:val="00931621"/>
    <w:rsid w:val="009331EA"/>
    <w:rsid w:val="009334AE"/>
    <w:rsid w:val="0093530C"/>
    <w:rsid w:val="00935CE0"/>
    <w:rsid w:val="00936BE1"/>
    <w:rsid w:val="00944313"/>
    <w:rsid w:val="00956624"/>
    <w:rsid w:val="00956860"/>
    <w:rsid w:val="009577D0"/>
    <w:rsid w:val="009605C7"/>
    <w:rsid w:val="00961303"/>
    <w:rsid w:val="00964427"/>
    <w:rsid w:val="00966A3C"/>
    <w:rsid w:val="00973290"/>
    <w:rsid w:val="00974F03"/>
    <w:rsid w:val="00975FB9"/>
    <w:rsid w:val="00976DDC"/>
    <w:rsid w:val="0098231D"/>
    <w:rsid w:val="00983877"/>
    <w:rsid w:val="00987E07"/>
    <w:rsid w:val="00996D9A"/>
    <w:rsid w:val="009A0AA1"/>
    <w:rsid w:val="009A1846"/>
    <w:rsid w:val="009A6E1D"/>
    <w:rsid w:val="009B388A"/>
    <w:rsid w:val="009B6AD6"/>
    <w:rsid w:val="009C289B"/>
    <w:rsid w:val="009C4EF9"/>
    <w:rsid w:val="009C52C8"/>
    <w:rsid w:val="009C54AD"/>
    <w:rsid w:val="009D3196"/>
    <w:rsid w:val="009D7F10"/>
    <w:rsid w:val="009E1E4A"/>
    <w:rsid w:val="009E29E5"/>
    <w:rsid w:val="009E6376"/>
    <w:rsid w:val="009E6CD4"/>
    <w:rsid w:val="009F116E"/>
    <w:rsid w:val="009F186A"/>
    <w:rsid w:val="009F3201"/>
    <w:rsid w:val="009F36FA"/>
    <w:rsid w:val="009F4D51"/>
    <w:rsid w:val="009F5837"/>
    <w:rsid w:val="009F69BF"/>
    <w:rsid w:val="009F6A4B"/>
    <w:rsid w:val="00A001E8"/>
    <w:rsid w:val="00A05EB6"/>
    <w:rsid w:val="00A06D3D"/>
    <w:rsid w:val="00A07AB7"/>
    <w:rsid w:val="00A11C96"/>
    <w:rsid w:val="00A152BC"/>
    <w:rsid w:val="00A309B9"/>
    <w:rsid w:val="00A310C9"/>
    <w:rsid w:val="00A31942"/>
    <w:rsid w:val="00A33643"/>
    <w:rsid w:val="00A3375D"/>
    <w:rsid w:val="00A33792"/>
    <w:rsid w:val="00A355FE"/>
    <w:rsid w:val="00A359BB"/>
    <w:rsid w:val="00A4037C"/>
    <w:rsid w:val="00A429FD"/>
    <w:rsid w:val="00A42AF9"/>
    <w:rsid w:val="00A42F19"/>
    <w:rsid w:val="00A43F4C"/>
    <w:rsid w:val="00A44669"/>
    <w:rsid w:val="00A47B5B"/>
    <w:rsid w:val="00A522F4"/>
    <w:rsid w:val="00A539B1"/>
    <w:rsid w:val="00A54220"/>
    <w:rsid w:val="00A55DC6"/>
    <w:rsid w:val="00A6021E"/>
    <w:rsid w:val="00A63164"/>
    <w:rsid w:val="00A64306"/>
    <w:rsid w:val="00A64E45"/>
    <w:rsid w:val="00A65961"/>
    <w:rsid w:val="00A67FB6"/>
    <w:rsid w:val="00A74FBD"/>
    <w:rsid w:val="00A769E3"/>
    <w:rsid w:val="00A85884"/>
    <w:rsid w:val="00A8627C"/>
    <w:rsid w:val="00A879CD"/>
    <w:rsid w:val="00A91003"/>
    <w:rsid w:val="00A931A6"/>
    <w:rsid w:val="00AA0324"/>
    <w:rsid w:val="00AA41A9"/>
    <w:rsid w:val="00AA7417"/>
    <w:rsid w:val="00AB59BB"/>
    <w:rsid w:val="00AC1B51"/>
    <w:rsid w:val="00AC1DAD"/>
    <w:rsid w:val="00AC32BF"/>
    <w:rsid w:val="00AC3ADC"/>
    <w:rsid w:val="00AC6208"/>
    <w:rsid w:val="00AD03A5"/>
    <w:rsid w:val="00AD03EF"/>
    <w:rsid w:val="00AD1968"/>
    <w:rsid w:val="00AD2C96"/>
    <w:rsid w:val="00AD2FA3"/>
    <w:rsid w:val="00AD4FD5"/>
    <w:rsid w:val="00AE0842"/>
    <w:rsid w:val="00AE0E9E"/>
    <w:rsid w:val="00AE4671"/>
    <w:rsid w:val="00AF0066"/>
    <w:rsid w:val="00AF0FEB"/>
    <w:rsid w:val="00AF12CC"/>
    <w:rsid w:val="00AF2573"/>
    <w:rsid w:val="00AF5996"/>
    <w:rsid w:val="00B028C8"/>
    <w:rsid w:val="00B03C54"/>
    <w:rsid w:val="00B03DF0"/>
    <w:rsid w:val="00B065DD"/>
    <w:rsid w:val="00B07C8E"/>
    <w:rsid w:val="00B10A70"/>
    <w:rsid w:val="00B10EE8"/>
    <w:rsid w:val="00B11A3B"/>
    <w:rsid w:val="00B17425"/>
    <w:rsid w:val="00B17703"/>
    <w:rsid w:val="00B21F13"/>
    <w:rsid w:val="00B220C2"/>
    <w:rsid w:val="00B232F9"/>
    <w:rsid w:val="00B26158"/>
    <w:rsid w:val="00B26691"/>
    <w:rsid w:val="00B312FA"/>
    <w:rsid w:val="00B313D9"/>
    <w:rsid w:val="00B319D8"/>
    <w:rsid w:val="00B346E1"/>
    <w:rsid w:val="00B34EAB"/>
    <w:rsid w:val="00B361D5"/>
    <w:rsid w:val="00B36F8C"/>
    <w:rsid w:val="00B40081"/>
    <w:rsid w:val="00B44612"/>
    <w:rsid w:val="00B46884"/>
    <w:rsid w:val="00B5246C"/>
    <w:rsid w:val="00B54997"/>
    <w:rsid w:val="00B56F17"/>
    <w:rsid w:val="00B57941"/>
    <w:rsid w:val="00B605E8"/>
    <w:rsid w:val="00B60D79"/>
    <w:rsid w:val="00B62488"/>
    <w:rsid w:val="00B632D5"/>
    <w:rsid w:val="00B63D21"/>
    <w:rsid w:val="00B6598F"/>
    <w:rsid w:val="00B707E0"/>
    <w:rsid w:val="00B71BE8"/>
    <w:rsid w:val="00B73EB1"/>
    <w:rsid w:val="00B83A07"/>
    <w:rsid w:val="00B85AB9"/>
    <w:rsid w:val="00B9198A"/>
    <w:rsid w:val="00B9227F"/>
    <w:rsid w:val="00B96E2B"/>
    <w:rsid w:val="00BA0836"/>
    <w:rsid w:val="00BA3C7B"/>
    <w:rsid w:val="00BA66BC"/>
    <w:rsid w:val="00BB1AEE"/>
    <w:rsid w:val="00BB28F9"/>
    <w:rsid w:val="00BB4B20"/>
    <w:rsid w:val="00BC29D3"/>
    <w:rsid w:val="00BC395A"/>
    <w:rsid w:val="00BC4EEE"/>
    <w:rsid w:val="00BC5C99"/>
    <w:rsid w:val="00BD11DE"/>
    <w:rsid w:val="00BD4FCB"/>
    <w:rsid w:val="00BD66D3"/>
    <w:rsid w:val="00BE3A17"/>
    <w:rsid w:val="00BE592C"/>
    <w:rsid w:val="00BE67DE"/>
    <w:rsid w:val="00BE7DBC"/>
    <w:rsid w:val="00BF0B67"/>
    <w:rsid w:val="00BF1E04"/>
    <w:rsid w:val="00BF220C"/>
    <w:rsid w:val="00BF3494"/>
    <w:rsid w:val="00BF36C1"/>
    <w:rsid w:val="00BF6CAC"/>
    <w:rsid w:val="00BF7A34"/>
    <w:rsid w:val="00C01292"/>
    <w:rsid w:val="00C0218F"/>
    <w:rsid w:val="00C02270"/>
    <w:rsid w:val="00C03760"/>
    <w:rsid w:val="00C05050"/>
    <w:rsid w:val="00C057A2"/>
    <w:rsid w:val="00C06F9C"/>
    <w:rsid w:val="00C07A93"/>
    <w:rsid w:val="00C14052"/>
    <w:rsid w:val="00C14E85"/>
    <w:rsid w:val="00C17302"/>
    <w:rsid w:val="00C17D7D"/>
    <w:rsid w:val="00C20044"/>
    <w:rsid w:val="00C207BF"/>
    <w:rsid w:val="00C21346"/>
    <w:rsid w:val="00C21F4B"/>
    <w:rsid w:val="00C226BE"/>
    <w:rsid w:val="00C227DF"/>
    <w:rsid w:val="00C22D33"/>
    <w:rsid w:val="00C33B67"/>
    <w:rsid w:val="00C372CC"/>
    <w:rsid w:val="00C37C56"/>
    <w:rsid w:val="00C42FEB"/>
    <w:rsid w:val="00C47E03"/>
    <w:rsid w:val="00C53F95"/>
    <w:rsid w:val="00C55F2A"/>
    <w:rsid w:val="00C62791"/>
    <w:rsid w:val="00C647CD"/>
    <w:rsid w:val="00C66B50"/>
    <w:rsid w:val="00C67525"/>
    <w:rsid w:val="00C67759"/>
    <w:rsid w:val="00C73089"/>
    <w:rsid w:val="00C73F56"/>
    <w:rsid w:val="00C86EA5"/>
    <w:rsid w:val="00C86EB1"/>
    <w:rsid w:val="00C91091"/>
    <w:rsid w:val="00C92A6D"/>
    <w:rsid w:val="00C92E0A"/>
    <w:rsid w:val="00C9379A"/>
    <w:rsid w:val="00C94D90"/>
    <w:rsid w:val="00C951DC"/>
    <w:rsid w:val="00C95E6C"/>
    <w:rsid w:val="00CA1321"/>
    <w:rsid w:val="00CA394A"/>
    <w:rsid w:val="00CA4E13"/>
    <w:rsid w:val="00CA565F"/>
    <w:rsid w:val="00CA7EA4"/>
    <w:rsid w:val="00CB03C2"/>
    <w:rsid w:val="00CB153A"/>
    <w:rsid w:val="00CB3A2C"/>
    <w:rsid w:val="00CB4B74"/>
    <w:rsid w:val="00CB6133"/>
    <w:rsid w:val="00CB616E"/>
    <w:rsid w:val="00CB6730"/>
    <w:rsid w:val="00CB6B66"/>
    <w:rsid w:val="00CB6B6A"/>
    <w:rsid w:val="00CB77AB"/>
    <w:rsid w:val="00CD3B0C"/>
    <w:rsid w:val="00CD4F5D"/>
    <w:rsid w:val="00CE5121"/>
    <w:rsid w:val="00CE6A59"/>
    <w:rsid w:val="00CE7021"/>
    <w:rsid w:val="00CF07FD"/>
    <w:rsid w:val="00CF134C"/>
    <w:rsid w:val="00CF1C5E"/>
    <w:rsid w:val="00CF227B"/>
    <w:rsid w:val="00CF4396"/>
    <w:rsid w:val="00CF4E3A"/>
    <w:rsid w:val="00CF6646"/>
    <w:rsid w:val="00CF74E0"/>
    <w:rsid w:val="00D00A5C"/>
    <w:rsid w:val="00D01D5D"/>
    <w:rsid w:val="00D05A0A"/>
    <w:rsid w:val="00D05FDA"/>
    <w:rsid w:val="00D07D43"/>
    <w:rsid w:val="00D114C4"/>
    <w:rsid w:val="00D13BAA"/>
    <w:rsid w:val="00D211CA"/>
    <w:rsid w:val="00D22D26"/>
    <w:rsid w:val="00D23105"/>
    <w:rsid w:val="00D23716"/>
    <w:rsid w:val="00D24629"/>
    <w:rsid w:val="00D2673C"/>
    <w:rsid w:val="00D26BFF"/>
    <w:rsid w:val="00D30451"/>
    <w:rsid w:val="00D32A7D"/>
    <w:rsid w:val="00D33F64"/>
    <w:rsid w:val="00D34F06"/>
    <w:rsid w:val="00D37769"/>
    <w:rsid w:val="00D37C2D"/>
    <w:rsid w:val="00D408D9"/>
    <w:rsid w:val="00D41DAB"/>
    <w:rsid w:val="00D431A2"/>
    <w:rsid w:val="00D448D9"/>
    <w:rsid w:val="00D44A55"/>
    <w:rsid w:val="00D44C2E"/>
    <w:rsid w:val="00D469C0"/>
    <w:rsid w:val="00D503E1"/>
    <w:rsid w:val="00D52400"/>
    <w:rsid w:val="00D52594"/>
    <w:rsid w:val="00D57309"/>
    <w:rsid w:val="00D602F1"/>
    <w:rsid w:val="00D60AAA"/>
    <w:rsid w:val="00D60C38"/>
    <w:rsid w:val="00D6449A"/>
    <w:rsid w:val="00D64945"/>
    <w:rsid w:val="00D65965"/>
    <w:rsid w:val="00D65F38"/>
    <w:rsid w:val="00D665C6"/>
    <w:rsid w:val="00D66BCF"/>
    <w:rsid w:val="00D66DF0"/>
    <w:rsid w:val="00D72036"/>
    <w:rsid w:val="00D74916"/>
    <w:rsid w:val="00D7592A"/>
    <w:rsid w:val="00D76B2E"/>
    <w:rsid w:val="00D77281"/>
    <w:rsid w:val="00D81685"/>
    <w:rsid w:val="00D8198E"/>
    <w:rsid w:val="00D84EFB"/>
    <w:rsid w:val="00D84FF1"/>
    <w:rsid w:val="00D8699E"/>
    <w:rsid w:val="00D8771A"/>
    <w:rsid w:val="00D90ACA"/>
    <w:rsid w:val="00D9113E"/>
    <w:rsid w:val="00D9150B"/>
    <w:rsid w:val="00D91979"/>
    <w:rsid w:val="00D94D79"/>
    <w:rsid w:val="00D951AB"/>
    <w:rsid w:val="00D95326"/>
    <w:rsid w:val="00D9742D"/>
    <w:rsid w:val="00DA1FA5"/>
    <w:rsid w:val="00DA3323"/>
    <w:rsid w:val="00DA4A2B"/>
    <w:rsid w:val="00DB0086"/>
    <w:rsid w:val="00DB02B8"/>
    <w:rsid w:val="00DB40E5"/>
    <w:rsid w:val="00DB780C"/>
    <w:rsid w:val="00DB7F95"/>
    <w:rsid w:val="00DD0A5E"/>
    <w:rsid w:val="00DD318C"/>
    <w:rsid w:val="00DD4AC7"/>
    <w:rsid w:val="00DE00E2"/>
    <w:rsid w:val="00DE2D27"/>
    <w:rsid w:val="00DE33BF"/>
    <w:rsid w:val="00DE62CA"/>
    <w:rsid w:val="00DF0F9A"/>
    <w:rsid w:val="00DF12F7"/>
    <w:rsid w:val="00DF1AB0"/>
    <w:rsid w:val="00DF5CDD"/>
    <w:rsid w:val="00E000F4"/>
    <w:rsid w:val="00E01006"/>
    <w:rsid w:val="00E01674"/>
    <w:rsid w:val="00E0406D"/>
    <w:rsid w:val="00E05E04"/>
    <w:rsid w:val="00E10C3E"/>
    <w:rsid w:val="00E11984"/>
    <w:rsid w:val="00E13701"/>
    <w:rsid w:val="00E14F63"/>
    <w:rsid w:val="00E1520D"/>
    <w:rsid w:val="00E15C86"/>
    <w:rsid w:val="00E16771"/>
    <w:rsid w:val="00E16CAE"/>
    <w:rsid w:val="00E177B5"/>
    <w:rsid w:val="00E204C6"/>
    <w:rsid w:val="00E228B0"/>
    <w:rsid w:val="00E23CFF"/>
    <w:rsid w:val="00E23F70"/>
    <w:rsid w:val="00E24E2A"/>
    <w:rsid w:val="00E252B9"/>
    <w:rsid w:val="00E27E81"/>
    <w:rsid w:val="00E35B37"/>
    <w:rsid w:val="00E42AAE"/>
    <w:rsid w:val="00E43526"/>
    <w:rsid w:val="00E50228"/>
    <w:rsid w:val="00E5022E"/>
    <w:rsid w:val="00E50FA4"/>
    <w:rsid w:val="00E54BA8"/>
    <w:rsid w:val="00E64A57"/>
    <w:rsid w:val="00E657FC"/>
    <w:rsid w:val="00E65A4C"/>
    <w:rsid w:val="00E66914"/>
    <w:rsid w:val="00E726ED"/>
    <w:rsid w:val="00E745DE"/>
    <w:rsid w:val="00E74B3E"/>
    <w:rsid w:val="00E759B3"/>
    <w:rsid w:val="00E82144"/>
    <w:rsid w:val="00E8422E"/>
    <w:rsid w:val="00E87A5E"/>
    <w:rsid w:val="00E90A92"/>
    <w:rsid w:val="00E90E6D"/>
    <w:rsid w:val="00EA2588"/>
    <w:rsid w:val="00EA3898"/>
    <w:rsid w:val="00EA52CF"/>
    <w:rsid w:val="00EA75E7"/>
    <w:rsid w:val="00EB082C"/>
    <w:rsid w:val="00EB1E66"/>
    <w:rsid w:val="00EB338C"/>
    <w:rsid w:val="00EB4421"/>
    <w:rsid w:val="00EB681F"/>
    <w:rsid w:val="00EB6F55"/>
    <w:rsid w:val="00EC06E6"/>
    <w:rsid w:val="00EC11AD"/>
    <w:rsid w:val="00EC4770"/>
    <w:rsid w:val="00ED435A"/>
    <w:rsid w:val="00EE2BCD"/>
    <w:rsid w:val="00EE3D44"/>
    <w:rsid w:val="00EF07BA"/>
    <w:rsid w:val="00EF3C1A"/>
    <w:rsid w:val="00EF723C"/>
    <w:rsid w:val="00F02AD8"/>
    <w:rsid w:val="00F043CB"/>
    <w:rsid w:val="00F04603"/>
    <w:rsid w:val="00F04E95"/>
    <w:rsid w:val="00F05529"/>
    <w:rsid w:val="00F058FA"/>
    <w:rsid w:val="00F10C1F"/>
    <w:rsid w:val="00F10E61"/>
    <w:rsid w:val="00F125B2"/>
    <w:rsid w:val="00F13D1C"/>
    <w:rsid w:val="00F14CC5"/>
    <w:rsid w:val="00F152A2"/>
    <w:rsid w:val="00F161AD"/>
    <w:rsid w:val="00F16DBE"/>
    <w:rsid w:val="00F17A6C"/>
    <w:rsid w:val="00F17ED7"/>
    <w:rsid w:val="00F20CDF"/>
    <w:rsid w:val="00F22C45"/>
    <w:rsid w:val="00F24A6E"/>
    <w:rsid w:val="00F303A1"/>
    <w:rsid w:val="00F318AD"/>
    <w:rsid w:val="00F31A4E"/>
    <w:rsid w:val="00F31BEF"/>
    <w:rsid w:val="00F33810"/>
    <w:rsid w:val="00F34EA0"/>
    <w:rsid w:val="00F40195"/>
    <w:rsid w:val="00F4098D"/>
    <w:rsid w:val="00F40EED"/>
    <w:rsid w:val="00F4142D"/>
    <w:rsid w:val="00F46CE8"/>
    <w:rsid w:val="00F50CC2"/>
    <w:rsid w:val="00F50FF3"/>
    <w:rsid w:val="00F51458"/>
    <w:rsid w:val="00F51504"/>
    <w:rsid w:val="00F539AB"/>
    <w:rsid w:val="00F553EF"/>
    <w:rsid w:val="00F557D5"/>
    <w:rsid w:val="00F61FC8"/>
    <w:rsid w:val="00F63B78"/>
    <w:rsid w:val="00F64806"/>
    <w:rsid w:val="00F71538"/>
    <w:rsid w:val="00F7271F"/>
    <w:rsid w:val="00F72F9A"/>
    <w:rsid w:val="00F7412B"/>
    <w:rsid w:val="00F76380"/>
    <w:rsid w:val="00F765C1"/>
    <w:rsid w:val="00F76726"/>
    <w:rsid w:val="00F820B5"/>
    <w:rsid w:val="00F829AF"/>
    <w:rsid w:val="00F84743"/>
    <w:rsid w:val="00F85036"/>
    <w:rsid w:val="00F9270A"/>
    <w:rsid w:val="00F957E5"/>
    <w:rsid w:val="00F95B65"/>
    <w:rsid w:val="00F97D0D"/>
    <w:rsid w:val="00F97F00"/>
    <w:rsid w:val="00FA6D7F"/>
    <w:rsid w:val="00FA79E5"/>
    <w:rsid w:val="00FA7C1F"/>
    <w:rsid w:val="00FA7F94"/>
    <w:rsid w:val="00FB0DE4"/>
    <w:rsid w:val="00FB214D"/>
    <w:rsid w:val="00FB30C0"/>
    <w:rsid w:val="00FB67D0"/>
    <w:rsid w:val="00FB789D"/>
    <w:rsid w:val="00FC3CEF"/>
    <w:rsid w:val="00FC74FC"/>
    <w:rsid w:val="00FC7B01"/>
    <w:rsid w:val="00FD0445"/>
    <w:rsid w:val="00FD0FCC"/>
    <w:rsid w:val="00FD3616"/>
    <w:rsid w:val="00FD5ADD"/>
    <w:rsid w:val="00FE07FB"/>
    <w:rsid w:val="00FE0C74"/>
    <w:rsid w:val="00FE19A9"/>
    <w:rsid w:val="00FE31C3"/>
    <w:rsid w:val="00FE74A8"/>
    <w:rsid w:val="00FF02B4"/>
    <w:rsid w:val="00FF2A84"/>
    <w:rsid w:val="00FF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8918EA"/>
    <w:rPr>
      <w:sz w:val="20"/>
      <w:szCs w:val="20"/>
    </w:rPr>
  </w:style>
  <w:style w:type="character" w:styleId="FootnoteReference">
    <w:name w:val="footnote reference"/>
    <w:aliases w:val="o,fr,Style 3"/>
    <w:basedOn w:val="DefaultParagraphFont"/>
    <w:uiPriority w:val="99"/>
    <w:qFormat/>
    <w:rsid w:val="008918EA"/>
    <w:rPr>
      <w:rFonts w:cs="Times New Roman"/>
      <w:vertAlign w:val="superscript"/>
    </w:rPr>
  </w:style>
  <w:style w:type="paragraph" w:styleId="BodyText">
    <w:name w:val="Body Text"/>
    <w:basedOn w:val="Normal"/>
    <w:link w:val="BodyTextChar"/>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99"/>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 w:type="character" w:customStyle="1" w:styleId="BodyTextChar">
    <w:name w:val="Body Text Char"/>
    <w:basedOn w:val="DefaultParagraphFont"/>
    <w:link w:val="BodyText"/>
    <w:rsid w:val="00721F40"/>
    <w:rPr>
      <w:b/>
      <w:bCs/>
      <w:sz w:val="24"/>
      <w:szCs w:val="24"/>
    </w:rPr>
  </w:style>
  <w:style w:type="character" w:customStyle="1" w:styleId="EquationCaption">
    <w:name w:val="_Equation Caption"/>
    <w:rsid w:val="006A4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RTF5fNum2040"/>
    <w:pPr>
      <w:numPr>
        <w:numId w:val="21"/>
      </w:numPr>
    </w:pPr>
  </w:style>
  <w:style w:type="numbering" w:customStyle="1" w:styleId="Footer">
    <w:name w:val="RTF5fNum203"/>
    <w:pPr>
      <w:numPr>
        <w:numId w:val="3"/>
      </w:numPr>
    </w:pPr>
  </w:style>
  <w:style w:type="numbering" w:customStyle="1" w:styleId="PageNumber">
    <w:name w:val="RTF5fNum2047"/>
    <w:pPr>
      <w:numPr>
        <w:numId w:val="26"/>
      </w:numPr>
    </w:pPr>
  </w:style>
  <w:style w:type="numbering" w:customStyle="1" w:styleId="LineNumber">
    <w:name w:val="RTF5fNum2045"/>
    <w:pPr>
      <w:numPr>
        <w:numId w:val="25"/>
      </w:numPr>
    </w:pPr>
  </w:style>
  <w:style w:type="numbering" w:customStyle="1" w:styleId="BodyText2">
    <w:name w:val="RTF5fNum207"/>
    <w:pPr>
      <w:numPr>
        <w:numId w:val="5"/>
      </w:numPr>
    </w:pPr>
  </w:style>
  <w:style w:type="numbering" w:customStyle="1" w:styleId="BodyTextIndent2">
    <w:name w:val="RTF5fNum2036"/>
    <w:pPr>
      <w:numPr>
        <w:numId w:val="34"/>
      </w:numPr>
    </w:pPr>
  </w:style>
  <w:style w:type="numbering" w:customStyle="1" w:styleId="BodyTextIndent3">
    <w:name w:val="RTF5fNum2018"/>
    <w:pPr>
      <w:numPr>
        <w:numId w:val="11"/>
      </w:numPr>
    </w:pPr>
  </w:style>
  <w:style w:type="numbering" w:customStyle="1" w:styleId="FootnoteText">
    <w:name w:val="RTF5fNum2011"/>
    <w:pPr>
      <w:numPr>
        <w:numId w:val="7"/>
      </w:numPr>
    </w:pPr>
  </w:style>
  <w:style w:type="numbering" w:customStyle="1" w:styleId="FootnoteReference">
    <w:name w:val="RTF5fNum2052"/>
    <w:pPr>
      <w:numPr>
        <w:numId w:val="29"/>
      </w:numPr>
    </w:pPr>
  </w:style>
  <w:style w:type="numbering" w:customStyle="1" w:styleId="BodyText">
    <w:name w:val="RTF5fNum2048"/>
    <w:pPr>
      <w:numPr>
        <w:numId w:val="27"/>
      </w:numPr>
    </w:pPr>
  </w:style>
  <w:style w:type="numbering" w:customStyle="1" w:styleId="DocumentMap">
    <w:name w:val="RTF5fNum2026"/>
    <w:pPr>
      <w:numPr>
        <w:numId w:val="15"/>
      </w:numPr>
    </w:pPr>
  </w:style>
  <w:style w:type="numbering" w:customStyle="1" w:styleId="TestBody">
    <w:name w:val="RTF5fNum2012"/>
    <w:pPr>
      <w:numPr>
        <w:numId w:val="8"/>
      </w:numPr>
    </w:pPr>
  </w:style>
  <w:style w:type="numbering" w:customStyle="1" w:styleId="AnswerBullets">
    <w:name w:val="RTF5fNum2027"/>
    <w:pPr>
      <w:numPr>
        <w:numId w:val="16"/>
      </w:numPr>
    </w:pPr>
  </w:style>
  <w:style w:type="numbering" w:customStyle="1" w:styleId="BodyText3">
    <w:name w:val="RTF5fNum2015"/>
    <w:pPr>
      <w:numPr>
        <w:numId w:val="10"/>
      </w:numPr>
    </w:pPr>
  </w:style>
  <w:style w:type="numbering" w:customStyle="1" w:styleId="P24">
    <w:name w:val="RTF5fNum2035"/>
    <w:pPr>
      <w:numPr>
        <w:numId w:val="19"/>
      </w:numPr>
    </w:pPr>
  </w:style>
  <w:style w:type="numbering" w:customStyle="1" w:styleId="P25">
    <w:name w:val="RTF5fNum2010"/>
    <w:pPr>
      <w:numPr>
        <w:numId w:val="6"/>
      </w:numPr>
    </w:pPr>
  </w:style>
  <w:style w:type="numbering" w:customStyle="1" w:styleId="P27">
    <w:name w:val="RTF5fNum206"/>
    <w:pPr>
      <w:numPr>
        <w:numId w:val="4"/>
      </w:numPr>
    </w:pPr>
  </w:style>
  <w:style w:type="numbering" w:customStyle="1" w:styleId="P31">
    <w:name w:val="RTF5fNum2044"/>
    <w:pPr>
      <w:numPr>
        <w:numId w:val="24"/>
      </w:numPr>
    </w:pPr>
  </w:style>
  <w:style w:type="numbering" w:customStyle="1" w:styleId="P43">
    <w:name w:val="RTF5fNum2030"/>
    <w:pPr>
      <w:numPr>
        <w:numId w:val="17"/>
      </w:numPr>
    </w:pPr>
  </w:style>
  <w:style w:type="numbering" w:customStyle="1" w:styleId="P44">
    <w:name w:val="RTF5fNum2014"/>
    <w:pPr>
      <w:numPr>
        <w:numId w:val="9"/>
      </w:numPr>
    </w:pPr>
  </w:style>
  <w:style w:type="numbering" w:customStyle="1" w:styleId="P47">
    <w:name w:val="RTF5fNum2042"/>
    <w:pPr>
      <w:numPr>
        <w:numId w:val="23"/>
      </w:numPr>
    </w:pPr>
  </w:style>
  <w:style w:type="numbering" w:customStyle="1" w:styleId="P63">
    <w:name w:val="RTF5fNum2053"/>
    <w:pPr>
      <w:numPr>
        <w:numId w:val="30"/>
      </w:numPr>
    </w:pPr>
  </w:style>
  <w:style w:type="numbering" w:customStyle="1" w:styleId="P65">
    <w:name w:val="RTF5fNum2041"/>
    <w:pPr>
      <w:numPr>
        <w:numId w:val="22"/>
      </w:numPr>
    </w:pPr>
  </w:style>
  <w:style w:type="numbering" w:customStyle="1" w:styleId="P70">
    <w:name w:val="RTF5fNum2039"/>
    <w:pPr>
      <w:numPr>
        <w:numId w:val="20"/>
      </w:numPr>
    </w:pPr>
  </w:style>
  <w:style w:type="numbering" w:customStyle="1" w:styleId="P72">
    <w:name w:val="RTF5fNum2051"/>
    <w:pPr>
      <w:numPr>
        <w:numId w:val="28"/>
      </w:numPr>
    </w:pPr>
  </w:style>
  <w:style w:type="numbering" w:customStyle="1" w:styleId="P83">
    <w:name w:val="RTF5fNum2021"/>
    <w:pPr>
      <w:numPr>
        <w:numId w:val="13"/>
      </w:numPr>
    </w:pPr>
  </w:style>
  <w:style w:type="numbering" w:customStyle="1" w:styleId="P84">
    <w:name w:val="RTF5fNum2033"/>
    <w:pPr>
      <w:numPr>
        <w:numId w:val="18"/>
      </w:numPr>
    </w:pPr>
  </w:style>
  <w:style w:type="numbering" w:customStyle="1" w:styleId="P85">
    <w:name w:val="RTF5fNum2019"/>
    <w:pPr>
      <w:numPr>
        <w:numId w:val="12"/>
      </w:numPr>
    </w:pPr>
  </w:style>
  <w:style w:type="numbering" w:customStyle="1" w:styleId="P101">
    <w:name w:val="RTF5fNum2022"/>
    <w:pPr>
      <w:numPr>
        <w:numId w:val="14"/>
      </w:numPr>
    </w:pPr>
  </w:style>
</w:styles>
</file>

<file path=word/webSettings.xml><?xml version="1.0" encoding="utf-8"?>
<w:webSettings xmlns:r="http://schemas.openxmlformats.org/officeDocument/2006/relationships" xmlns:w="http://schemas.openxmlformats.org/wordprocessingml/2006/main">
  <w:divs>
    <w:div w:id="65031064">
      <w:bodyDiv w:val="1"/>
      <w:marLeft w:val="0"/>
      <w:marRight w:val="0"/>
      <w:marTop w:val="0"/>
      <w:marBottom w:val="0"/>
      <w:divBdr>
        <w:top w:val="none" w:sz="0" w:space="0" w:color="auto"/>
        <w:left w:val="none" w:sz="0" w:space="0" w:color="auto"/>
        <w:bottom w:val="none" w:sz="0" w:space="0" w:color="auto"/>
        <w:right w:val="none" w:sz="0" w:space="0" w:color="auto"/>
      </w:divBdr>
    </w:div>
    <w:div w:id="364064500">
      <w:bodyDiv w:val="1"/>
      <w:marLeft w:val="0"/>
      <w:marRight w:val="0"/>
      <w:marTop w:val="0"/>
      <w:marBottom w:val="0"/>
      <w:divBdr>
        <w:top w:val="none" w:sz="0" w:space="0" w:color="auto"/>
        <w:left w:val="none" w:sz="0" w:space="0" w:color="auto"/>
        <w:bottom w:val="none" w:sz="0" w:space="0" w:color="auto"/>
        <w:right w:val="none" w:sz="0" w:space="0" w:color="auto"/>
      </w:divBdr>
    </w:div>
    <w:div w:id="418528646">
      <w:bodyDiv w:val="1"/>
      <w:marLeft w:val="0"/>
      <w:marRight w:val="0"/>
      <w:marTop w:val="0"/>
      <w:marBottom w:val="0"/>
      <w:divBdr>
        <w:top w:val="none" w:sz="0" w:space="0" w:color="auto"/>
        <w:left w:val="none" w:sz="0" w:space="0" w:color="auto"/>
        <w:bottom w:val="none" w:sz="0" w:space="0" w:color="auto"/>
        <w:right w:val="none" w:sz="0" w:space="0" w:color="auto"/>
      </w:divBdr>
    </w:div>
    <w:div w:id="570386216">
      <w:bodyDiv w:val="1"/>
      <w:marLeft w:val="0"/>
      <w:marRight w:val="0"/>
      <w:marTop w:val="0"/>
      <w:marBottom w:val="0"/>
      <w:divBdr>
        <w:top w:val="none" w:sz="0" w:space="0" w:color="auto"/>
        <w:left w:val="none" w:sz="0" w:space="0" w:color="auto"/>
        <w:bottom w:val="none" w:sz="0" w:space="0" w:color="auto"/>
        <w:right w:val="none" w:sz="0" w:space="0" w:color="auto"/>
      </w:divBdr>
    </w:div>
    <w:div w:id="1182428921">
      <w:bodyDiv w:val="1"/>
      <w:marLeft w:val="0"/>
      <w:marRight w:val="0"/>
      <w:marTop w:val="0"/>
      <w:marBottom w:val="0"/>
      <w:divBdr>
        <w:top w:val="none" w:sz="0" w:space="0" w:color="auto"/>
        <w:left w:val="none" w:sz="0" w:space="0" w:color="auto"/>
        <w:bottom w:val="none" w:sz="0" w:space="0" w:color="auto"/>
        <w:right w:val="none" w:sz="0" w:space="0" w:color="auto"/>
      </w:divBdr>
    </w:div>
    <w:div w:id="1187404018">
      <w:bodyDiv w:val="1"/>
      <w:marLeft w:val="0"/>
      <w:marRight w:val="0"/>
      <w:marTop w:val="0"/>
      <w:marBottom w:val="0"/>
      <w:divBdr>
        <w:top w:val="none" w:sz="0" w:space="0" w:color="auto"/>
        <w:left w:val="none" w:sz="0" w:space="0" w:color="auto"/>
        <w:bottom w:val="none" w:sz="0" w:space="0" w:color="auto"/>
        <w:right w:val="none" w:sz="0" w:space="0" w:color="auto"/>
      </w:divBdr>
    </w:div>
    <w:div w:id="1511337799">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emf"/><Relationship Id="rId26" Type="http://schemas.openxmlformats.org/officeDocument/2006/relationships/image" Target="media/image15.emf"/><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image" Target="media/image21.emf"/><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ntTable" Target="fontTable.xml"/><Relationship Id="rId43" Type="http://schemas.openxmlformats.org/officeDocument/2006/relationships/customXml" Target="../customXml/item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16E14-CAC4-47D7-AE0C-4D772C262C1A}"/>
</file>

<file path=customXml/itemProps2.xml><?xml version="1.0" encoding="utf-8"?>
<ds:datastoreItem xmlns:ds="http://schemas.openxmlformats.org/officeDocument/2006/customXml" ds:itemID="{9E0BBD3A-FD3F-4859-A5B2-DC5FD4880732}"/>
</file>

<file path=customXml/itemProps3.xml><?xml version="1.0" encoding="utf-8"?>
<ds:datastoreItem xmlns:ds="http://schemas.openxmlformats.org/officeDocument/2006/customXml" ds:itemID="{497E959A-659D-4FC7-9479-2DEA95D81799}"/>
</file>

<file path=customXml/itemProps4.xml><?xml version="1.0" encoding="utf-8"?>
<ds:datastoreItem xmlns:ds="http://schemas.openxmlformats.org/officeDocument/2006/customXml" ds:itemID="{DAFF679F-C177-46F5-9FBE-3745E073A8EA}"/>
</file>

<file path=customXml/itemProps5.xml><?xml version="1.0" encoding="utf-8"?>
<ds:datastoreItem xmlns:ds="http://schemas.openxmlformats.org/officeDocument/2006/customXml" ds:itemID="{319C5362-9B8B-4E3F-B1E0-6DD3C356E1BD}"/>
</file>

<file path=docProps/app.xml><?xml version="1.0" encoding="utf-8"?>
<Properties xmlns="http://schemas.openxmlformats.org/officeDocument/2006/extended-properties" xmlns:vt="http://schemas.openxmlformats.org/officeDocument/2006/docPropsVTypes">
  <Template>Normal.dotm</Template>
  <TotalTime>2749</TotalTime>
  <Pages>82</Pages>
  <Words>18848</Words>
  <Characters>99759</Characters>
  <Application>Microsoft Office Word</Application>
  <DocSecurity>0</DocSecurity>
  <Lines>831</Lines>
  <Paragraphs>236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118371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149</cp:revision>
  <cp:lastPrinted>2014-01-24T22:41:00Z</cp:lastPrinted>
  <dcterms:created xsi:type="dcterms:W3CDTF">2013-12-24T20:36:00Z</dcterms:created>
  <dcterms:modified xsi:type="dcterms:W3CDTF">2014-01-29T21:05:00Z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