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7E" w:rsidRPr="002F71E7" w:rsidRDefault="008A6446" w:rsidP="00B1206B">
      <w:pPr>
        <w:jc w:val="center"/>
        <w:rPr>
          <w:b/>
        </w:rPr>
      </w:pPr>
      <w:bookmarkStart w:id="0" w:name="OLE_LINK2"/>
      <w:r>
        <w:rPr>
          <w:b/>
        </w:rPr>
        <w:t>PACIFICORP GENERAL RATE CASE DOCKET</w:t>
      </w:r>
      <w:r w:rsidR="00D11C7E" w:rsidRPr="002F71E7">
        <w:rPr>
          <w:b/>
        </w:rPr>
        <w:t xml:space="preserve"> UE-</w:t>
      </w:r>
      <w:r w:rsidR="003C32D7">
        <w:rPr>
          <w:b/>
        </w:rPr>
        <w:t>130043</w:t>
      </w:r>
    </w:p>
    <w:p w:rsidR="00D11C7E" w:rsidRPr="002F71E7" w:rsidRDefault="00D11C7E" w:rsidP="00B1206B">
      <w:pPr>
        <w:jc w:val="center"/>
        <w:rPr>
          <w:b/>
        </w:rPr>
      </w:pPr>
      <w:r w:rsidRPr="002F71E7">
        <w:rPr>
          <w:b/>
        </w:rPr>
        <w:t>ISSUES MATRIX</w:t>
      </w:r>
    </w:p>
    <w:p w:rsidR="00D11C7E" w:rsidRPr="002F71E7" w:rsidRDefault="00D11C7E" w:rsidP="00B1206B">
      <w:pPr>
        <w:jc w:val="center"/>
        <w:rPr>
          <w:b/>
        </w:rPr>
      </w:pPr>
    </w:p>
    <w:p w:rsidR="00D11C7E" w:rsidRPr="002F71E7" w:rsidRDefault="00D11C7E" w:rsidP="00B1206B"/>
    <w:tbl>
      <w:tblPr>
        <w:tblStyle w:val="TableGrid"/>
        <w:tblW w:w="14604" w:type="dxa"/>
        <w:tblLayout w:type="fixed"/>
        <w:tblCellMar>
          <w:left w:w="115" w:type="dxa"/>
          <w:right w:w="115" w:type="dxa"/>
        </w:tblCellMar>
        <w:tblLook w:val="01E0"/>
      </w:tblPr>
      <w:tblGrid>
        <w:gridCol w:w="2086"/>
        <w:gridCol w:w="2086"/>
        <w:gridCol w:w="2087"/>
        <w:gridCol w:w="2086"/>
        <w:gridCol w:w="2087"/>
        <w:gridCol w:w="2086"/>
        <w:gridCol w:w="2086"/>
      </w:tblGrid>
      <w:tr w:rsidR="001A151C" w:rsidRPr="002F71E7" w:rsidTr="009E4FD7">
        <w:trPr>
          <w:trHeight w:val="20"/>
          <w:tblHeader/>
        </w:trPr>
        <w:tc>
          <w:tcPr>
            <w:tcW w:w="2086" w:type="dxa"/>
            <w:shd w:val="clear" w:color="auto" w:fill="BFBFBF" w:themeFill="background1" w:themeFillShade="BF"/>
            <w:tcMar>
              <w:top w:w="43" w:type="dxa"/>
              <w:bottom w:w="43" w:type="dxa"/>
            </w:tcMar>
            <w:vAlign w:val="center"/>
          </w:tcPr>
          <w:bookmarkEnd w:id="0"/>
          <w:p w:rsidR="001A151C" w:rsidRPr="002F71E7" w:rsidRDefault="005A5067" w:rsidP="00B1206B">
            <w:pPr>
              <w:ind w:left="-72" w:right="-57"/>
              <w:jc w:val="center"/>
              <w:rPr>
                <w:b/>
              </w:rPr>
            </w:pPr>
            <w:r>
              <w:rPr>
                <w:b/>
              </w:rPr>
              <w:t>ISSUE</w:t>
            </w:r>
          </w:p>
        </w:tc>
        <w:tc>
          <w:tcPr>
            <w:tcW w:w="2086" w:type="dxa"/>
            <w:shd w:val="clear" w:color="auto" w:fill="BFBFBF" w:themeFill="background1" w:themeFillShade="BF"/>
            <w:tcMar>
              <w:top w:w="43" w:type="dxa"/>
              <w:bottom w:w="43" w:type="dxa"/>
            </w:tcMar>
            <w:vAlign w:val="center"/>
          </w:tcPr>
          <w:p w:rsidR="001A151C" w:rsidRPr="002F71E7" w:rsidRDefault="001A151C" w:rsidP="00B1206B">
            <w:pPr>
              <w:ind w:left="-74" w:right="-55"/>
              <w:jc w:val="center"/>
              <w:rPr>
                <w:b/>
              </w:rPr>
            </w:pPr>
            <w:r>
              <w:rPr>
                <w:b/>
              </w:rPr>
              <w:t>PACIFICORP</w:t>
            </w:r>
          </w:p>
        </w:tc>
        <w:tc>
          <w:tcPr>
            <w:tcW w:w="2087" w:type="dxa"/>
            <w:shd w:val="clear" w:color="auto" w:fill="BFBFBF" w:themeFill="background1" w:themeFillShade="BF"/>
            <w:tcMar>
              <w:top w:w="43" w:type="dxa"/>
              <w:bottom w:w="43" w:type="dxa"/>
            </w:tcMar>
            <w:vAlign w:val="center"/>
          </w:tcPr>
          <w:p w:rsidR="001A151C" w:rsidRPr="002F71E7" w:rsidRDefault="001A151C" w:rsidP="00B1206B">
            <w:pPr>
              <w:ind w:left="-74" w:right="-55"/>
              <w:jc w:val="center"/>
              <w:rPr>
                <w:b/>
              </w:rPr>
            </w:pPr>
            <w:r>
              <w:rPr>
                <w:b/>
              </w:rPr>
              <w:t>COMMISSION</w:t>
            </w:r>
            <w:r>
              <w:rPr>
                <w:b/>
              </w:rPr>
              <w:br/>
            </w:r>
            <w:r w:rsidRPr="002F71E7">
              <w:rPr>
                <w:b/>
              </w:rPr>
              <w:t>STAFF</w:t>
            </w:r>
          </w:p>
        </w:tc>
        <w:tc>
          <w:tcPr>
            <w:tcW w:w="2086" w:type="dxa"/>
            <w:shd w:val="clear" w:color="auto" w:fill="BFBFBF" w:themeFill="background1" w:themeFillShade="BF"/>
            <w:tcMar>
              <w:top w:w="43" w:type="dxa"/>
              <w:bottom w:w="43" w:type="dxa"/>
            </w:tcMar>
            <w:vAlign w:val="center"/>
          </w:tcPr>
          <w:p w:rsidR="001A151C" w:rsidRPr="002F71E7" w:rsidRDefault="001A151C" w:rsidP="00B1206B">
            <w:pPr>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tcMar>
              <w:top w:w="43" w:type="dxa"/>
              <w:bottom w:w="43" w:type="dxa"/>
            </w:tcMar>
            <w:vAlign w:val="center"/>
          </w:tcPr>
          <w:p w:rsidR="001A151C" w:rsidRDefault="001A151C" w:rsidP="00B1206B">
            <w:pPr>
              <w:ind w:left="-74" w:right="-55"/>
              <w:jc w:val="center"/>
              <w:rPr>
                <w:b/>
              </w:rPr>
            </w:pPr>
            <w:r>
              <w:rPr>
                <w:b/>
              </w:rPr>
              <w:t>BOISE</w:t>
            </w:r>
          </w:p>
          <w:p w:rsidR="001A151C" w:rsidRPr="002F71E7" w:rsidRDefault="001A151C" w:rsidP="00B1206B">
            <w:pPr>
              <w:ind w:left="-74" w:right="-55"/>
              <w:jc w:val="center"/>
              <w:rPr>
                <w:b/>
              </w:rPr>
            </w:pPr>
            <w:r>
              <w:rPr>
                <w:b/>
              </w:rPr>
              <w:t>WHITE PAPER</w:t>
            </w:r>
          </w:p>
        </w:tc>
        <w:tc>
          <w:tcPr>
            <w:tcW w:w="2086" w:type="dxa"/>
            <w:shd w:val="clear" w:color="auto" w:fill="BFBFBF" w:themeFill="background1" w:themeFillShade="BF"/>
            <w:tcMar>
              <w:top w:w="43" w:type="dxa"/>
              <w:bottom w:w="43" w:type="dxa"/>
            </w:tcMar>
            <w:vAlign w:val="center"/>
          </w:tcPr>
          <w:p w:rsidR="001A151C" w:rsidRPr="002F71E7" w:rsidRDefault="0088773C" w:rsidP="00B1206B">
            <w:pPr>
              <w:ind w:left="-74" w:right="-55"/>
              <w:jc w:val="center"/>
              <w:rPr>
                <w:b/>
              </w:rPr>
            </w:pPr>
            <w:r>
              <w:rPr>
                <w:b/>
              </w:rPr>
              <w:t>COLUMBIA RU</w:t>
            </w:r>
            <w:r w:rsidR="005A5067">
              <w:rPr>
                <w:b/>
              </w:rPr>
              <w:t>R</w:t>
            </w:r>
            <w:r>
              <w:rPr>
                <w:b/>
              </w:rPr>
              <w:t>AL ELECTRIC ASSOCIATION</w:t>
            </w:r>
          </w:p>
        </w:tc>
        <w:tc>
          <w:tcPr>
            <w:tcW w:w="2086" w:type="dxa"/>
            <w:shd w:val="clear" w:color="auto" w:fill="BFBFBF" w:themeFill="background1" w:themeFillShade="BF"/>
            <w:tcMar>
              <w:top w:w="43" w:type="dxa"/>
              <w:bottom w:w="43" w:type="dxa"/>
            </w:tcMar>
            <w:vAlign w:val="center"/>
          </w:tcPr>
          <w:p w:rsidR="001A151C" w:rsidRDefault="00163794" w:rsidP="00B1206B">
            <w:pPr>
              <w:ind w:left="-74" w:right="-55"/>
              <w:jc w:val="center"/>
              <w:rPr>
                <w:b/>
              </w:rPr>
            </w:pPr>
            <w:r>
              <w:rPr>
                <w:b/>
              </w:rPr>
              <w:t>ENERGY PROJECT</w:t>
            </w:r>
          </w:p>
        </w:tc>
      </w:tr>
      <w:tr w:rsidR="001A151C" w:rsidRPr="002F71E7" w:rsidTr="009E4FD7">
        <w:trPr>
          <w:trHeight w:val="20"/>
        </w:trPr>
        <w:tc>
          <w:tcPr>
            <w:tcW w:w="2086" w:type="dxa"/>
            <w:tcBorders>
              <w:bottom w:val="single" w:sz="4" w:space="0" w:color="auto"/>
            </w:tcBorders>
            <w:tcMar>
              <w:top w:w="43" w:type="dxa"/>
              <w:bottom w:w="43" w:type="dxa"/>
            </w:tcMar>
          </w:tcPr>
          <w:p w:rsidR="001A151C" w:rsidRDefault="001A151C" w:rsidP="009E4FD7">
            <w:pPr>
              <w:spacing w:after="60"/>
              <w:ind w:left="-72" w:right="-57"/>
              <w:rPr>
                <w:b/>
                <w:i/>
              </w:rPr>
            </w:pPr>
            <w:r w:rsidRPr="002F71E7">
              <w:rPr>
                <w:b/>
                <w:i/>
              </w:rPr>
              <w:t xml:space="preserve">Overall </w:t>
            </w:r>
            <w:r>
              <w:rPr>
                <w:b/>
                <w:i/>
              </w:rPr>
              <w:t xml:space="preserve">Revenue / </w:t>
            </w:r>
          </w:p>
          <w:p w:rsidR="001A151C" w:rsidRPr="002F71E7" w:rsidRDefault="001A151C" w:rsidP="009E4FD7">
            <w:pPr>
              <w:spacing w:after="60"/>
              <w:ind w:left="-72" w:right="-57"/>
            </w:pPr>
            <w:r w:rsidRPr="002F71E7">
              <w:rPr>
                <w:b/>
                <w:i/>
              </w:rPr>
              <w:t>Rate</w:t>
            </w:r>
            <w:r>
              <w:rPr>
                <w:b/>
                <w:i/>
              </w:rPr>
              <w:t xml:space="preserve"> Increase</w:t>
            </w:r>
          </w:p>
        </w:tc>
        <w:tc>
          <w:tcPr>
            <w:tcW w:w="2086" w:type="dxa"/>
            <w:tcBorders>
              <w:bottom w:val="single" w:sz="4" w:space="0" w:color="auto"/>
            </w:tcBorders>
            <w:tcMar>
              <w:top w:w="43" w:type="dxa"/>
              <w:bottom w:w="43" w:type="dxa"/>
            </w:tcMar>
          </w:tcPr>
          <w:p w:rsidR="001A151C" w:rsidRDefault="001A151C" w:rsidP="009E4FD7">
            <w:pPr>
              <w:tabs>
                <w:tab w:val="left" w:pos="439"/>
                <w:tab w:val="right" w:pos="1491"/>
              </w:tabs>
              <w:spacing w:after="60"/>
              <w:ind w:left="-74" w:right="-55"/>
            </w:pPr>
            <w:r>
              <w:tab/>
            </w:r>
            <w:r w:rsidRPr="002F71E7">
              <w:t>$</w:t>
            </w:r>
            <w:r>
              <w:t>42,800,673</w:t>
            </w:r>
          </w:p>
          <w:p w:rsidR="001A151C" w:rsidRPr="002F71E7" w:rsidRDefault="001A151C" w:rsidP="009E4FD7">
            <w:pPr>
              <w:tabs>
                <w:tab w:val="left" w:pos="439"/>
                <w:tab w:val="right" w:pos="1491"/>
              </w:tabs>
              <w:spacing w:after="60"/>
              <w:ind w:left="-74" w:right="-55"/>
            </w:pPr>
            <w:r>
              <w:tab/>
              <w:t>(14.1</w:t>
            </w:r>
            <w:r w:rsidRPr="002F71E7">
              <w:t>%)</w:t>
            </w:r>
          </w:p>
        </w:tc>
        <w:tc>
          <w:tcPr>
            <w:tcW w:w="2087" w:type="dxa"/>
            <w:tcBorders>
              <w:bottom w:val="single" w:sz="4" w:space="0" w:color="auto"/>
            </w:tcBorders>
            <w:tcMar>
              <w:top w:w="43" w:type="dxa"/>
              <w:bottom w:w="43" w:type="dxa"/>
            </w:tcMar>
          </w:tcPr>
          <w:p w:rsidR="001A151C" w:rsidRPr="002F71E7" w:rsidRDefault="001A151C" w:rsidP="009E4FD7">
            <w:pPr>
              <w:tabs>
                <w:tab w:val="left" w:pos="439"/>
                <w:tab w:val="right" w:pos="1491"/>
              </w:tabs>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tabs>
                <w:tab w:val="left" w:pos="439"/>
                <w:tab w:val="right" w:pos="1491"/>
              </w:tabs>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tabs>
                <w:tab w:val="left" w:pos="439"/>
                <w:tab w:val="right" w:pos="1491"/>
              </w:tabs>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tabs>
                <w:tab w:val="left" w:pos="439"/>
                <w:tab w:val="right" w:pos="1491"/>
              </w:tabs>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tabs>
                <w:tab w:val="left" w:pos="439"/>
                <w:tab w:val="right" w:pos="1491"/>
              </w:tabs>
              <w:spacing w:after="60"/>
              <w:ind w:left="-74" w:right="-55"/>
            </w:pPr>
          </w:p>
        </w:tc>
      </w:tr>
      <w:tr w:rsidR="001A151C" w:rsidRPr="00627242" w:rsidTr="009E4FD7">
        <w:trPr>
          <w:trHeight w:val="20"/>
        </w:trPr>
        <w:tc>
          <w:tcPr>
            <w:tcW w:w="2086" w:type="dxa"/>
            <w:tcBorders>
              <w:top w:val="single" w:sz="4" w:space="0" w:color="auto"/>
              <w:left w:val="single" w:sz="4" w:space="0" w:color="auto"/>
              <w:bottom w:val="single" w:sz="4" w:space="0" w:color="auto"/>
              <w:right w:val="nil"/>
            </w:tcBorders>
            <w:shd w:val="clear" w:color="auto" w:fill="BFBFBF" w:themeFill="background1" w:themeFillShade="BF"/>
            <w:tcMar>
              <w:top w:w="43" w:type="dxa"/>
              <w:bottom w:w="43" w:type="dxa"/>
            </w:tcMar>
          </w:tcPr>
          <w:p w:rsidR="001A151C" w:rsidRPr="00627242" w:rsidRDefault="001A151C" w:rsidP="009E4FD7">
            <w:pPr>
              <w:ind w:left="-72" w:right="-57"/>
              <w:rPr>
                <w:b/>
                <w:i/>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1A151C" w:rsidRPr="00627242" w:rsidRDefault="001A151C" w:rsidP="009E4FD7">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1A151C" w:rsidRPr="00627242" w:rsidRDefault="001A151C" w:rsidP="009E4FD7">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1A151C" w:rsidRPr="00627242" w:rsidRDefault="001A151C" w:rsidP="009E4FD7">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1A151C" w:rsidRPr="00627242" w:rsidRDefault="001A151C" w:rsidP="009E4FD7">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1A151C" w:rsidRPr="00627242" w:rsidRDefault="001A151C" w:rsidP="009E4FD7">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1A151C" w:rsidRPr="00627242" w:rsidRDefault="001A151C" w:rsidP="009E4FD7">
            <w:pPr>
              <w:ind w:left="-74" w:right="-55"/>
              <w:rPr>
                <w:sz w:val="6"/>
                <w:szCs w:val="6"/>
              </w:rPr>
            </w:pPr>
          </w:p>
        </w:tc>
      </w:tr>
      <w:tr w:rsidR="001A151C" w:rsidRPr="002F71E7" w:rsidTr="009E4FD7">
        <w:trPr>
          <w:trHeight w:val="20"/>
        </w:trPr>
        <w:tc>
          <w:tcPr>
            <w:tcW w:w="2086" w:type="dxa"/>
            <w:tcBorders>
              <w:bottom w:val="single" w:sz="4" w:space="0" w:color="auto"/>
            </w:tcBorders>
            <w:tcMar>
              <w:top w:w="43" w:type="dxa"/>
              <w:bottom w:w="43" w:type="dxa"/>
            </w:tcMar>
          </w:tcPr>
          <w:p w:rsidR="007E0EFC" w:rsidRDefault="001A151C" w:rsidP="009E4FD7">
            <w:pPr>
              <w:spacing w:after="60"/>
              <w:ind w:left="-72" w:right="-57"/>
              <w:rPr>
                <w:b/>
                <w:i/>
              </w:rPr>
            </w:pPr>
            <w:r w:rsidRPr="002F71E7">
              <w:rPr>
                <w:b/>
                <w:i/>
              </w:rPr>
              <w:t xml:space="preserve">Capital Structure </w:t>
            </w:r>
          </w:p>
          <w:p w:rsidR="001A151C" w:rsidRPr="002F71E7" w:rsidRDefault="001A151C" w:rsidP="009E4FD7">
            <w:pPr>
              <w:spacing w:after="60"/>
              <w:ind w:left="-72" w:right="-57"/>
              <w:rPr>
                <w:b/>
                <w:i/>
              </w:rPr>
            </w:pPr>
            <w:r w:rsidRPr="002F71E7">
              <w:rPr>
                <w:b/>
                <w:i/>
              </w:rPr>
              <w:t>and Cost of Capital</w:t>
            </w: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rPr>
                <w:b/>
                <w:i/>
              </w:rPr>
            </w:pPr>
            <w:r w:rsidRPr="002F71E7">
              <w:rPr>
                <w:b/>
                <w:i/>
              </w:rPr>
              <w:t>Capital Structure</w:t>
            </w:r>
          </w:p>
          <w:p w:rsidR="001A151C" w:rsidRDefault="001A151C" w:rsidP="009E4FD7">
            <w:pPr>
              <w:spacing w:after="60"/>
              <w:ind w:left="-74" w:right="-55"/>
            </w:pPr>
            <w:r>
              <w:t>Long-term Debt: 47.21</w:t>
            </w:r>
            <w:r w:rsidRPr="002F71E7">
              <w:t>%</w:t>
            </w:r>
          </w:p>
          <w:p w:rsidR="001A151C" w:rsidRPr="002F71E7" w:rsidRDefault="001A151C" w:rsidP="009E4FD7">
            <w:pPr>
              <w:spacing w:after="60"/>
              <w:ind w:left="-74" w:right="-55"/>
            </w:pPr>
            <w:r>
              <w:t>Preferred Stock: 0.28%</w:t>
            </w:r>
          </w:p>
          <w:p w:rsidR="001A151C" w:rsidRPr="002F71E7" w:rsidRDefault="001A151C" w:rsidP="009E4FD7">
            <w:pPr>
              <w:spacing w:after="60"/>
              <w:ind w:left="-74" w:right="-55"/>
            </w:pPr>
            <w:r>
              <w:t>Common Equity: 52.51</w:t>
            </w:r>
            <w:r w:rsidRPr="002F71E7">
              <w:t>%</w:t>
            </w:r>
          </w:p>
          <w:p w:rsidR="001A151C" w:rsidRPr="002F71E7" w:rsidRDefault="001A151C" w:rsidP="009E4FD7">
            <w:pPr>
              <w:spacing w:after="60"/>
              <w:ind w:left="-74" w:right="-55"/>
              <w:rPr>
                <w:b/>
                <w:i/>
              </w:rPr>
            </w:pPr>
            <w:r w:rsidRPr="002F71E7">
              <w:rPr>
                <w:b/>
                <w:i/>
              </w:rPr>
              <w:t xml:space="preserve">Cost of Capital: </w:t>
            </w:r>
          </w:p>
          <w:p w:rsidR="001A151C" w:rsidRPr="00AE3A3B" w:rsidRDefault="001A151C" w:rsidP="009E4FD7">
            <w:pPr>
              <w:spacing w:after="60"/>
              <w:ind w:left="-74" w:right="-55"/>
            </w:pPr>
            <w:r w:rsidRPr="00AE3A3B">
              <w:t xml:space="preserve">Long-term Debt: </w:t>
            </w:r>
            <w:r>
              <w:t>5.37</w:t>
            </w:r>
            <w:r w:rsidRPr="00AE3A3B">
              <w:t>%</w:t>
            </w:r>
          </w:p>
          <w:p w:rsidR="001A151C" w:rsidRPr="00AE3A3B" w:rsidRDefault="001A151C" w:rsidP="009E4FD7">
            <w:pPr>
              <w:spacing w:after="60"/>
              <w:ind w:left="-74" w:right="-55"/>
            </w:pPr>
            <w:r w:rsidRPr="00AE3A3B">
              <w:t xml:space="preserve">Preferred Stock: </w:t>
            </w:r>
            <w:r>
              <w:t>5.43</w:t>
            </w:r>
            <w:r w:rsidRPr="00AE3A3B">
              <w:t>%</w:t>
            </w:r>
          </w:p>
          <w:p w:rsidR="001A151C" w:rsidRDefault="001A151C" w:rsidP="009E4FD7">
            <w:pPr>
              <w:spacing w:after="60"/>
              <w:ind w:left="-74" w:right="-55"/>
            </w:pPr>
            <w:r w:rsidRPr="00AE3A3B">
              <w:t xml:space="preserve">Common equity:  </w:t>
            </w:r>
            <w:r>
              <w:t>10.0</w:t>
            </w:r>
            <w:r w:rsidRPr="00AE3A3B">
              <w:t>%</w:t>
            </w:r>
          </w:p>
          <w:p w:rsidR="001A151C" w:rsidRPr="00AE3A3B" w:rsidRDefault="001A151C" w:rsidP="009E4FD7">
            <w:pPr>
              <w:spacing w:after="60"/>
              <w:ind w:left="-74" w:right="-55"/>
              <w:rPr>
                <w:b/>
              </w:rPr>
            </w:pPr>
            <w:r w:rsidRPr="00AE3A3B">
              <w:rPr>
                <w:b/>
              </w:rPr>
              <w:t xml:space="preserve">Overall Rate of Return: </w:t>
            </w:r>
            <w:r>
              <w:rPr>
                <w:b/>
              </w:rPr>
              <w:t>7.80</w:t>
            </w:r>
            <w:r w:rsidRPr="00AE3A3B">
              <w:rPr>
                <w:b/>
              </w:rPr>
              <w:t>%</w:t>
            </w:r>
          </w:p>
          <w:p w:rsidR="001A151C" w:rsidRPr="002F71E7" w:rsidRDefault="00B13F6C" w:rsidP="009E4FD7">
            <w:pPr>
              <w:spacing w:after="60"/>
              <w:ind w:left="-74" w:right="-55"/>
              <w:rPr>
                <w:u w:val="single"/>
              </w:rPr>
            </w:pPr>
            <w:r>
              <w:t>Capital structure, cost of long-term debt, and cost of preferred stock are addressed in</w:t>
            </w:r>
            <w:r w:rsidR="001A151C">
              <w:t xml:space="preserve"> Exhibit No.___(BNW-1T)</w:t>
            </w:r>
            <w:r>
              <w:t>.  Cost of common equity is addressed in Exhibit No.___(SCH-1T).</w:t>
            </w:r>
            <w:r w:rsidR="001A151C">
              <w:t xml:space="preserve"> </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852000" w:rsidRPr="00627242" w:rsidTr="009E4FD7">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b/>
                <w:i/>
                <w:sz w:val="6"/>
                <w:szCs w:val="6"/>
              </w:rPr>
            </w:pPr>
          </w:p>
        </w:tc>
      </w:tr>
      <w:tr w:rsidR="001A151C" w:rsidRPr="002F71E7" w:rsidTr="009E4FD7">
        <w:trPr>
          <w:trHeight w:val="20"/>
        </w:trPr>
        <w:tc>
          <w:tcPr>
            <w:tcW w:w="14604" w:type="dxa"/>
            <w:gridSpan w:val="7"/>
            <w:tcMar>
              <w:top w:w="43" w:type="dxa"/>
              <w:bottom w:w="43" w:type="dxa"/>
            </w:tcMar>
          </w:tcPr>
          <w:p w:rsidR="001A151C" w:rsidRDefault="001A151C" w:rsidP="009E4FD7">
            <w:pPr>
              <w:spacing w:after="60"/>
              <w:ind w:left="-72" w:right="-57"/>
              <w:rPr>
                <w:b/>
                <w:i/>
              </w:rPr>
            </w:pPr>
            <w:r>
              <w:rPr>
                <w:b/>
                <w:i/>
              </w:rPr>
              <w:t>Revenue Requirement Adjustments to Operating Revenues</w:t>
            </w:r>
          </w:p>
          <w:p w:rsidR="001A151C" w:rsidRPr="002F71E7" w:rsidRDefault="001A151C" w:rsidP="009E4FD7">
            <w:pPr>
              <w:spacing w:after="60"/>
              <w:ind w:left="-74" w:right="-55"/>
            </w:pPr>
            <w:r>
              <w:rPr>
                <w:b/>
                <w:i/>
              </w:rPr>
              <w:t>(Tab 3 of Exhibit No.___(</w:t>
            </w:r>
            <w:r w:rsidR="00852000">
              <w:rPr>
                <w:b/>
                <w:i/>
              </w:rPr>
              <w:t>SRM</w:t>
            </w:r>
            <w:r>
              <w:rPr>
                <w:b/>
                <w:i/>
              </w:rPr>
              <w:t>-3)</w:t>
            </w: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 3.1 </w:t>
            </w:r>
          </w:p>
          <w:p w:rsidR="001A151C" w:rsidRPr="002F71E7" w:rsidRDefault="001A151C" w:rsidP="009E4FD7">
            <w:pPr>
              <w:spacing w:after="60"/>
              <w:ind w:left="-72" w:right="-57"/>
              <w:rPr>
                <w:b/>
                <w:i/>
              </w:rPr>
            </w:pPr>
            <w:r>
              <w:rPr>
                <w:b/>
                <w:i/>
              </w:rPr>
              <w:t>Temperature Normalization</w:t>
            </w:r>
          </w:p>
        </w:tc>
        <w:tc>
          <w:tcPr>
            <w:tcW w:w="2086" w:type="dxa"/>
            <w:tcMar>
              <w:top w:w="43" w:type="dxa"/>
              <w:bottom w:w="43" w:type="dxa"/>
            </w:tcMar>
          </w:tcPr>
          <w:p w:rsidR="001A151C" w:rsidRDefault="001A151C" w:rsidP="009E4FD7">
            <w:pPr>
              <w:spacing w:after="60"/>
              <w:ind w:left="-74" w:right="-55"/>
            </w:pPr>
            <w:r w:rsidRPr="002F71E7">
              <w:t xml:space="preserve">This adjustment </w:t>
            </w:r>
            <w:r>
              <w:t>normalizes residential</w:t>
            </w:r>
            <w:r w:rsidR="00A312E5">
              <w:t xml:space="preserve">, </w:t>
            </w:r>
            <w:r>
              <w:t>commercial</w:t>
            </w:r>
            <w:r w:rsidR="00A312E5">
              <w:t>, and irrigation</w:t>
            </w:r>
            <w:r>
              <w:t xml:space="preserve"> revenues in the test period by comparing actual sales to temperature normalized sales.</w:t>
            </w:r>
          </w:p>
          <w:p w:rsidR="00643751" w:rsidRPr="002F71E7" w:rsidRDefault="00643751" w:rsidP="009E4FD7">
            <w:pPr>
              <w:spacing w:after="60"/>
              <w:ind w:left="-74" w:right="-55"/>
            </w:pPr>
            <w:r>
              <w:t>Temperature normalization of the commercial class is addressed in Exhibit NO.___(KAB-1T).</w:t>
            </w:r>
          </w:p>
          <w:p w:rsidR="001A151C" w:rsidRPr="002F71E7" w:rsidRDefault="001A151C" w:rsidP="009E4FD7">
            <w:pPr>
              <w:spacing w:after="60"/>
              <w:ind w:left="-74" w:right="-55"/>
            </w:pPr>
            <w:r>
              <w:t>Decreases</w:t>
            </w:r>
            <w:r w:rsidRPr="002F71E7">
              <w:t xml:space="preserve"> net operating income (“NOI”) by $</w:t>
            </w:r>
            <w:r>
              <w:t>434,297</w:t>
            </w:r>
            <w:r w:rsidRPr="002F71E7">
              <w:t>.  Exhibit No.___(</w:t>
            </w:r>
            <w:r>
              <w:t>SRM-3), page 3.0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keepNext/>
              <w:keepLines/>
              <w:spacing w:after="60"/>
              <w:ind w:left="-72" w:right="-57"/>
              <w:rPr>
                <w:b/>
                <w:i/>
              </w:rPr>
            </w:pPr>
            <w:r>
              <w:rPr>
                <w:b/>
                <w:i/>
              </w:rPr>
              <w:lastRenderedPageBreak/>
              <w:t xml:space="preserve"> 3.2 </w:t>
            </w:r>
          </w:p>
          <w:p w:rsidR="001A151C" w:rsidRPr="002F71E7" w:rsidRDefault="001A151C" w:rsidP="009E4FD7">
            <w:pPr>
              <w:keepNext/>
              <w:keepLines/>
              <w:spacing w:after="60"/>
              <w:ind w:left="-72" w:right="-57"/>
              <w:rPr>
                <w:b/>
                <w:i/>
              </w:rPr>
            </w:pPr>
            <w:r>
              <w:rPr>
                <w:b/>
                <w:i/>
              </w:rPr>
              <w:t>Revenue Normalization</w:t>
            </w:r>
          </w:p>
        </w:tc>
        <w:tc>
          <w:tcPr>
            <w:tcW w:w="2086" w:type="dxa"/>
            <w:tcMar>
              <w:top w:w="43" w:type="dxa"/>
              <w:bottom w:w="43" w:type="dxa"/>
            </w:tcMar>
          </w:tcPr>
          <w:p w:rsidR="001A151C" w:rsidRPr="00AB5A46" w:rsidRDefault="001A151C" w:rsidP="009E4FD7">
            <w:pPr>
              <w:keepNext/>
              <w:keepLines/>
              <w:spacing w:after="60"/>
              <w:ind w:left="-74" w:right="-55"/>
            </w:pPr>
            <w:r w:rsidRPr="00A312E5">
              <w:t>This adjustment removes revenue items that should not be included in regulatory results.</w:t>
            </w:r>
          </w:p>
          <w:p w:rsidR="001A151C" w:rsidRPr="002F71E7" w:rsidRDefault="001A151C" w:rsidP="009E4FD7">
            <w:pPr>
              <w:keepNext/>
              <w:keepLines/>
              <w:spacing w:after="60"/>
              <w:ind w:left="-74" w:right="-55"/>
            </w:pPr>
            <w:r w:rsidRPr="009C6536">
              <w:t>Increases NOI by $6,191,105.  Exhibit No.___(SRM-3),</w:t>
            </w:r>
            <w:r>
              <w:t xml:space="preserve"> page 3.0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right="-57"/>
              <w:rPr>
                <w:b/>
                <w:i/>
              </w:rPr>
            </w:pPr>
            <w:r>
              <w:rPr>
                <w:b/>
                <w:i/>
              </w:rPr>
              <w:t xml:space="preserve">3.3 </w:t>
            </w:r>
          </w:p>
          <w:p w:rsidR="001A151C" w:rsidRPr="002F71E7" w:rsidRDefault="001A151C" w:rsidP="009E4FD7">
            <w:pPr>
              <w:spacing w:after="60"/>
              <w:ind w:left="-72" w:right="-57"/>
              <w:rPr>
                <w:b/>
                <w:i/>
              </w:rPr>
            </w:pPr>
            <w:r>
              <w:rPr>
                <w:b/>
                <w:i/>
              </w:rPr>
              <w:t>Effective Price Change</w:t>
            </w:r>
          </w:p>
        </w:tc>
        <w:tc>
          <w:tcPr>
            <w:tcW w:w="2086" w:type="dxa"/>
            <w:tcMar>
              <w:top w:w="43" w:type="dxa"/>
              <w:bottom w:w="43" w:type="dxa"/>
            </w:tcMar>
          </w:tcPr>
          <w:p w:rsidR="001A151C" w:rsidRPr="002F71E7" w:rsidRDefault="001A151C" w:rsidP="009E4FD7">
            <w:pPr>
              <w:spacing w:after="60"/>
              <w:ind w:left="-74" w:right="-55"/>
            </w:pPr>
            <w:r>
              <w:t>This adjustment normalizes retail revenues for known and measurable changes after June 2012.</w:t>
            </w:r>
          </w:p>
          <w:p w:rsidR="001A151C" w:rsidRPr="002F71E7" w:rsidRDefault="001A151C" w:rsidP="009E4FD7">
            <w:pPr>
              <w:spacing w:after="60"/>
              <w:ind w:left="-74" w:right="-55"/>
            </w:pPr>
            <w:r>
              <w:t>Increases</w:t>
            </w:r>
            <w:r w:rsidRPr="002F71E7">
              <w:t xml:space="preserve"> NOI by $</w:t>
            </w:r>
            <w:r>
              <w:t>2,814,575</w:t>
            </w:r>
            <w:r w:rsidRPr="002F71E7">
              <w:t>.  Exhibit No.___(</w:t>
            </w:r>
            <w:r>
              <w:t>SRM-3), page 3.0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sidRPr="002F71E7">
              <w:rPr>
                <w:b/>
                <w:i/>
              </w:rPr>
              <w:t xml:space="preserve"> </w:t>
            </w:r>
            <w:r>
              <w:rPr>
                <w:b/>
                <w:i/>
              </w:rPr>
              <w:t xml:space="preserve">3.4 </w:t>
            </w:r>
          </w:p>
          <w:p w:rsidR="001A151C" w:rsidRPr="002F71E7" w:rsidRDefault="001A151C" w:rsidP="009E4FD7">
            <w:pPr>
              <w:spacing w:after="60"/>
              <w:ind w:left="-72" w:right="-57"/>
              <w:rPr>
                <w:b/>
                <w:i/>
              </w:rPr>
            </w:pPr>
            <w:r>
              <w:rPr>
                <w:b/>
                <w:i/>
              </w:rPr>
              <w:t>SO2 Emission Allowance Sales</w:t>
            </w:r>
          </w:p>
        </w:tc>
        <w:tc>
          <w:tcPr>
            <w:tcW w:w="2086" w:type="dxa"/>
            <w:tcMar>
              <w:top w:w="43" w:type="dxa"/>
              <w:bottom w:w="43" w:type="dxa"/>
            </w:tcMar>
          </w:tcPr>
          <w:p w:rsidR="001A151C" w:rsidRPr="002F71E7" w:rsidRDefault="001A151C" w:rsidP="009E4FD7">
            <w:pPr>
              <w:spacing w:after="60"/>
              <w:ind w:left="-74" w:right="-55"/>
            </w:pPr>
            <w:r>
              <w:t>This adjustment removes sales revenue booked during the 12</w:t>
            </w:r>
            <w:r w:rsidR="00643751">
              <w:t xml:space="preserve"> </w:t>
            </w:r>
            <w:r>
              <w:t xml:space="preserve">months ended June 2012 and includes amortization of sales over a </w:t>
            </w:r>
            <w:r w:rsidR="00643751">
              <w:t>five</w:t>
            </w:r>
            <w:r>
              <w:t xml:space="preserve">-year period, consistent with Order 06 in </w:t>
            </w:r>
            <w:r w:rsidR="00643751">
              <w:t>d</w:t>
            </w:r>
            <w:r>
              <w:t>ocket UE-100749.</w:t>
            </w:r>
          </w:p>
          <w:p w:rsidR="001A151C" w:rsidRDefault="001A151C" w:rsidP="009E4FD7">
            <w:pPr>
              <w:spacing w:after="60"/>
              <w:ind w:left="-74" w:right="-55"/>
            </w:pPr>
            <w:r>
              <w:t>Increases</w:t>
            </w:r>
            <w:r w:rsidRPr="002F71E7">
              <w:t xml:space="preserve"> NOI by $</w:t>
            </w:r>
            <w:r>
              <w:t>530,211</w:t>
            </w:r>
            <w:r w:rsidRPr="002F71E7">
              <w:t>.</w:t>
            </w:r>
          </w:p>
          <w:p w:rsidR="001A151C" w:rsidRDefault="001A151C" w:rsidP="009E4FD7">
            <w:pPr>
              <w:spacing w:after="60"/>
              <w:ind w:left="-74" w:right="-55"/>
            </w:pPr>
            <w:r>
              <w:t>Decreases rate base by $1,067,999.</w:t>
            </w:r>
          </w:p>
          <w:p w:rsidR="001A151C" w:rsidRPr="002F71E7" w:rsidRDefault="001A151C" w:rsidP="009E4FD7">
            <w:pPr>
              <w:spacing w:after="60"/>
              <w:ind w:left="-74" w:right="-55"/>
            </w:pPr>
            <w:r w:rsidRPr="002F71E7">
              <w:t>Exhibit No.___(</w:t>
            </w:r>
            <w:r>
              <w:t>SRM-3), page 3.0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 3.5 </w:t>
            </w:r>
          </w:p>
          <w:p w:rsidR="001A151C" w:rsidRPr="002F71E7" w:rsidRDefault="001A151C" w:rsidP="009E4FD7">
            <w:pPr>
              <w:spacing w:after="60"/>
              <w:ind w:left="-72" w:right="-57"/>
              <w:rPr>
                <w:b/>
                <w:i/>
              </w:rPr>
            </w:pPr>
            <w:r>
              <w:rPr>
                <w:b/>
                <w:i/>
              </w:rPr>
              <w:t>Renewable Energy Credit and Renewable Energy Attribute Revenue</w:t>
            </w:r>
          </w:p>
        </w:tc>
        <w:tc>
          <w:tcPr>
            <w:tcW w:w="2086" w:type="dxa"/>
            <w:tcMar>
              <w:top w:w="43" w:type="dxa"/>
              <w:bottom w:w="43" w:type="dxa"/>
            </w:tcMar>
          </w:tcPr>
          <w:p w:rsidR="001A151C" w:rsidRPr="002F71E7" w:rsidRDefault="001A151C" w:rsidP="009E4FD7">
            <w:pPr>
              <w:spacing w:after="60"/>
              <w:ind w:left="-74" w:right="-55"/>
            </w:pPr>
            <w:r>
              <w:t>This adjustment removes REC</w:t>
            </w:r>
            <w:r w:rsidR="00A312E5">
              <w:t>/REA</w:t>
            </w:r>
            <w:r>
              <w:t xml:space="preserve"> revenues recorded during the 12</w:t>
            </w:r>
            <w:r w:rsidR="00643751">
              <w:t xml:space="preserve"> </w:t>
            </w:r>
            <w:r>
              <w:t xml:space="preserve">months ended June 2012.  Consistent with Order 06 in </w:t>
            </w:r>
            <w:r w:rsidR="00643751">
              <w:t>d</w:t>
            </w:r>
            <w:r>
              <w:t>ocket UE-100749, REC revenues are passed back to customers through a separate tracker mechanism effective April 2011.</w:t>
            </w:r>
          </w:p>
          <w:p w:rsidR="001A151C" w:rsidRPr="002F71E7" w:rsidRDefault="001A151C" w:rsidP="009E4FD7">
            <w:pPr>
              <w:spacing w:after="60"/>
              <w:ind w:left="-74" w:right="-55"/>
            </w:pPr>
            <w:r>
              <w:t>Decreases</w:t>
            </w:r>
            <w:r w:rsidRPr="002F71E7">
              <w:t xml:space="preserve"> NOI by $</w:t>
            </w:r>
            <w:r>
              <w:t>1,375,737</w:t>
            </w:r>
            <w:r w:rsidRPr="002F71E7">
              <w:t>.  Exhibit No.___(</w:t>
            </w:r>
            <w:r>
              <w:t>SRM-3), page 3.0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 3.6 </w:t>
            </w:r>
          </w:p>
          <w:p w:rsidR="001A151C" w:rsidRPr="002F71E7" w:rsidRDefault="001A151C" w:rsidP="009E4FD7">
            <w:pPr>
              <w:spacing w:after="60"/>
              <w:ind w:left="-72" w:right="-57"/>
              <w:rPr>
                <w:b/>
                <w:i/>
              </w:rPr>
            </w:pPr>
            <w:r>
              <w:rPr>
                <w:b/>
                <w:i/>
              </w:rPr>
              <w:t>Wheeling Revenue Adjustment</w:t>
            </w:r>
          </w:p>
        </w:tc>
        <w:tc>
          <w:tcPr>
            <w:tcW w:w="2086" w:type="dxa"/>
            <w:tcMar>
              <w:top w:w="43" w:type="dxa"/>
              <w:bottom w:w="43" w:type="dxa"/>
            </w:tcMar>
          </w:tcPr>
          <w:p w:rsidR="001A151C" w:rsidRPr="002F71E7" w:rsidRDefault="001A151C" w:rsidP="009E4FD7">
            <w:pPr>
              <w:spacing w:after="60"/>
              <w:ind w:left="-74" w:right="-55"/>
            </w:pPr>
            <w:r>
              <w:t>This adjustment reflects known and measurable changes to wheeling revenues for the 12</w:t>
            </w:r>
            <w:r w:rsidR="00643751">
              <w:t xml:space="preserve"> </w:t>
            </w:r>
            <w:r>
              <w:t>months ended June 201</w:t>
            </w:r>
            <w:r w:rsidR="00A312E5">
              <w:t>2</w:t>
            </w:r>
            <w:r>
              <w:t>.</w:t>
            </w:r>
          </w:p>
          <w:p w:rsidR="001A151C" w:rsidRPr="002F71E7" w:rsidRDefault="001A151C" w:rsidP="009E4FD7">
            <w:pPr>
              <w:spacing w:after="60"/>
              <w:ind w:left="-74" w:right="-55"/>
            </w:pPr>
            <w:r>
              <w:t>Decreases</w:t>
            </w:r>
            <w:r w:rsidRPr="002F71E7">
              <w:t xml:space="preserve"> NOI by $</w:t>
            </w:r>
            <w:r>
              <w:t>31,593</w:t>
            </w:r>
            <w:r w:rsidRPr="002F71E7">
              <w:t>.  Exhibit No.___(</w:t>
            </w:r>
            <w:r>
              <w:t>SRM-3), page 3.0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lastRenderedPageBreak/>
              <w:t xml:space="preserve">3.7 </w:t>
            </w:r>
          </w:p>
          <w:p w:rsidR="001A151C" w:rsidRPr="002F71E7" w:rsidRDefault="001A151C" w:rsidP="009E4FD7">
            <w:pPr>
              <w:spacing w:after="60"/>
              <w:ind w:left="-72" w:right="-57"/>
              <w:rPr>
                <w:b/>
                <w:i/>
              </w:rPr>
            </w:pPr>
            <w:r>
              <w:rPr>
                <w:b/>
                <w:i/>
              </w:rPr>
              <w:t>Ancillary Revenue</w:t>
            </w:r>
          </w:p>
        </w:tc>
        <w:tc>
          <w:tcPr>
            <w:tcW w:w="2086" w:type="dxa"/>
            <w:tcMar>
              <w:top w:w="43" w:type="dxa"/>
              <w:bottom w:w="43" w:type="dxa"/>
            </w:tcMar>
          </w:tcPr>
          <w:p w:rsidR="001A151C" w:rsidRPr="002F71E7" w:rsidRDefault="001A151C" w:rsidP="009E4FD7">
            <w:pPr>
              <w:spacing w:after="60"/>
              <w:ind w:left="-74" w:right="-55"/>
            </w:pPr>
            <w:r>
              <w:t>This adjustment reflects known and measurable changes to ancillary revenues for the Seattle City Light Contract for the 12</w:t>
            </w:r>
            <w:r w:rsidR="00643751">
              <w:t xml:space="preserve"> </w:t>
            </w:r>
            <w:r>
              <w:t>months end</w:t>
            </w:r>
            <w:r w:rsidR="00643751">
              <w:t>ing</w:t>
            </w:r>
            <w:r>
              <w:t xml:space="preserve"> December 2014.</w:t>
            </w:r>
          </w:p>
          <w:p w:rsidR="001A151C" w:rsidRPr="002F71E7" w:rsidRDefault="001A151C" w:rsidP="009E4FD7">
            <w:pPr>
              <w:spacing w:after="60"/>
              <w:ind w:left="-74" w:right="-55"/>
            </w:pPr>
            <w:r>
              <w:t>Increases</w:t>
            </w:r>
            <w:r w:rsidRPr="002F71E7">
              <w:t xml:space="preserve"> NOI by $</w:t>
            </w:r>
            <w:r>
              <w:t>326,904</w:t>
            </w:r>
            <w:r w:rsidRPr="002F71E7">
              <w:t>.  Exhibit No.___(</w:t>
            </w:r>
            <w:r>
              <w:t>SRM-3), page 3.0.1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Borders>
              <w:bottom w:val="single" w:sz="4" w:space="0" w:color="auto"/>
            </w:tcBorders>
            <w:tcMar>
              <w:top w:w="43" w:type="dxa"/>
              <w:bottom w:w="43" w:type="dxa"/>
            </w:tcMar>
          </w:tcPr>
          <w:p w:rsidR="001A151C" w:rsidRDefault="001A151C" w:rsidP="009E4FD7">
            <w:pPr>
              <w:spacing w:after="60"/>
              <w:ind w:left="-72" w:right="-57"/>
              <w:rPr>
                <w:b/>
                <w:i/>
              </w:rPr>
            </w:pPr>
            <w:r>
              <w:rPr>
                <w:b/>
                <w:i/>
              </w:rPr>
              <w:t>3.8</w:t>
            </w:r>
          </w:p>
          <w:p w:rsidR="001A151C" w:rsidRPr="002F71E7" w:rsidRDefault="001A151C" w:rsidP="009E4FD7">
            <w:pPr>
              <w:spacing w:after="60"/>
              <w:ind w:left="-72" w:right="-57"/>
              <w:rPr>
                <w:b/>
                <w:i/>
              </w:rPr>
            </w:pPr>
            <w:r>
              <w:rPr>
                <w:b/>
                <w:i/>
              </w:rPr>
              <w:t>Schedule 300 Fee Change</w:t>
            </w:r>
          </w:p>
        </w:tc>
        <w:tc>
          <w:tcPr>
            <w:tcW w:w="2086" w:type="dxa"/>
            <w:tcBorders>
              <w:bottom w:val="single" w:sz="4" w:space="0" w:color="auto"/>
            </w:tcBorders>
            <w:tcMar>
              <w:top w:w="43" w:type="dxa"/>
              <w:bottom w:w="43" w:type="dxa"/>
            </w:tcMar>
          </w:tcPr>
          <w:p w:rsidR="001A151C" w:rsidRDefault="001A151C" w:rsidP="009E4FD7">
            <w:pPr>
              <w:spacing w:after="60"/>
              <w:ind w:left="-74" w:right="-55"/>
            </w:pPr>
            <w:r>
              <w:t xml:space="preserve">This adjustment reflects proposed changes </w:t>
            </w:r>
            <w:r w:rsidR="00A312E5">
              <w:t>associated with</w:t>
            </w:r>
            <w:r>
              <w:t xml:space="preserve"> Schedule 300.</w:t>
            </w:r>
          </w:p>
          <w:p w:rsidR="001A151C" w:rsidRDefault="001A151C" w:rsidP="009E4FD7">
            <w:pPr>
              <w:spacing w:after="60"/>
              <w:ind w:left="-74" w:right="-55"/>
            </w:pPr>
            <w:r>
              <w:t>Increases</w:t>
            </w:r>
            <w:r w:rsidRPr="002F71E7">
              <w:t xml:space="preserve"> NOI by $</w:t>
            </w:r>
            <w:r>
              <w:t>55,153</w:t>
            </w:r>
            <w:r w:rsidRPr="002F71E7">
              <w:t>.  Exhibit No.___(</w:t>
            </w:r>
            <w:r>
              <w:t>SRM-3), page 3.0.1 Total, line 30.</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852000" w:rsidRPr="00627242" w:rsidTr="009E4FD7">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b/>
                <w:i/>
                <w:sz w:val="6"/>
                <w:szCs w:val="6"/>
              </w:rPr>
            </w:pPr>
          </w:p>
        </w:tc>
      </w:tr>
      <w:tr w:rsidR="001A151C" w:rsidRPr="002F71E7" w:rsidTr="009E4FD7">
        <w:trPr>
          <w:trHeight w:val="20"/>
        </w:trPr>
        <w:tc>
          <w:tcPr>
            <w:tcW w:w="14604" w:type="dxa"/>
            <w:gridSpan w:val="7"/>
            <w:tcMar>
              <w:top w:w="43" w:type="dxa"/>
              <w:bottom w:w="43" w:type="dxa"/>
            </w:tcMar>
          </w:tcPr>
          <w:p w:rsidR="001A151C" w:rsidRDefault="001A151C" w:rsidP="009E4FD7">
            <w:pPr>
              <w:spacing w:after="60"/>
              <w:ind w:left="-72" w:right="-57"/>
              <w:rPr>
                <w:b/>
                <w:i/>
              </w:rPr>
            </w:pPr>
            <w:r>
              <w:rPr>
                <w:b/>
                <w:i/>
              </w:rPr>
              <w:t>Operation and Maintenance (O&amp;M) Expense Revenue Requirement Adjustments</w:t>
            </w:r>
          </w:p>
          <w:p w:rsidR="001A151C" w:rsidRPr="002F71E7" w:rsidRDefault="001A151C" w:rsidP="009E4FD7">
            <w:pPr>
              <w:spacing w:after="60"/>
              <w:ind w:left="-74" w:right="-55"/>
            </w:pPr>
            <w:r>
              <w:rPr>
                <w:b/>
                <w:i/>
              </w:rPr>
              <w:t>(Tab 4 of Exhibit No.___(</w:t>
            </w:r>
            <w:r w:rsidR="00852000">
              <w:rPr>
                <w:b/>
                <w:i/>
              </w:rPr>
              <w:t>SRM</w:t>
            </w:r>
            <w:r>
              <w:rPr>
                <w:b/>
                <w:i/>
              </w:rPr>
              <w:t>-3)</w:t>
            </w: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4.1 </w:t>
            </w:r>
          </w:p>
          <w:p w:rsidR="001A151C" w:rsidRPr="002F71E7" w:rsidRDefault="001A151C" w:rsidP="009E4FD7">
            <w:pPr>
              <w:spacing w:after="60"/>
              <w:ind w:left="-72" w:right="-57"/>
              <w:rPr>
                <w:b/>
                <w:i/>
              </w:rPr>
            </w:pPr>
            <w:r>
              <w:rPr>
                <w:b/>
                <w:i/>
              </w:rPr>
              <w:t>Miscellaneous General Expense Adjustment</w:t>
            </w:r>
          </w:p>
        </w:tc>
        <w:tc>
          <w:tcPr>
            <w:tcW w:w="2086" w:type="dxa"/>
            <w:tcMar>
              <w:top w:w="43" w:type="dxa"/>
              <w:bottom w:w="43" w:type="dxa"/>
            </w:tcMar>
          </w:tcPr>
          <w:p w:rsidR="001A151C" w:rsidRPr="002F71E7" w:rsidRDefault="001A151C" w:rsidP="009E4FD7">
            <w:pPr>
              <w:spacing w:after="60"/>
              <w:ind w:left="-74" w:right="-55"/>
            </w:pPr>
            <w:r>
              <w:t>This adjustment removes certain miscellaneous expenses that should have been charged below the line.</w:t>
            </w:r>
          </w:p>
          <w:p w:rsidR="001A151C" w:rsidRPr="002F71E7" w:rsidRDefault="001A151C" w:rsidP="009E4FD7">
            <w:pPr>
              <w:spacing w:after="60"/>
              <w:ind w:left="-74" w:right="-55"/>
            </w:pPr>
            <w:r w:rsidRPr="002F71E7">
              <w:t>Increases NOI by $</w:t>
            </w:r>
            <w:r>
              <w:t>11,484</w:t>
            </w:r>
            <w:r w:rsidRPr="002F71E7">
              <w:t>.  Exhibit No.___(</w:t>
            </w:r>
            <w:r>
              <w:t>SRM-3), page 4.0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4.2 </w:t>
            </w:r>
          </w:p>
          <w:p w:rsidR="001A151C" w:rsidRPr="002F71E7" w:rsidRDefault="001A151C" w:rsidP="009E4FD7">
            <w:pPr>
              <w:spacing w:after="60"/>
              <w:ind w:left="-72" w:right="-57"/>
              <w:rPr>
                <w:b/>
                <w:i/>
              </w:rPr>
            </w:pPr>
            <w:r>
              <w:rPr>
                <w:b/>
                <w:i/>
              </w:rPr>
              <w:t>General Wage Increase –Restating Adjustment</w:t>
            </w:r>
          </w:p>
        </w:tc>
        <w:tc>
          <w:tcPr>
            <w:tcW w:w="2086" w:type="dxa"/>
            <w:tcMar>
              <w:top w:w="43" w:type="dxa"/>
              <w:bottom w:w="43" w:type="dxa"/>
            </w:tcMar>
          </w:tcPr>
          <w:p w:rsidR="001A151C" w:rsidRPr="002F71E7" w:rsidRDefault="001A151C" w:rsidP="009E4FD7">
            <w:pPr>
              <w:spacing w:after="60"/>
              <w:ind w:left="-74" w:right="-55"/>
            </w:pPr>
            <w:r>
              <w:t>This adjustment annualizes wage increases that occurred during the 12</w:t>
            </w:r>
            <w:r w:rsidR="00643751">
              <w:t xml:space="preserve"> </w:t>
            </w:r>
            <w:r>
              <w:t xml:space="preserve">months ended June 2012. </w:t>
            </w:r>
            <w:r w:rsidR="00643751">
              <w:t xml:space="preserve"> </w:t>
            </w:r>
            <w:r>
              <w:t>This adjustment also removes SERP expenses from the test period.</w:t>
            </w:r>
          </w:p>
          <w:p w:rsidR="001A151C" w:rsidRPr="002F71E7" w:rsidRDefault="001A151C" w:rsidP="009E4FD7">
            <w:pPr>
              <w:spacing w:after="60"/>
              <w:ind w:left="-74" w:right="-55"/>
            </w:pPr>
            <w:r>
              <w:t>Decreases</w:t>
            </w:r>
            <w:r w:rsidRPr="002F71E7">
              <w:t xml:space="preserve"> NOI by $</w:t>
            </w:r>
            <w:r>
              <w:t>54,727</w:t>
            </w:r>
            <w:r w:rsidRPr="002F71E7">
              <w:t>.  Exhibit No.___(</w:t>
            </w:r>
            <w:r>
              <w:t>SRM-3), page 4.0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4.3 </w:t>
            </w:r>
          </w:p>
          <w:p w:rsidR="001A151C" w:rsidRPr="002F71E7" w:rsidRDefault="001A151C" w:rsidP="009E4FD7">
            <w:pPr>
              <w:spacing w:after="60"/>
              <w:ind w:left="-72" w:right="-57"/>
              <w:rPr>
                <w:b/>
                <w:i/>
              </w:rPr>
            </w:pPr>
            <w:r>
              <w:rPr>
                <w:b/>
                <w:i/>
              </w:rPr>
              <w:t>General Wage Increase – Pro</w:t>
            </w:r>
            <w:r w:rsidR="00643751">
              <w:rPr>
                <w:b/>
                <w:i/>
              </w:rPr>
              <w:t> </w:t>
            </w:r>
            <w:r>
              <w:rPr>
                <w:b/>
                <w:i/>
              </w:rPr>
              <w:t>Forma Adjustment</w:t>
            </w:r>
          </w:p>
        </w:tc>
        <w:tc>
          <w:tcPr>
            <w:tcW w:w="2086" w:type="dxa"/>
            <w:tcMar>
              <w:top w:w="43" w:type="dxa"/>
              <w:bottom w:w="43" w:type="dxa"/>
            </w:tcMar>
          </w:tcPr>
          <w:p w:rsidR="001A151C" w:rsidRDefault="001A151C" w:rsidP="009E4FD7">
            <w:pPr>
              <w:spacing w:after="60"/>
              <w:ind w:left="-74" w:right="-55"/>
            </w:pPr>
            <w:r w:rsidRPr="002F71E7">
              <w:t>This adjustment</w:t>
            </w:r>
            <w:r>
              <w:t xml:space="preserve"> recognizes wage increases that have occurred or will occur through </w:t>
            </w:r>
            <w:r w:rsidR="00A312E5">
              <w:t>June 30, 2013</w:t>
            </w:r>
            <w:r>
              <w:t>.</w:t>
            </w:r>
          </w:p>
          <w:p w:rsidR="001A151C" w:rsidRPr="002F71E7" w:rsidRDefault="001A151C" w:rsidP="009E4FD7">
            <w:pPr>
              <w:spacing w:after="60"/>
              <w:ind w:left="-74" w:right="-55"/>
            </w:pPr>
            <w:r>
              <w:t>Decreases</w:t>
            </w:r>
            <w:r w:rsidRPr="002F71E7">
              <w:t xml:space="preserve"> NOI by $</w:t>
            </w:r>
            <w:r>
              <w:t>161,390</w:t>
            </w:r>
            <w:r w:rsidRPr="002F71E7">
              <w:t>.  Exhibit No.___(</w:t>
            </w:r>
            <w:r>
              <w:t>SRM-3), page 4.0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keepNext/>
              <w:keepLines/>
              <w:spacing w:after="60"/>
              <w:ind w:left="-72" w:right="-57"/>
              <w:rPr>
                <w:b/>
                <w:i/>
              </w:rPr>
            </w:pPr>
            <w:r>
              <w:rPr>
                <w:b/>
                <w:i/>
              </w:rPr>
              <w:t xml:space="preserve">4.4 </w:t>
            </w:r>
          </w:p>
          <w:p w:rsidR="001A151C" w:rsidRPr="002F71E7" w:rsidRDefault="001A151C" w:rsidP="009E4FD7">
            <w:pPr>
              <w:keepNext/>
              <w:keepLines/>
              <w:spacing w:after="60"/>
              <w:ind w:left="-72" w:right="-57"/>
              <w:rPr>
                <w:b/>
                <w:i/>
              </w:rPr>
            </w:pPr>
            <w:r>
              <w:rPr>
                <w:b/>
                <w:i/>
              </w:rPr>
              <w:t>Irrigation Load Control Program</w:t>
            </w:r>
          </w:p>
        </w:tc>
        <w:tc>
          <w:tcPr>
            <w:tcW w:w="2086" w:type="dxa"/>
            <w:tcMar>
              <w:top w:w="43" w:type="dxa"/>
              <w:bottom w:w="43" w:type="dxa"/>
            </w:tcMar>
          </w:tcPr>
          <w:p w:rsidR="001A151C" w:rsidRDefault="001A151C" w:rsidP="009E4FD7">
            <w:pPr>
              <w:keepNext/>
              <w:keepLines/>
              <w:spacing w:after="60"/>
              <w:ind w:left="-74" w:right="-55"/>
            </w:pPr>
            <w:r w:rsidRPr="005B74B2">
              <w:t>This adjustment situs assigns payments made to Idaho irrigators as part of the Idaho Irrigation Load Control Program to Idaho.</w:t>
            </w:r>
          </w:p>
          <w:p w:rsidR="001A151C" w:rsidRPr="002F71E7" w:rsidRDefault="001A151C" w:rsidP="009E4FD7">
            <w:pPr>
              <w:keepNext/>
              <w:keepLines/>
              <w:spacing w:after="60"/>
              <w:ind w:left="-74" w:right="-55"/>
            </w:pPr>
            <w:r w:rsidRPr="002F71E7">
              <w:t>Increases NOI by $</w:t>
            </w:r>
            <w:r>
              <w:t>155,201</w:t>
            </w:r>
            <w:r w:rsidRPr="002F71E7">
              <w:t>.  Exhibit No.___(</w:t>
            </w:r>
            <w:r>
              <w:t>SRM-3), page 4.0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4.5</w:t>
            </w:r>
          </w:p>
          <w:p w:rsidR="001A151C" w:rsidRPr="002F71E7" w:rsidRDefault="001A151C" w:rsidP="009E4FD7">
            <w:pPr>
              <w:spacing w:after="60"/>
              <w:ind w:left="-72" w:right="-57"/>
              <w:rPr>
                <w:b/>
                <w:i/>
              </w:rPr>
            </w:pPr>
            <w:r>
              <w:rPr>
                <w:b/>
                <w:i/>
              </w:rPr>
              <w:t>Remove Non-Recurring Entries</w:t>
            </w:r>
          </w:p>
        </w:tc>
        <w:tc>
          <w:tcPr>
            <w:tcW w:w="2086" w:type="dxa"/>
            <w:tcMar>
              <w:top w:w="43" w:type="dxa"/>
              <w:bottom w:w="43" w:type="dxa"/>
            </w:tcMar>
          </w:tcPr>
          <w:p w:rsidR="001A151C" w:rsidRPr="002F71E7" w:rsidRDefault="001A151C" w:rsidP="009E4FD7">
            <w:pPr>
              <w:spacing w:after="60"/>
              <w:ind w:left="-74" w:right="-55"/>
            </w:pPr>
            <w:r w:rsidRPr="002F71E7">
              <w:t xml:space="preserve">This adjustment </w:t>
            </w:r>
            <w:r>
              <w:t>removes a variety of accounting entries that were booked during the 12</w:t>
            </w:r>
            <w:r w:rsidR="00643751">
              <w:t xml:space="preserve"> </w:t>
            </w:r>
            <w:r>
              <w:t>months ended June 2012 that are non-recurring in nature or that relate to prior periods.</w:t>
            </w:r>
          </w:p>
          <w:p w:rsidR="001A151C" w:rsidRDefault="001A151C" w:rsidP="009E4FD7">
            <w:pPr>
              <w:spacing w:after="60"/>
              <w:ind w:left="-74" w:right="-55"/>
            </w:pPr>
            <w:r>
              <w:t xml:space="preserve">Decreases NOI </w:t>
            </w:r>
            <w:r w:rsidRPr="002F71E7">
              <w:t>by $</w:t>
            </w:r>
            <w:r>
              <w:t>874,645</w:t>
            </w:r>
            <w:r w:rsidRPr="002F71E7">
              <w:t>.</w:t>
            </w:r>
          </w:p>
          <w:p w:rsidR="001A151C" w:rsidRPr="002F71E7" w:rsidRDefault="001A151C" w:rsidP="009E4FD7">
            <w:pPr>
              <w:spacing w:after="60"/>
              <w:ind w:left="-74" w:right="-55"/>
            </w:pPr>
            <w:r w:rsidRPr="002F71E7">
              <w:t>Exhibit No.___(</w:t>
            </w:r>
            <w:r>
              <w:t>SRM-3), page 4.0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4.6 </w:t>
            </w:r>
          </w:p>
          <w:p w:rsidR="001A151C" w:rsidRPr="002F71E7" w:rsidRDefault="001A151C" w:rsidP="009E4FD7">
            <w:pPr>
              <w:spacing w:after="60"/>
              <w:ind w:left="-72" w:right="-57"/>
              <w:rPr>
                <w:b/>
                <w:i/>
              </w:rPr>
            </w:pPr>
            <w:r>
              <w:rPr>
                <w:b/>
                <w:i/>
              </w:rPr>
              <w:t>Pension and Post</w:t>
            </w:r>
            <w:r w:rsidR="00643751">
              <w:rPr>
                <w:b/>
                <w:i/>
              </w:rPr>
              <w:t>-R</w:t>
            </w:r>
            <w:r>
              <w:rPr>
                <w:b/>
                <w:i/>
              </w:rPr>
              <w:t>etirement Curtailment and Date Change</w:t>
            </w:r>
          </w:p>
        </w:tc>
        <w:tc>
          <w:tcPr>
            <w:tcW w:w="2086" w:type="dxa"/>
            <w:tcMar>
              <w:top w:w="43" w:type="dxa"/>
              <w:bottom w:w="43" w:type="dxa"/>
            </w:tcMar>
          </w:tcPr>
          <w:p w:rsidR="001A151C" w:rsidRDefault="001A151C" w:rsidP="009E4FD7">
            <w:pPr>
              <w:spacing w:after="60"/>
              <w:ind w:left="-74" w:right="-55"/>
            </w:pPr>
            <w:r>
              <w:t xml:space="preserve">Order 09 in </w:t>
            </w:r>
            <w:r w:rsidR="00643751">
              <w:t xml:space="preserve">docket </w:t>
            </w:r>
            <w:r>
              <w:t xml:space="preserve">UE-090205 permits deferral and amortization of the pension curtailment gain resulting from employee participation in the 401(k) retirement plan option.  </w:t>
            </w:r>
            <w:r w:rsidR="009D4B80">
              <w:t xml:space="preserve">Amortization expired December 31, 2012. </w:t>
            </w:r>
            <w:r w:rsidR="00643751">
              <w:t xml:space="preserve"> </w:t>
            </w:r>
            <w:r>
              <w:t>T</w:t>
            </w:r>
            <w:r w:rsidRPr="005B74B2">
              <w:t>his adjustment removes the actual amortization</w:t>
            </w:r>
            <w:r w:rsidR="009D4B80">
              <w:t xml:space="preserve"> expense and associated tax impacts from the test period</w:t>
            </w:r>
            <w:r w:rsidR="002F4A78">
              <w:t>.</w:t>
            </w:r>
            <w:r>
              <w:t xml:space="preserve"> </w:t>
            </w:r>
          </w:p>
          <w:p w:rsidR="001A151C" w:rsidRDefault="001A151C" w:rsidP="009E4FD7">
            <w:pPr>
              <w:spacing w:after="60"/>
              <w:ind w:left="-74" w:right="-55"/>
            </w:pPr>
            <w:r>
              <w:t>Decreases</w:t>
            </w:r>
            <w:r w:rsidRPr="002F71E7">
              <w:t xml:space="preserve"> NOI by $</w:t>
            </w:r>
            <w:r>
              <w:t>661,676</w:t>
            </w:r>
            <w:r w:rsidRPr="002F71E7">
              <w:t>.</w:t>
            </w:r>
          </w:p>
          <w:p w:rsidR="001A151C" w:rsidRDefault="001A151C" w:rsidP="009E4FD7">
            <w:pPr>
              <w:spacing w:after="60"/>
              <w:ind w:left="-74" w:right="-55"/>
            </w:pPr>
            <w:r>
              <w:t>Decreases rate base by $563,394.</w:t>
            </w:r>
          </w:p>
          <w:p w:rsidR="001A151C" w:rsidRPr="002F71E7" w:rsidRDefault="001A151C" w:rsidP="009E4FD7">
            <w:pPr>
              <w:spacing w:after="60"/>
              <w:ind w:left="-74" w:right="-55"/>
            </w:pPr>
            <w:r w:rsidRPr="002F71E7">
              <w:t>Exhibit No.___(</w:t>
            </w:r>
            <w:r>
              <w:t>SRM-3), page 4.0 Total, line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Borders>
              <w:bottom w:val="single" w:sz="4" w:space="0" w:color="auto"/>
            </w:tcBorders>
            <w:tcMar>
              <w:top w:w="43" w:type="dxa"/>
              <w:bottom w:w="43" w:type="dxa"/>
            </w:tcMar>
          </w:tcPr>
          <w:p w:rsidR="001A151C" w:rsidRDefault="001A151C" w:rsidP="009E4FD7">
            <w:pPr>
              <w:spacing w:after="60"/>
              <w:ind w:left="-72" w:right="-57"/>
              <w:rPr>
                <w:b/>
                <w:i/>
              </w:rPr>
            </w:pPr>
            <w:r>
              <w:rPr>
                <w:b/>
                <w:i/>
              </w:rPr>
              <w:t xml:space="preserve">4.7 </w:t>
            </w:r>
          </w:p>
          <w:p w:rsidR="001A151C" w:rsidRPr="002F71E7" w:rsidRDefault="001A151C" w:rsidP="009E4FD7">
            <w:pPr>
              <w:spacing w:after="60"/>
              <w:ind w:left="-72" w:right="-57"/>
              <w:rPr>
                <w:b/>
                <w:i/>
              </w:rPr>
            </w:pPr>
            <w:r>
              <w:rPr>
                <w:b/>
                <w:i/>
              </w:rPr>
              <w:t>DSM Revenue and Expense Removal</w:t>
            </w: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r w:rsidRPr="002F71E7">
              <w:t xml:space="preserve">This adjustment </w:t>
            </w:r>
            <w:r>
              <w:t>removes demand side management (DSM) revenues and expenses from regulated results since they are recovered through a separate tariff rider (Schedule 191).</w:t>
            </w:r>
          </w:p>
          <w:p w:rsidR="001A151C" w:rsidRDefault="001A151C" w:rsidP="009E4FD7">
            <w:pPr>
              <w:spacing w:after="60"/>
              <w:ind w:left="-74" w:right="-55"/>
            </w:pPr>
            <w:r w:rsidRPr="002F71E7">
              <w:t>Increases NOI by $</w:t>
            </w:r>
            <w:r>
              <w:t>3,101,879</w:t>
            </w:r>
            <w:r w:rsidRPr="002F71E7">
              <w:t>.</w:t>
            </w:r>
          </w:p>
          <w:p w:rsidR="001A151C" w:rsidRPr="002F71E7" w:rsidRDefault="001A151C" w:rsidP="009E4FD7">
            <w:pPr>
              <w:spacing w:after="60"/>
              <w:ind w:left="-74" w:right="-55"/>
            </w:pPr>
            <w:r w:rsidRPr="002F71E7">
              <w:t>Exhibit No.___(</w:t>
            </w:r>
            <w:r>
              <w:t>SRM-3), page 4.0.1 Total, line 30.</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keepNext/>
              <w:keepLines/>
              <w:spacing w:after="60"/>
              <w:ind w:left="-72" w:right="-57"/>
              <w:rPr>
                <w:b/>
                <w:i/>
              </w:rPr>
            </w:pPr>
            <w:r>
              <w:rPr>
                <w:b/>
                <w:i/>
              </w:rPr>
              <w:t xml:space="preserve">4.8 </w:t>
            </w:r>
          </w:p>
          <w:p w:rsidR="001A151C" w:rsidRPr="002F71E7" w:rsidRDefault="001A151C" w:rsidP="009E4FD7">
            <w:pPr>
              <w:keepNext/>
              <w:keepLines/>
              <w:spacing w:after="60"/>
              <w:ind w:left="-72" w:right="-57"/>
              <w:rPr>
                <w:b/>
                <w:i/>
              </w:rPr>
            </w:pPr>
            <w:r>
              <w:rPr>
                <w:b/>
                <w:i/>
              </w:rPr>
              <w:t>Insurance Expense</w:t>
            </w:r>
          </w:p>
        </w:tc>
        <w:tc>
          <w:tcPr>
            <w:tcW w:w="2086" w:type="dxa"/>
            <w:tcMar>
              <w:top w:w="43" w:type="dxa"/>
              <w:bottom w:w="43" w:type="dxa"/>
            </w:tcMar>
          </w:tcPr>
          <w:p w:rsidR="001A151C" w:rsidRDefault="001A151C" w:rsidP="009E4FD7">
            <w:pPr>
              <w:keepNext/>
              <w:keepLines/>
              <w:spacing w:after="60"/>
              <w:ind w:left="-74" w:right="-55"/>
            </w:pPr>
            <w:r>
              <w:t>This adjustment r</w:t>
            </w:r>
            <w:r w:rsidRPr="003C6D86">
              <w:t>eplace</w:t>
            </w:r>
            <w:r>
              <w:t>s</w:t>
            </w:r>
            <w:r w:rsidRPr="003C6D86">
              <w:t xml:space="preserve"> the base period liability and property damage expense with a six-year average</w:t>
            </w:r>
            <w:r>
              <w:t xml:space="preserve"> consistent </w:t>
            </w:r>
            <w:r w:rsidRPr="003C6D86">
              <w:t>with the Company's previous general rate case (UE- 111190)</w:t>
            </w:r>
            <w:r>
              <w:t xml:space="preserve">. </w:t>
            </w:r>
            <w:r w:rsidRPr="003C6D86">
              <w:t>This adjustment also removes amounts from results that should not be charged to Washington, and corrects allocation and accounting of insurance charges.</w:t>
            </w:r>
          </w:p>
          <w:p w:rsidR="001A151C" w:rsidRDefault="001A151C" w:rsidP="009E4FD7">
            <w:pPr>
              <w:keepNext/>
              <w:keepLines/>
              <w:spacing w:after="60"/>
              <w:ind w:left="-74" w:right="-55"/>
            </w:pPr>
            <w:r>
              <w:t>Decreases</w:t>
            </w:r>
            <w:r w:rsidRPr="002F71E7">
              <w:t xml:space="preserve"> NOI by $</w:t>
            </w:r>
            <w:r>
              <w:t>264,192</w:t>
            </w:r>
            <w:r w:rsidRPr="002F71E7">
              <w:t>.</w:t>
            </w:r>
          </w:p>
          <w:p w:rsidR="001A151C" w:rsidRPr="002F71E7" w:rsidRDefault="001A151C" w:rsidP="009E4FD7">
            <w:pPr>
              <w:keepNext/>
              <w:keepLines/>
              <w:spacing w:after="60"/>
              <w:ind w:left="-74" w:right="-55"/>
            </w:pPr>
            <w:r w:rsidRPr="002F71E7">
              <w:t>Exhibit No.___(</w:t>
            </w:r>
            <w:r>
              <w:t>SRM-3), page 4.0.1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4.9</w:t>
            </w:r>
          </w:p>
          <w:p w:rsidR="001A151C" w:rsidRDefault="001A151C" w:rsidP="009E4FD7">
            <w:pPr>
              <w:spacing w:after="60"/>
              <w:ind w:left="-72" w:right="-57"/>
              <w:rPr>
                <w:b/>
                <w:i/>
              </w:rPr>
            </w:pPr>
            <w:r>
              <w:rPr>
                <w:b/>
                <w:i/>
              </w:rPr>
              <w:t>Advertising Expense</w:t>
            </w:r>
          </w:p>
          <w:p w:rsidR="001A151C" w:rsidRPr="002F71E7" w:rsidRDefault="001A151C" w:rsidP="009E4FD7">
            <w:pPr>
              <w:spacing w:after="60"/>
              <w:ind w:left="-72" w:right="-57"/>
              <w:rPr>
                <w:b/>
                <w:i/>
              </w:rPr>
            </w:pPr>
          </w:p>
        </w:tc>
        <w:tc>
          <w:tcPr>
            <w:tcW w:w="2086" w:type="dxa"/>
            <w:tcMar>
              <w:top w:w="43" w:type="dxa"/>
              <w:bottom w:w="43" w:type="dxa"/>
            </w:tcMar>
          </w:tcPr>
          <w:p w:rsidR="001A151C" w:rsidRDefault="001A151C" w:rsidP="009E4FD7">
            <w:pPr>
              <w:spacing w:after="60"/>
              <w:ind w:left="-74" w:right="-55"/>
            </w:pPr>
            <w:r w:rsidRPr="003C6D86">
              <w:t>This adjustment situs assigns all system-allocated advertising expenses incurred during the 12</w:t>
            </w:r>
            <w:r w:rsidR="00643751">
              <w:t xml:space="preserve"> </w:t>
            </w:r>
            <w:r w:rsidRPr="003C6D86">
              <w:t>months ended June 2012</w:t>
            </w:r>
            <w:r w:rsidR="00643751">
              <w:t xml:space="preserve"> that are</w:t>
            </w:r>
            <w:r w:rsidRPr="003C6D86">
              <w:t xml:space="preserve"> attributable to a specific jurisdiction.</w:t>
            </w:r>
          </w:p>
          <w:p w:rsidR="001A151C" w:rsidRDefault="001A151C" w:rsidP="009E4FD7">
            <w:pPr>
              <w:spacing w:after="60"/>
              <w:ind w:left="-74" w:right="-55"/>
            </w:pPr>
            <w:r>
              <w:t xml:space="preserve">Decreases NOI </w:t>
            </w:r>
            <w:r w:rsidRPr="002F71E7">
              <w:t>by $</w:t>
            </w:r>
            <w:r>
              <w:t>6,076</w:t>
            </w:r>
            <w:r w:rsidRPr="002F71E7">
              <w:t>.</w:t>
            </w:r>
          </w:p>
          <w:p w:rsidR="001A151C" w:rsidRPr="002F71E7" w:rsidRDefault="001A151C" w:rsidP="009E4FD7">
            <w:pPr>
              <w:spacing w:after="60"/>
              <w:ind w:left="-74" w:right="-55"/>
            </w:pPr>
            <w:r w:rsidRPr="002F71E7">
              <w:t>Exhibit No.___(</w:t>
            </w:r>
            <w:r>
              <w:t>SRM-3), page 4.0.1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4.10 </w:t>
            </w:r>
          </w:p>
          <w:p w:rsidR="001A151C" w:rsidRPr="002F71E7" w:rsidRDefault="001A151C" w:rsidP="009E4FD7">
            <w:pPr>
              <w:spacing w:after="60"/>
              <w:ind w:left="-72" w:right="-57"/>
              <w:rPr>
                <w:b/>
                <w:i/>
              </w:rPr>
            </w:pPr>
            <w:r>
              <w:rPr>
                <w:b/>
                <w:i/>
              </w:rPr>
              <w:t>Memberships and Subscriptions</w:t>
            </w:r>
          </w:p>
        </w:tc>
        <w:tc>
          <w:tcPr>
            <w:tcW w:w="2086" w:type="dxa"/>
            <w:tcMar>
              <w:top w:w="43" w:type="dxa"/>
              <w:bottom w:w="43" w:type="dxa"/>
            </w:tcMar>
          </w:tcPr>
          <w:p w:rsidR="001A151C" w:rsidRDefault="001A151C" w:rsidP="009E4FD7">
            <w:pPr>
              <w:spacing w:after="60"/>
              <w:ind w:left="-74" w:right="-55"/>
            </w:pPr>
            <w:r w:rsidRPr="00036A8F">
              <w:t>This adjustment situs assigns membership and subscription expenses incurred during the 12-months ended June 2012 attributable to a specific jurisdiction.</w:t>
            </w:r>
            <w:r>
              <w:t xml:space="preserve"> </w:t>
            </w:r>
          </w:p>
          <w:p w:rsidR="001A151C" w:rsidRDefault="001A151C" w:rsidP="009E4FD7">
            <w:pPr>
              <w:spacing w:after="60"/>
              <w:ind w:left="-74" w:right="-55"/>
            </w:pPr>
            <w:r>
              <w:t>Decreases</w:t>
            </w:r>
            <w:r w:rsidRPr="002F71E7">
              <w:t xml:space="preserve"> </w:t>
            </w:r>
            <w:r>
              <w:t xml:space="preserve">NOI </w:t>
            </w:r>
            <w:r w:rsidRPr="002F71E7">
              <w:t>by $</w:t>
            </w:r>
            <w:r>
              <w:t>1,075</w:t>
            </w:r>
            <w:r w:rsidRPr="002F71E7">
              <w:t xml:space="preserve">. </w:t>
            </w:r>
          </w:p>
          <w:p w:rsidR="001A151C" w:rsidRPr="002F71E7" w:rsidRDefault="001A151C" w:rsidP="009E4FD7">
            <w:pPr>
              <w:spacing w:after="60"/>
              <w:ind w:left="-74" w:right="-55"/>
            </w:pPr>
            <w:r w:rsidRPr="002F71E7">
              <w:t>Exhibit No.___(</w:t>
            </w:r>
            <w:r>
              <w:t>SRM-3), page 4.0.1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4.11</w:t>
            </w:r>
          </w:p>
          <w:p w:rsidR="001A151C" w:rsidRPr="002F71E7" w:rsidRDefault="001A151C" w:rsidP="009E4FD7">
            <w:pPr>
              <w:spacing w:after="60"/>
              <w:ind w:left="-72" w:right="-57"/>
              <w:rPr>
                <w:b/>
                <w:i/>
              </w:rPr>
            </w:pPr>
            <w:r>
              <w:rPr>
                <w:b/>
                <w:i/>
              </w:rPr>
              <w:t>AMR Savings</w:t>
            </w:r>
          </w:p>
        </w:tc>
        <w:tc>
          <w:tcPr>
            <w:tcW w:w="2086" w:type="dxa"/>
            <w:tcMar>
              <w:top w:w="43" w:type="dxa"/>
              <w:bottom w:w="43" w:type="dxa"/>
            </w:tcMar>
          </w:tcPr>
          <w:p w:rsidR="001A151C" w:rsidRDefault="001A151C" w:rsidP="009E4FD7">
            <w:pPr>
              <w:spacing w:after="60"/>
              <w:ind w:left="-74" w:right="-55"/>
            </w:pPr>
            <w:r w:rsidRPr="00036A8F">
              <w:t xml:space="preserve">This adjustment reflects the reduction in meter reading expense as a result of the </w:t>
            </w:r>
            <w:r w:rsidR="002F4A78">
              <w:t xml:space="preserve">automated meter reading </w:t>
            </w:r>
            <w:r w:rsidRPr="00036A8F">
              <w:t>program through June 2013.</w:t>
            </w:r>
          </w:p>
          <w:p w:rsidR="001A151C" w:rsidRDefault="001A151C" w:rsidP="009E4FD7">
            <w:pPr>
              <w:spacing w:after="60"/>
              <w:ind w:left="-74" w:right="-55"/>
            </w:pPr>
            <w:r>
              <w:t>Increases</w:t>
            </w:r>
            <w:r w:rsidRPr="002F71E7">
              <w:t xml:space="preserve"> NOI by $</w:t>
            </w:r>
            <w:r>
              <w:t>633</w:t>
            </w:r>
            <w:r w:rsidRPr="002F71E7">
              <w:t>.</w:t>
            </w:r>
          </w:p>
          <w:p w:rsidR="001A151C" w:rsidRPr="002F71E7" w:rsidRDefault="001A151C" w:rsidP="009E4FD7">
            <w:pPr>
              <w:spacing w:after="60"/>
              <w:ind w:left="-74" w:right="-55"/>
            </w:pPr>
            <w:r w:rsidRPr="002F71E7">
              <w:t>Exhibit No.___(</w:t>
            </w:r>
            <w:r>
              <w:t>SRM-3), page 4.0.1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keepNext/>
              <w:keepLines/>
              <w:spacing w:after="60"/>
              <w:ind w:left="-72" w:right="-57"/>
              <w:rPr>
                <w:b/>
                <w:i/>
              </w:rPr>
            </w:pPr>
            <w:r w:rsidRPr="002F71E7">
              <w:rPr>
                <w:b/>
                <w:i/>
              </w:rPr>
              <w:t xml:space="preserve"> </w:t>
            </w:r>
            <w:r>
              <w:rPr>
                <w:b/>
                <w:i/>
              </w:rPr>
              <w:t>4.12</w:t>
            </w:r>
          </w:p>
          <w:p w:rsidR="001A151C" w:rsidRDefault="001A151C" w:rsidP="009E4FD7">
            <w:pPr>
              <w:keepNext/>
              <w:keepLines/>
              <w:spacing w:after="60"/>
              <w:ind w:left="-72" w:right="-57"/>
              <w:rPr>
                <w:b/>
                <w:i/>
              </w:rPr>
            </w:pPr>
            <w:r>
              <w:rPr>
                <w:b/>
                <w:i/>
              </w:rPr>
              <w:t>Uncollectible Expenses</w:t>
            </w:r>
          </w:p>
          <w:p w:rsidR="001A151C" w:rsidRPr="002F71E7" w:rsidRDefault="001A151C" w:rsidP="009E4FD7">
            <w:pPr>
              <w:keepNext/>
              <w:keepLines/>
              <w:spacing w:after="60"/>
              <w:ind w:left="-72" w:right="-57"/>
              <w:rPr>
                <w:b/>
                <w:i/>
              </w:rPr>
            </w:pPr>
            <w:r w:rsidRPr="002F71E7">
              <w:rPr>
                <w:b/>
                <w:i/>
              </w:rPr>
              <w:t xml:space="preserve">  </w:t>
            </w:r>
          </w:p>
        </w:tc>
        <w:tc>
          <w:tcPr>
            <w:tcW w:w="2086" w:type="dxa"/>
            <w:tcMar>
              <w:top w:w="43" w:type="dxa"/>
              <w:bottom w:w="43" w:type="dxa"/>
            </w:tcMar>
          </w:tcPr>
          <w:p w:rsidR="001A151C" w:rsidRDefault="001A151C" w:rsidP="009E4FD7">
            <w:pPr>
              <w:keepNext/>
              <w:keepLines/>
              <w:spacing w:after="60"/>
              <w:ind w:left="-74" w:right="-55"/>
            </w:pPr>
            <w:r w:rsidRPr="00036A8F">
              <w:t>This adjustment adjusts the Company's actual June 2012 uncollectible expense to the June 2012 normalized level by applying the unadjusted uncollectible rate (unadjusted uncollectible accounts expense/unadjusted general business revenues) to the normalized level of general business revenues.</w:t>
            </w:r>
          </w:p>
          <w:p w:rsidR="001A151C" w:rsidRDefault="001A151C" w:rsidP="009E4FD7">
            <w:pPr>
              <w:keepNext/>
              <w:keepLines/>
              <w:spacing w:after="60"/>
              <w:ind w:left="-74" w:right="-55"/>
            </w:pPr>
            <w:r>
              <w:t>Decreases</w:t>
            </w:r>
            <w:r w:rsidRPr="002F71E7">
              <w:t xml:space="preserve"> NOI by $</w:t>
            </w:r>
            <w:r>
              <w:t>88,426</w:t>
            </w:r>
            <w:r w:rsidRPr="002F71E7">
              <w:t>.</w:t>
            </w:r>
          </w:p>
          <w:p w:rsidR="001A151C" w:rsidRPr="002F71E7" w:rsidRDefault="001A151C" w:rsidP="009E4FD7">
            <w:pPr>
              <w:keepNext/>
              <w:keepLines/>
              <w:spacing w:after="60"/>
              <w:ind w:left="-74" w:right="-55"/>
            </w:pPr>
            <w:r w:rsidRPr="002F71E7">
              <w:t>Exhibit No.___(</w:t>
            </w:r>
            <w:r>
              <w:t>SRM-3), page 4.0.1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 4.13</w:t>
            </w:r>
          </w:p>
          <w:p w:rsidR="001A151C" w:rsidRPr="002F71E7" w:rsidRDefault="001A151C" w:rsidP="009E4FD7">
            <w:pPr>
              <w:spacing w:after="60"/>
              <w:ind w:left="-72" w:right="-57"/>
              <w:rPr>
                <w:b/>
                <w:i/>
              </w:rPr>
            </w:pPr>
            <w:r>
              <w:rPr>
                <w:b/>
                <w:i/>
              </w:rPr>
              <w:t>Legal Expenses</w:t>
            </w:r>
          </w:p>
          <w:p w:rsidR="001A151C" w:rsidRPr="002F71E7" w:rsidRDefault="001A151C" w:rsidP="009E4FD7">
            <w:pPr>
              <w:spacing w:after="60"/>
              <w:ind w:left="-72" w:right="-57"/>
              <w:rPr>
                <w:b/>
                <w:i/>
              </w:rPr>
            </w:pPr>
          </w:p>
        </w:tc>
        <w:tc>
          <w:tcPr>
            <w:tcW w:w="2086" w:type="dxa"/>
            <w:tcMar>
              <w:top w:w="43" w:type="dxa"/>
              <w:bottom w:w="43" w:type="dxa"/>
            </w:tcMar>
          </w:tcPr>
          <w:p w:rsidR="001A151C" w:rsidRDefault="001A151C" w:rsidP="009E4FD7">
            <w:pPr>
              <w:spacing w:after="60"/>
              <w:ind w:left="-74" w:right="-55"/>
            </w:pPr>
            <w:r w:rsidRPr="00036A8F">
              <w:t xml:space="preserve">This restating adjustment reallocates per books legal expenses in accordance with the stipulation in </w:t>
            </w:r>
            <w:r w:rsidR="00643751">
              <w:t>d</w:t>
            </w:r>
            <w:r w:rsidRPr="00036A8F">
              <w:t>ocket UE-111190, where costs attributable to a specific jurisdiction are situs assigned.</w:t>
            </w:r>
          </w:p>
          <w:p w:rsidR="001A151C" w:rsidRDefault="001A151C" w:rsidP="009E4FD7">
            <w:pPr>
              <w:spacing w:after="60"/>
              <w:ind w:left="-74" w:right="-55"/>
            </w:pPr>
            <w:r w:rsidRPr="002F71E7">
              <w:t>Decreases NOI by $</w:t>
            </w:r>
            <w:r>
              <w:t>48,551.</w:t>
            </w:r>
          </w:p>
          <w:p w:rsidR="001A151C" w:rsidRPr="002F71E7" w:rsidRDefault="001A151C" w:rsidP="009E4FD7">
            <w:pPr>
              <w:spacing w:after="60"/>
              <w:ind w:left="-74" w:right="-55"/>
            </w:pPr>
            <w:r w:rsidRPr="002F71E7">
              <w:t>Exhibit No.___(</w:t>
            </w:r>
            <w:r>
              <w:t>SRM-3), page 4.0.1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4.14</w:t>
            </w:r>
          </w:p>
          <w:p w:rsidR="001A151C" w:rsidRPr="002F71E7" w:rsidRDefault="001A151C" w:rsidP="009E4FD7">
            <w:pPr>
              <w:spacing w:after="60"/>
              <w:ind w:left="-72" w:right="-57"/>
              <w:rPr>
                <w:b/>
                <w:i/>
              </w:rPr>
            </w:pPr>
            <w:r>
              <w:rPr>
                <w:b/>
                <w:i/>
              </w:rPr>
              <w:t>Naughton Write-Off</w:t>
            </w:r>
          </w:p>
          <w:p w:rsidR="001A151C" w:rsidRDefault="001A151C" w:rsidP="009E4FD7">
            <w:pPr>
              <w:spacing w:after="60"/>
              <w:ind w:left="-72" w:right="-57"/>
              <w:rPr>
                <w:b/>
                <w:i/>
              </w:rPr>
            </w:pPr>
          </w:p>
        </w:tc>
        <w:tc>
          <w:tcPr>
            <w:tcW w:w="2086" w:type="dxa"/>
            <w:tcMar>
              <w:top w:w="43" w:type="dxa"/>
              <w:bottom w:w="43" w:type="dxa"/>
            </w:tcMar>
          </w:tcPr>
          <w:p w:rsidR="001A151C" w:rsidRDefault="001A151C" w:rsidP="009E4FD7">
            <w:pPr>
              <w:spacing w:after="60"/>
              <w:ind w:left="-74" w:right="-55"/>
            </w:pPr>
            <w:r w:rsidRPr="00036A8F">
              <w:t>This restating adjustment removes the Naughton 3 write-off that occurred in June 2012. </w:t>
            </w:r>
          </w:p>
          <w:p w:rsidR="001A151C" w:rsidRDefault="001A151C" w:rsidP="009E4FD7">
            <w:pPr>
              <w:spacing w:after="60"/>
              <w:ind w:left="-74" w:right="-55"/>
            </w:pPr>
            <w:r>
              <w:t>Increases</w:t>
            </w:r>
            <w:r w:rsidRPr="002F71E7">
              <w:t xml:space="preserve"> NOI by $</w:t>
            </w:r>
            <w:r>
              <w:t>138,837.</w:t>
            </w:r>
          </w:p>
          <w:p w:rsidR="001A151C" w:rsidRPr="00036A8F" w:rsidRDefault="001A151C" w:rsidP="009E4FD7">
            <w:pPr>
              <w:spacing w:after="60"/>
              <w:ind w:left="-74" w:right="-55"/>
            </w:pPr>
            <w:r w:rsidRPr="002F71E7">
              <w:t>Exhibit No. ___(</w:t>
            </w:r>
            <w:r>
              <w:t>SRM-3), page 4.0.2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Borders>
              <w:bottom w:val="single" w:sz="4" w:space="0" w:color="auto"/>
            </w:tcBorders>
            <w:tcMar>
              <w:top w:w="43" w:type="dxa"/>
              <w:bottom w:w="43" w:type="dxa"/>
            </w:tcMar>
          </w:tcPr>
          <w:p w:rsidR="001A151C" w:rsidRDefault="001A151C" w:rsidP="009E4FD7">
            <w:pPr>
              <w:spacing w:after="60"/>
              <w:ind w:left="-72" w:right="-57"/>
              <w:rPr>
                <w:b/>
                <w:i/>
              </w:rPr>
            </w:pPr>
            <w:r>
              <w:rPr>
                <w:b/>
                <w:i/>
              </w:rPr>
              <w:t>4.15</w:t>
            </w:r>
          </w:p>
          <w:p w:rsidR="001A151C" w:rsidRPr="002F71E7" w:rsidRDefault="001A151C" w:rsidP="009E4FD7">
            <w:pPr>
              <w:spacing w:after="60"/>
              <w:ind w:left="-72" w:right="-57"/>
              <w:rPr>
                <w:b/>
                <w:i/>
              </w:rPr>
            </w:pPr>
            <w:r>
              <w:rPr>
                <w:b/>
                <w:i/>
              </w:rPr>
              <w:t>Operations and Maintenance Efficiency</w:t>
            </w:r>
          </w:p>
          <w:p w:rsidR="001A151C" w:rsidRDefault="001A151C" w:rsidP="009E4FD7">
            <w:pPr>
              <w:spacing w:after="60"/>
              <w:ind w:left="-72" w:right="-57"/>
              <w:rPr>
                <w:b/>
                <w:i/>
              </w:rPr>
            </w:pPr>
          </w:p>
        </w:tc>
        <w:tc>
          <w:tcPr>
            <w:tcW w:w="2086" w:type="dxa"/>
            <w:tcBorders>
              <w:bottom w:val="single" w:sz="4" w:space="0" w:color="auto"/>
            </w:tcBorders>
            <w:tcMar>
              <w:top w:w="43" w:type="dxa"/>
              <w:bottom w:w="43" w:type="dxa"/>
            </w:tcMar>
          </w:tcPr>
          <w:p w:rsidR="001A151C" w:rsidRDefault="001A151C" w:rsidP="009E4FD7">
            <w:pPr>
              <w:spacing w:after="60"/>
              <w:ind w:left="-74" w:right="-55"/>
            </w:pPr>
            <w:r>
              <w:t>This adjustment reflects t</w:t>
            </w:r>
            <w:r w:rsidRPr="00036A8F">
              <w:t>he Company</w:t>
            </w:r>
            <w:r>
              <w:t xml:space="preserve">’s </w:t>
            </w:r>
            <w:r w:rsidRPr="00036A8F">
              <w:t xml:space="preserve">efficiency initiatives that are not factored into the </w:t>
            </w:r>
            <w:r>
              <w:t>general wage increase</w:t>
            </w:r>
            <w:r w:rsidRPr="00036A8F">
              <w:t xml:space="preserve"> adjustment for the 12</w:t>
            </w:r>
            <w:r w:rsidR="00643751">
              <w:t xml:space="preserve"> </w:t>
            </w:r>
            <w:r w:rsidRPr="00036A8F">
              <w:t xml:space="preserve">months ending June 2013. This restating adjustment reduces the Company's O&amp;M </w:t>
            </w:r>
            <w:r w:rsidR="002F4A78">
              <w:t>expense levels.</w:t>
            </w:r>
          </w:p>
          <w:p w:rsidR="001A151C" w:rsidRDefault="001A151C" w:rsidP="009E4FD7">
            <w:pPr>
              <w:spacing w:after="60"/>
              <w:ind w:left="-74" w:right="-55"/>
            </w:pPr>
            <w:r>
              <w:t>Increases</w:t>
            </w:r>
            <w:r w:rsidRPr="002F71E7">
              <w:t xml:space="preserve"> NOI by $</w:t>
            </w:r>
            <w:r>
              <w:t>513,039.</w:t>
            </w:r>
          </w:p>
          <w:p w:rsidR="001A151C" w:rsidRPr="00036A8F" w:rsidRDefault="001A151C" w:rsidP="009E4FD7">
            <w:pPr>
              <w:spacing w:after="60"/>
              <w:ind w:left="-74" w:right="-55"/>
            </w:pPr>
            <w:r w:rsidRPr="002F71E7">
              <w:t>Exhibit No.___(</w:t>
            </w:r>
            <w:r>
              <w:t>SRM-3), page 4.0.2 Total, line 30.</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852000" w:rsidRPr="00627242" w:rsidTr="009E4FD7">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b/>
                <w:i/>
                <w:sz w:val="6"/>
                <w:szCs w:val="6"/>
              </w:rPr>
            </w:pPr>
          </w:p>
        </w:tc>
      </w:tr>
      <w:tr w:rsidR="001A151C" w:rsidRPr="002F71E7" w:rsidTr="009E4FD7">
        <w:trPr>
          <w:trHeight w:val="20"/>
        </w:trPr>
        <w:tc>
          <w:tcPr>
            <w:tcW w:w="14604" w:type="dxa"/>
            <w:gridSpan w:val="7"/>
            <w:tcMar>
              <w:top w:w="43" w:type="dxa"/>
              <w:bottom w:w="43" w:type="dxa"/>
            </w:tcMar>
          </w:tcPr>
          <w:p w:rsidR="001A151C" w:rsidRDefault="001A151C" w:rsidP="009E4FD7">
            <w:pPr>
              <w:keepNext/>
              <w:keepLines/>
              <w:spacing w:after="60"/>
              <w:ind w:left="-72" w:right="-57"/>
              <w:rPr>
                <w:b/>
                <w:i/>
              </w:rPr>
            </w:pPr>
            <w:r>
              <w:rPr>
                <w:b/>
                <w:i/>
              </w:rPr>
              <w:t>Net Power Costs Revenue Requirement Adjustments</w:t>
            </w:r>
          </w:p>
          <w:p w:rsidR="001A151C" w:rsidRPr="002F71E7" w:rsidRDefault="001A151C" w:rsidP="009E4FD7">
            <w:pPr>
              <w:keepNext/>
              <w:keepLines/>
              <w:spacing w:after="60"/>
              <w:ind w:left="-74" w:right="-55"/>
            </w:pPr>
            <w:r>
              <w:rPr>
                <w:b/>
                <w:i/>
              </w:rPr>
              <w:t>(Tab 5 of Exhibit No.___(</w:t>
            </w:r>
            <w:r w:rsidR="00852000">
              <w:rPr>
                <w:b/>
                <w:i/>
              </w:rPr>
              <w:t>SRM</w:t>
            </w:r>
            <w:r>
              <w:rPr>
                <w:b/>
                <w:i/>
              </w:rPr>
              <w:t>-3)</w:t>
            </w: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5.1</w:t>
            </w:r>
          </w:p>
          <w:p w:rsidR="001A151C" w:rsidRPr="002F71E7" w:rsidRDefault="001A151C" w:rsidP="009E4FD7">
            <w:pPr>
              <w:spacing w:after="60"/>
              <w:ind w:left="-72" w:right="-57"/>
              <w:rPr>
                <w:b/>
                <w:i/>
              </w:rPr>
            </w:pPr>
            <w:r>
              <w:rPr>
                <w:b/>
                <w:i/>
              </w:rPr>
              <w:t>Net Power Costs</w:t>
            </w:r>
            <w:r w:rsidR="00643751">
              <w:rPr>
                <w:b/>
                <w:i/>
              </w:rPr>
              <w:t xml:space="preserve"> – </w:t>
            </w:r>
            <w:r>
              <w:rPr>
                <w:b/>
                <w:i/>
              </w:rPr>
              <w:t>Restating</w:t>
            </w:r>
          </w:p>
        </w:tc>
        <w:tc>
          <w:tcPr>
            <w:tcW w:w="2086" w:type="dxa"/>
            <w:tcMar>
              <w:top w:w="43" w:type="dxa"/>
              <w:bottom w:w="43" w:type="dxa"/>
            </w:tcMar>
          </w:tcPr>
          <w:p w:rsidR="001A151C" w:rsidRDefault="001A151C" w:rsidP="009E4FD7">
            <w:pPr>
              <w:spacing w:after="60"/>
              <w:ind w:left="-74" w:right="-55"/>
            </w:pPr>
            <w:r>
              <w:t>This</w:t>
            </w:r>
            <w:r w:rsidRPr="009E74A6">
              <w:t xml:space="preserve"> adjustment normalizes power costs by adjusting sales for resale, purchase power, wheeling</w:t>
            </w:r>
            <w:r w:rsidR="00643751">
              <w:t>,</w:t>
            </w:r>
            <w:r w:rsidRPr="009E74A6">
              <w:t xml:space="preserve">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1A151C" w:rsidRDefault="001A151C" w:rsidP="009E4FD7">
            <w:pPr>
              <w:spacing w:after="60"/>
              <w:ind w:left="-74" w:right="-55"/>
            </w:pPr>
            <w:r w:rsidRPr="009E74A6">
              <w:t>This restating adjustment reflects no</w:t>
            </w:r>
            <w:r>
              <w:t>rmalized power costs for the 12</w:t>
            </w:r>
            <w:r w:rsidR="00643751">
              <w:t xml:space="preserve"> </w:t>
            </w:r>
            <w:r w:rsidRPr="009E74A6">
              <w:t xml:space="preserve">months ended </w:t>
            </w:r>
            <w:r>
              <w:t>June 2012</w:t>
            </w:r>
            <w:r w:rsidRPr="009E74A6">
              <w:t>.</w:t>
            </w:r>
          </w:p>
          <w:p w:rsidR="001A151C" w:rsidRDefault="001A151C" w:rsidP="009E4FD7">
            <w:pPr>
              <w:spacing w:after="60"/>
              <w:ind w:left="-74" w:right="-55"/>
            </w:pPr>
            <w:r w:rsidRPr="002F71E7">
              <w:t>Increases NOI by $</w:t>
            </w:r>
            <w:r>
              <w:t>3,206,605</w:t>
            </w:r>
            <w:r w:rsidRPr="002F71E7">
              <w:t xml:space="preserve">.  </w:t>
            </w:r>
          </w:p>
          <w:p w:rsidR="001A151C" w:rsidRPr="002F71E7" w:rsidRDefault="001A151C" w:rsidP="009E4FD7">
            <w:pPr>
              <w:spacing w:after="60"/>
              <w:ind w:left="-74" w:right="-55"/>
            </w:pPr>
            <w:r w:rsidRPr="002F71E7">
              <w:t>Exhibit No.___(</w:t>
            </w:r>
            <w:r>
              <w:t>SRM-3), page 5.0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5.1.1</w:t>
            </w:r>
          </w:p>
          <w:p w:rsidR="001A151C" w:rsidRPr="002F71E7" w:rsidRDefault="001A151C" w:rsidP="009E4FD7">
            <w:pPr>
              <w:spacing w:after="60"/>
              <w:ind w:left="-72" w:right="-57"/>
              <w:rPr>
                <w:b/>
                <w:i/>
              </w:rPr>
            </w:pPr>
            <w:r>
              <w:rPr>
                <w:b/>
                <w:i/>
              </w:rPr>
              <w:t>Net Power Costs – Pro Forma</w:t>
            </w:r>
          </w:p>
        </w:tc>
        <w:tc>
          <w:tcPr>
            <w:tcW w:w="2086" w:type="dxa"/>
            <w:tcMar>
              <w:top w:w="43" w:type="dxa"/>
              <w:bottom w:w="43" w:type="dxa"/>
            </w:tcMar>
          </w:tcPr>
          <w:p w:rsidR="001A151C" w:rsidRDefault="001A151C" w:rsidP="009E4FD7">
            <w:pPr>
              <w:spacing w:after="60"/>
              <w:ind w:left="-74" w:right="-55"/>
            </w:pPr>
            <w:r>
              <w:t>This</w:t>
            </w:r>
            <w:r w:rsidRPr="009E74A6">
              <w:t xml:space="preserve"> adjustment normalizes power costs by adjusting sales for resale, purchase power, wheeling</w:t>
            </w:r>
            <w:r w:rsidR="00643751">
              <w:t>,</w:t>
            </w:r>
            <w:r w:rsidRPr="009E74A6">
              <w:t xml:space="preserve">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643751" w:rsidRDefault="001A151C" w:rsidP="009E4FD7">
            <w:pPr>
              <w:spacing w:after="60"/>
              <w:ind w:left="-74" w:right="-55"/>
            </w:pPr>
            <w:r w:rsidRPr="009E74A6">
              <w:t xml:space="preserve">This </w:t>
            </w:r>
            <w:r w:rsidR="00643751">
              <w:t>p</w:t>
            </w:r>
            <w:r>
              <w:t xml:space="preserve">ro </w:t>
            </w:r>
            <w:r w:rsidR="00643751">
              <w:t>f</w:t>
            </w:r>
            <w:r>
              <w:t>orma</w:t>
            </w:r>
            <w:r w:rsidRPr="009E74A6">
              <w:t xml:space="preserve"> adjustment reflects normalized power costs for the </w:t>
            </w:r>
            <w:r>
              <w:t>rate effective period, 12-months ending</w:t>
            </w:r>
            <w:r w:rsidRPr="009E74A6">
              <w:t xml:space="preserve"> </w:t>
            </w:r>
            <w:r>
              <w:t>December 2014</w:t>
            </w:r>
            <w:r w:rsidRPr="009E74A6">
              <w:t>.</w:t>
            </w:r>
            <w:r w:rsidR="00643751">
              <w:t xml:space="preserve"> </w:t>
            </w:r>
          </w:p>
          <w:p w:rsidR="00643751" w:rsidRDefault="00643751" w:rsidP="009E4FD7">
            <w:pPr>
              <w:spacing w:after="60"/>
              <w:ind w:left="-74" w:right="-55"/>
            </w:pPr>
            <w:r>
              <w:t>This adjustment also includes several proposed modifications to the west control area inter-jurisdictional allocation methodology associated with the calculation of net power costs.  Exhibit No.___(GND-1CT).</w:t>
            </w:r>
          </w:p>
          <w:p w:rsidR="001A151C" w:rsidRDefault="001A151C" w:rsidP="009E4FD7">
            <w:pPr>
              <w:spacing w:after="60"/>
              <w:ind w:left="-74" w:right="-55"/>
            </w:pPr>
            <w:r>
              <w:t>Increases</w:t>
            </w:r>
            <w:r w:rsidRPr="002F71E7">
              <w:t xml:space="preserve"> NOI by $</w:t>
            </w:r>
            <w:r>
              <w:t>1,842,319.</w:t>
            </w:r>
          </w:p>
          <w:p w:rsidR="001A151C" w:rsidRPr="002F71E7" w:rsidRDefault="001A151C" w:rsidP="009E4FD7">
            <w:pPr>
              <w:spacing w:after="60"/>
              <w:ind w:left="-74" w:right="-55"/>
            </w:pPr>
            <w:r w:rsidRPr="002F71E7">
              <w:t>Exhibit No.___(</w:t>
            </w:r>
            <w:r>
              <w:t>SRM-3), page 5.0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keepNext/>
              <w:keepLines/>
              <w:spacing w:after="60"/>
              <w:ind w:left="-72" w:right="-57"/>
              <w:rPr>
                <w:b/>
                <w:i/>
              </w:rPr>
            </w:pPr>
            <w:r>
              <w:rPr>
                <w:b/>
                <w:i/>
              </w:rPr>
              <w:t>5.2</w:t>
            </w:r>
          </w:p>
          <w:p w:rsidR="001A151C" w:rsidRPr="002F71E7" w:rsidRDefault="001A151C" w:rsidP="009E4FD7">
            <w:pPr>
              <w:keepNext/>
              <w:keepLines/>
              <w:spacing w:after="60"/>
              <w:ind w:left="-72" w:right="-57"/>
              <w:rPr>
                <w:b/>
                <w:i/>
              </w:rPr>
            </w:pPr>
            <w:r>
              <w:rPr>
                <w:b/>
                <w:i/>
              </w:rPr>
              <w:t>James River Royalty Offset</w:t>
            </w:r>
          </w:p>
        </w:tc>
        <w:tc>
          <w:tcPr>
            <w:tcW w:w="2086" w:type="dxa"/>
            <w:tcMar>
              <w:top w:w="43" w:type="dxa"/>
              <w:bottom w:w="43" w:type="dxa"/>
            </w:tcMar>
          </w:tcPr>
          <w:p w:rsidR="001A151C" w:rsidRDefault="001A151C" w:rsidP="009E4FD7">
            <w:pPr>
              <w:keepNext/>
              <w:keepLines/>
              <w:spacing w:after="60"/>
              <w:ind w:left="-74" w:right="-55"/>
            </w:pPr>
            <w:r w:rsidRPr="009E74A6">
              <w:t>This adjustment adds the royalty offset to FERC account 456</w:t>
            </w:r>
            <w:r>
              <w:t xml:space="preserve"> associated with the James River/Georgia Pacific contract for the 12</w:t>
            </w:r>
            <w:r w:rsidRPr="009E74A6">
              <w:t xml:space="preserve">-month period ending </w:t>
            </w:r>
            <w:r>
              <w:t>December 2014</w:t>
            </w:r>
            <w:r w:rsidRPr="009E74A6">
              <w:t>, the same period used i</w:t>
            </w:r>
            <w:r>
              <w:t xml:space="preserve">n determining </w:t>
            </w:r>
            <w:r w:rsidR="00643751">
              <w:t>p</w:t>
            </w:r>
            <w:r w:rsidRPr="009E74A6">
              <w:t xml:space="preserve">ro </w:t>
            </w:r>
            <w:r w:rsidR="00643751">
              <w:t>f</w:t>
            </w:r>
            <w:r w:rsidRPr="009E74A6">
              <w:t xml:space="preserve">orma net power costs in this filing.  </w:t>
            </w:r>
          </w:p>
          <w:p w:rsidR="001A151C" w:rsidRDefault="001A151C" w:rsidP="009E4FD7">
            <w:pPr>
              <w:keepNext/>
              <w:keepLines/>
              <w:spacing w:after="60"/>
              <w:ind w:left="-74" w:right="-55"/>
            </w:pPr>
            <w:r w:rsidRPr="002F71E7">
              <w:t>Increases NOI by $</w:t>
            </w:r>
            <w:r>
              <w:t>632,823</w:t>
            </w:r>
            <w:r w:rsidRPr="002F71E7">
              <w:t xml:space="preserve">. </w:t>
            </w:r>
          </w:p>
          <w:p w:rsidR="001A151C" w:rsidRPr="002F71E7" w:rsidRDefault="001A151C" w:rsidP="009E4FD7">
            <w:pPr>
              <w:keepNext/>
              <w:keepLines/>
              <w:spacing w:after="60"/>
              <w:ind w:left="-74" w:right="-55"/>
            </w:pPr>
            <w:r w:rsidRPr="002F71E7">
              <w:t>Exhibit No.___(</w:t>
            </w:r>
            <w:r>
              <w:t>SRM-3), page 5.0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5.3</w:t>
            </w:r>
          </w:p>
          <w:p w:rsidR="001A151C" w:rsidRPr="002F71E7" w:rsidRDefault="001A151C" w:rsidP="009E4FD7">
            <w:pPr>
              <w:spacing w:after="60"/>
              <w:ind w:left="-72" w:right="-57"/>
              <w:rPr>
                <w:b/>
                <w:i/>
              </w:rPr>
            </w:pPr>
            <w:r>
              <w:rPr>
                <w:b/>
                <w:i/>
              </w:rPr>
              <w:t>BPA Residential Exchange</w:t>
            </w:r>
          </w:p>
        </w:tc>
        <w:tc>
          <w:tcPr>
            <w:tcW w:w="2086" w:type="dxa"/>
            <w:tcMar>
              <w:top w:w="43" w:type="dxa"/>
              <w:bottom w:w="43" w:type="dxa"/>
            </w:tcMar>
          </w:tcPr>
          <w:p w:rsidR="001A151C" w:rsidRDefault="001A151C" w:rsidP="009E4FD7">
            <w:pPr>
              <w:spacing w:after="60"/>
              <w:ind w:left="-74" w:right="-55"/>
            </w:pPr>
            <w:r w:rsidRPr="001A00EE">
              <w:t xml:space="preserve">The Company receives a monthly purchase power credit from Bonneville Power Administration (BPA). </w:t>
            </w:r>
            <w:r w:rsidR="00643751">
              <w:t xml:space="preserve"> </w:t>
            </w:r>
            <w:r w:rsidRPr="001A00EE">
              <w:t xml:space="preserve">This credit is treated as a 100% pass-through to eligible customers. </w:t>
            </w:r>
            <w:r w:rsidR="00643751">
              <w:t xml:space="preserve"> </w:t>
            </w:r>
            <w:r w:rsidRPr="001A00EE">
              <w:t xml:space="preserve">Both a revenue credit and a purchase power expense credit are posted to unadjusted results which need to be removed for normalized results. </w:t>
            </w:r>
            <w:r w:rsidR="00643751">
              <w:t xml:space="preserve"> </w:t>
            </w:r>
            <w:r w:rsidRPr="001A00EE">
              <w:t xml:space="preserve">This adjustment reverses the BPA purchase power expense credit recorded. </w:t>
            </w:r>
          </w:p>
          <w:p w:rsidR="001A151C" w:rsidRPr="002F71E7" w:rsidRDefault="001A151C" w:rsidP="009E4FD7">
            <w:pPr>
              <w:spacing w:after="60"/>
              <w:ind w:left="-74" w:right="-55"/>
            </w:pPr>
            <w:r w:rsidRPr="001A00EE">
              <w:t xml:space="preserve">The Revenue Normalizing adjustment page 3.2 removes the revenue credit passed on to customers. </w:t>
            </w:r>
          </w:p>
          <w:p w:rsidR="001A151C" w:rsidRDefault="001A151C" w:rsidP="009E4FD7">
            <w:pPr>
              <w:spacing w:after="60"/>
              <w:ind w:left="-74" w:right="-55"/>
            </w:pPr>
            <w:r>
              <w:t>Decreases</w:t>
            </w:r>
            <w:r w:rsidRPr="002F71E7">
              <w:t xml:space="preserve"> NOI by $</w:t>
            </w:r>
            <w:r>
              <w:t>4,796,915</w:t>
            </w:r>
            <w:r w:rsidRPr="002F71E7">
              <w:t>.</w:t>
            </w:r>
          </w:p>
          <w:p w:rsidR="001A151C" w:rsidRPr="002F71E7" w:rsidRDefault="001A151C" w:rsidP="009E4FD7">
            <w:pPr>
              <w:spacing w:after="60"/>
              <w:ind w:left="-74" w:right="-55"/>
            </w:pPr>
            <w:r w:rsidRPr="002F71E7">
              <w:t>Exhibit No.___(</w:t>
            </w:r>
            <w:r>
              <w:t>SRM-3), page 5.0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Borders>
              <w:bottom w:val="single" w:sz="4" w:space="0" w:color="auto"/>
            </w:tcBorders>
            <w:tcMar>
              <w:top w:w="43" w:type="dxa"/>
              <w:bottom w:w="43" w:type="dxa"/>
            </w:tcMar>
          </w:tcPr>
          <w:p w:rsidR="001A151C" w:rsidRDefault="001A151C" w:rsidP="009E4FD7">
            <w:pPr>
              <w:spacing w:after="60"/>
              <w:ind w:left="-72" w:right="-57"/>
              <w:rPr>
                <w:b/>
                <w:i/>
              </w:rPr>
            </w:pPr>
            <w:r>
              <w:rPr>
                <w:b/>
                <w:i/>
              </w:rPr>
              <w:t>5.4</w:t>
            </w:r>
          </w:p>
          <w:p w:rsidR="001A151C" w:rsidRPr="002F71E7" w:rsidRDefault="001A151C" w:rsidP="009E4FD7">
            <w:pPr>
              <w:spacing w:after="60"/>
              <w:ind w:left="-72" w:right="-57"/>
              <w:rPr>
                <w:b/>
                <w:i/>
              </w:rPr>
            </w:pPr>
            <w:r>
              <w:rPr>
                <w:b/>
                <w:i/>
              </w:rPr>
              <w:t>Colstrip Unit #3 Removal</w:t>
            </w:r>
          </w:p>
        </w:tc>
        <w:tc>
          <w:tcPr>
            <w:tcW w:w="2086" w:type="dxa"/>
            <w:tcBorders>
              <w:bottom w:val="single" w:sz="4" w:space="0" w:color="auto"/>
            </w:tcBorders>
            <w:tcMar>
              <w:top w:w="43" w:type="dxa"/>
              <w:bottom w:w="43" w:type="dxa"/>
            </w:tcMar>
          </w:tcPr>
          <w:p w:rsidR="001A151C" w:rsidRDefault="001A151C" w:rsidP="009E4FD7">
            <w:pPr>
              <w:spacing w:after="60"/>
              <w:ind w:left="-74" w:right="-55"/>
            </w:pPr>
            <w:r w:rsidRPr="001A00EE">
              <w:t xml:space="preserve">This adjustment removes the Colstrip </w:t>
            </w:r>
            <w:r>
              <w:t xml:space="preserve">unit </w:t>
            </w:r>
            <w:r w:rsidRPr="001A00EE">
              <w:t xml:space="preserve">#3 plant investments and associated costs from the test period. </w:t>
            </w:r>
            <w:r w:rsidR="00643751">
              <w:t xml:space="preserve"> </w:t>
            </w:r>
            <w:r w:rsidRPr="001A00EE">
              <w:t>Th</w:t>
            </w:r>
            <w:r w:rsidR="00643751">
              <w:t>e</w:t>
            </w:r>
            <w:r w:rsidRPr="001A00EE">
              <w:t xml:space="preserve"> Commission ordered </w:t>
            </w:r>
            <w:r w:rsidR="00643751">
              <w:t xml:space="preserve">this </w:t>
            </w:r>
            <w:r w:rsidRPr="001A00EE">
              <w:t xml:space="preserve">treatment in Cause No. U-83-57.  </w:t>
            </w:r>
          </w:p>
          <w:p w:rsidR="001A151C" w:rsidRDefault="001A151C" w:rsidP="009E4FD7">
            <w:pPr>
              <w:spacing w:after="60"/>
              <w:ind w:left="-74" w:right="-55"/>
            </w:pPr>
            <w:r>
              <w:t>Increases</w:t>
            </w:r>
            <w:r w:rsidRPr="002F71E7">
              <w:t xml:space="preserve"> NOI by $</w:t>
            </w:r>
            <w:r>
              <w:t>473,942</w:t>
            </w:r>
            <w:r w:rsidRPr="002F71E7">
              <w:t>.</w:t>
            </w:r>
          </w:p>
          <w:p w:rsidR="001A151C" w:rsidRDefault="001A151C" w:rsidP="009E4FD7">
            <w:pPr>
              <w:spacing w:after="60"/>
              <w:ind w:left="-74" w:right="-55"/>
            </w:pPr>
            <w:r>
              <w:t>Decreases rate base by $8,328,882.</w:t>
            </w:r>
          </w:p>
          <w:p w:rsidR="001A151C" w:rsidRDefault="001A151C" w:rsidP="009E4FD7">
            <w:pPr>
              <w:spacing w:after="60"/>
              <w:ind w:left="-74" w:right="-55"/>
            </w:pPr>
            <w:r w:rsidRPr="002F71E7">
              <w:t>Exhibit No.___(</w:t>
            </w:r>
            <w:r>
              <w:t>SRM-3), page 5.0 Total, lines 30 and 57.</w:t>
            </w:r>
          </w:p>
          <w:p w:rsidR="00723774" w:rsidRPr="002F71E7" w:rsidRDefault="00723774"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723774" w:rsidRPr="002F71E7" w:rsidTr="00D97B11">
        <w:tblPrEx>
          <w:tblCellMar>
            <w:left w:w="108" w:type="dxa"/>
            <w:right w:w="108" w:type="dxa"/>
          </w:tblCellMar>
        </w:tblPrEx>
        <w:trPr>
          <w:trHeight w:val="20"/>
        </w:trPr>
        <w:tc>
          <w:tcPr>
            <w:tcW w:w="2086" w:type="dxa"/>
            <w:tcMar>
              <w:top w:w="43" w:type="dxa"/>
              <w:bottom w:w="43" w:type="dxa"/>
            </w:tcMar>
          </w:tcPr>
          <w:p w:rsidR="00723774" w:rsidRPr="00852000" w:rsidRDefault="00723774" w:rsidP="00D97B11">
            <w:pPr>
              <w:spacing w:after="60"/>
              <w:ind w:left="-72" w:right="-57"/>
              <w:rPr>
                <w:b/>
                <w:i/>
              </w:rPr>
            </w:pPr>
            <w:r w:rsidRPr="00852000">
              <w:rPr>
                <w:b/>
                <w:i/>
              </w:rPr>
              <w:t>PCAM</w:t>
            </w:r>
          </w:p>
        </w:tc>
        <w:tc>
          <w:tcPr>
            <w:tcW w:w="2086" w:type="dxa"/>
            <w:tcMar>
              <w:top w:w="43" w:type="dxa"/>
              <w:bottom w:w="43" w:type="dxa"/>
            </w:tcMar>
          </w:tcPr>
          <w:p w:rsidR="00723774" w:rsidRPr="00852000" w:rsidRDefault="00723774" w:rsidP="00D97B11">
            <w:pPr>
              <w:spacing w:after="60"/>
              <w:ind w:left="-74" w:right="-55"/>
            </w:pPr>
            <w:r>
              <w:t>The Company proposes a Power Cost Adjustment Mechanism (PCAM) to collect or credit the differences between the actual net power costs incurred to serve Washington customers and the amount of net power costs collected from Washington customers through rates.</w:t>
            </w:r>
          </w:p>
        </w:tc>
        <w:tc>
          <w:tcPr>
            <w:tcW w:w="2087" w:type="dxa"/>
            <w:tcMar>
              <w:top w:w="43" w:type="dxa"/>
              <w:bottom w:w="43" w:type="dxa"/>
            </w:tcMar>
          </w:tcPr>
          <w:p w:rsidR="00723774" w:rsidRPr="002F71E7" w:rsidRDefault="00723774" w:rsidP="00D97B11">
            <w:pPr>
              <w:spacing w:after="60"/>
              <w:ind w:left="-74" w:right="-55"/>
            </w:pPr>
          </w:p>
        </w:tc>
        <w:tc>
          <w:tcPr>
            <w:tcW w:w="2086" w:type="dxa"/>
            <w:tcMar>
              <w:top w:w="43" w:type="dxa"/>
              <w:bottom w:w="43" w:type="dxa"/>
            </w:tcMar>
          </w:tcPr>
          <w:p w:rsidR="00723774" w:rsidRPr="002F71E7" w:rsidRDefault="00723774" w:rsidP="00D97B11">
            <w:pPr>
              <w:spacing w:after="60"/>
              <w:ind w:left="-74" w:right="-55"/>
            </w:pPr>
          </w:p>
        </w:tc>
        <w:tc>
          <w:tcPr>
            <w:tcW w:w="2087" w:type="dxa"/>
            <w:tcMar>
              <w:top w:w="43" w:type="dxa"/>
              <w:bottom w:w="43" w:type="dxa"/>
            </w:tcMar>
          </w:tcPr>
          <w:p w:rsidR="00723774" w:rsidRPr="002F71E7" w:rsidRDefault="00723774" w:rsidP="00D97B11">
            <w:pPr>
              <w:spacing w:after="60"/>
              <w:ind w:left="-74" w:right="-55"/>
            </w:pPr>
          </w:p>
        </w:tc>
        <w:tc>
          <w:tcPr>
            <w:tcW w:w="2086" w:type="dxa"/>
            <w:tcMar>
              <w:top w:w="43" w:type="dxa"/>
              <w:bottom w:w="43" w:type="dxa"/>
            </w:tcMar>
          </w:tcPr>
          <w:p w:rsidR="00723774" w:rsidRPr="002F71E7" w:rsidRDefault="00723774" w:rsidP="00D97B11">
            <w:pPr>
              <w:spacing w:after="60"/>
              <w:ind w:left="-74" w:right="-55"/>
            </w:pPr>
          </w:p>
        </w:tc>
        <w:tc>
          <w:tcPr>
            <w:tcW w:w="2086" w:type="dxa"/>
            <w:tcMar>
              <w:top w:w="43" w:type="dxa"/>
              <w:bottom w:w="43" w:type="dxa"/>
            </w:tcMar>
          </w:tcPr>
          <w:p w:rsidR="00723774" w:rsidRPr="002F71E7" w:rsidRDefault="00723774" w:rsidP="00D97B11">
            <w:pPr>
              <w:spacing w:after="60"/>
              <w:ind w:left="-74" w:right="-55"/>
            </w:pPr>
          </w:p>
        </w:tc>
      </w:tr>
      <w:tr w:rsidR="00852000" w:rsidRPr="00627242" w:rsidTr="009E4FD7">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b/>
                <w:i/>
                <w:sz w:val="6"/>
                <w:szCs w:val="6"/>
              </w:rPr>
            </w:pPr>
          </w:p>
        </w:tc>
      </w:tr>
      <w:tr w:rsidR="001A151C" w:rsidRPr="002F71E7" w:rsidTr="009E4FD7">
        <w:trPr>
          <w:trHeight w:val="20"/>
        </w:trPr>
        <w:tc>
          <w:tcPr>
            <w:tcW w:w="14604" w:type="dxa"/>
            <w:gridSpan w:val="7"/>
            <w:tcMar>
              <w:top w:w="43" w:type="dxa"/>
              <w:bottom w:w="43" w:type="dxa"/>
            </w:tcMar>
          </w:tcPr>
          <w:p w:rsidR="001A151C" w:rsidRDefault="001A151C" w:rsidP="009E4FD7">
            <w:pPr>
              <w:spacing w:after="60"/>
              <w:ind w:left="-72" w:right="-57"/>
              <w:rPr>
                <w:b/>
                <w:i/>
              </w:rPr>
            </w:pPr>
            <w:r>
              <w:rPr>
                <w:b/>
                <w:i/>
              </w:rPr>
              <w:t>Depreciation Revenue Requirement Adjustments</w:t>
            </w:r>
          </w:p>
          <w:p w:rsidR="001A151C" w:rsidRPr="002F71E7" w:rsidRDefault="001A151C" w:rsidP="009E4FD7">
            <w:pPr>
              <w:spacing w:after="60"/>
              <w:ind w:left="-74" w:right="-55"/>
            </w:pPr>
            <w:r>
              <w:rPr>
                <w:b/>
                <w:i/>
              </w:rPr>
              <w:t>(Tab 6 of Exhibit No.___(</w:t>
            </w:r>
            <w:r w:rsidR="00852000">
              <w:rPr>
                <w:b/>
                <w:i/>
              </w:rPr>
              <w:t>SRM</w:t>
            </w:r>
            <w:r>
              <w:rPr>
                <w:b/>
                <w:i/>
              </w:rPr>
              <w:t>-3)</w:t>
            </w: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6.1</w:t>
            </w:r>
          </w:p>
          <w:p w:rsidR="001A151C" w:rsidRPr="002F71E7" w:rsidRDefault="001A151C" w:rsidP="009E4FD7">
            <w:pPr>
              <w:spacing w:after="60"/>
              <w:ind w:left="-72" w:right="-57"/>
              <w:rPr>
                <w:b/>
                <w:i/>
              </w:rPr>
            </w:pPr>
            <w:r>
              <w:rPr>
                <w:b/>
                <w:i/>
              </w:rPr>
              <w:t>Hydro Decommissioning</w:t>
            </w:r>
          </w:p>
          <w:p w:rsidR="001A151C" w:rsidRPr="002F71E7" w:rsidRDefault="001A151C" w:rsidP="009E4FD7">
            <w:pPr>
              <w:spacing w:after="60"/>
              <w:ind w:left="-72" w:right="-57"/>
              <w:rPr>
                <w:b/>
                <w:i/>
              </w:rPr>
            </w:pPr>
          </w:p>
        </w:tc>
        <w:tc>
          <w:tcPr>
            <w:tcW w:w="2086" w:type="dxa"/>
            <w:tcMar>
              <w:top w:w="43" w:type="dxa"/>
              <w:bottom w:w="43" w:type="dxa"/>
            </w:tcMar>
          </w:tcPr>
          <w:p w:rsidR="001A151C" w:rsidRDefault="001A151C" w:rsidP="009E4FD7">
            <w:pPr>
              <w:spacing w:after="60"/>
              <w:ind w:left="-74" w:right="-55"/>
            </w:pPr>
            <w:r w:rsidRPr="006618C4">
              <w:t xml:space="preserve">This adjustment has both restating and pro forma components.  The restating component of this adjustment makes a small correction to the booked accumulated reserve so that the proper balances are reflected for the east and west control areas.  The pro forma aspect of the adjustment walks forward the decommissioning expenditures through </w:t>
            </w:r>
            <w:r w:rsidR="002F4A78">
              <w:t>June 30, 2013</w:t>
            </w:r>
            <w:r w:rsidRPr="006618C4">
              <w:t xml:space="preserve">. </w:t>
            </w:r>
          </w:p>
          <w:p w:rsidR="001A151C" w:rsidRDefault="001A151C" w:rsidP="009E4FD7">
            <w:pPr>
              <w:spacing w:after="60"/>
              <w:ind w:left="-74" w:right="-55"/>
            </w:pPr>
            <w:r w:rsidRPr="002F71E7">
              <w:t>Decreases NOI by $</w:t>
            </w:r>
            <w:r>
              <w:t>50,952</w:t>
            </w:r>
            <w:r w:rsidRPr="002F71E7">
              <w:t>.</w:t>
            </w:r>
          </w:p>
          <w:p w:rsidR="001A151C" w:rsidRDefault="001A151C" w:rsidP="009E4FD7">
            <w:pPr>
              <w:spacing w:after="60"/>
              <w:ind w:left="-74" w:right="-55"/>
            </w:pPr>
            <w:r>
              <w:t>Increases rate base by $95,198.</w:t>
            </w:r>
          </w:p>
          <w:p w:rsidR="001A151C" w:rsidRPr="002F71E7" w:rsidRDefault="001A151C" w:rsidP="009E4FD7">
            <w:pPr>
              <w:spacing w:after="60"/>
              <w:ind w:left="-74" w:right="-55"/>
            </w:pPr>
            <w:r w:rsidRPr="002F71E7">
              <w:t>Exhibit No.___(</w:t>
            </w:r>
            <w:r>
              <w:t>SRM-3), page 6.0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6.2</w:t>
            </w:r>
          </w:p>
          <w:p w:rsidR="001A151C" w:rsidRPr="002F71E7" w:rsidRDefault="001A151C" w:rsidP="009E4FD7">
            <w:pPr>
              <w:spacing w:after="60"/>
              <w:ind w:left="-72" w:right="-57"/>
              <w:rPr>
                <w:b/>
                <w:i/>
              </w:rPr>
            </w:pPr>
            <w:r>
              <w:rPr>
                <w:b/>
                <w:i/>
              </w:rPr>
              <w:t>Depreciation and Amortization Reserve to June 2012 Balance</w:t>
            </w:r>
          </w:p>
          <w:p w:rsidR="001A151C" w:rsidRPr="002F71E7" w:rsidRDefault="001A151C" w:rsidP="009E4FD7">
            <w:pPr>
              <w:spacing w:after="60"/>
              <w:ind w:left="-72" w:right="-57"/>
              <w:rPr>
                <w:b/>
                <w:i/>
              </w:rPr>
            </w:pPr>
          </w:p>
        </w:tc>
        <w:tc>
          <w:tcPr>
            <w:tcW w:w="2086" w:type="dxa"/>
            <w:tcMar>
              <w:top w:w="43" w:type="dxa"/>
              <w:bottom w:w="43" w:type="dxa"/>
            </w:tcMar>
          </w:tcPr>
          <w:p w:rsidR="001A151C" w:rsidRDefault="001A151C" w:rsidP="009E4FD7">
            <w:pPr>
              <w:spacing w:after="60"/>
              <w:ind w:left="-74" w:right="-55"/>
            </w:pPr>
            <w:r w:rsidRPr="00C816EF">
              <w:t xml:space="preserve">This adjustment </w:t>
            </w:r>
            <w:r w:rsidR="00643751">
              <w:t xml:space="preserve">restates </w:t>
            </w:r>
            <w:r w:rsidRPr="00C816EF">
              <w:t xml:space="preserve">depreciation and amortization reserve </w:t>
            </w:r>
            <w:r w:rsidR="00643751">
              <w:t xml:space="preserve">balances </w:t>
            </w:r>
            <w:r w:rsidRPr="00C816EF">
              <w:t xml:space="preserve">from the June 2012 </w:t>
            </w:r>
            <w:r>
              <w:t>average of monthly average</w:t>
            </w:r>
            <w:r w:rsidRPr="00C816EF">
              <w:t xml:space="preserve"> balance</w:t>
            </w:r>
            <w:r w:rsidR="00643751">
              <w:t>s</w:t>
            </w:r>
            <w:r w:rsidRPr="00C816EF">
              <w:t xml:space="preserve"> to the June 2012 </w:t>
            </w:r>
            <w:r>
              <w:t>period</w:t>
            </w:r>
            <w:r w:rsidRPr="00C816EF">
              <w:t>-end balance</w:t>
            </w:r>
            <w:r w:rsidR="00643751">
              <w:t>s</w:t>
            </w:r>
            <w:r w:rsidRPr="00C816EF">
              <w:t>.</w:t>
            </w:r>
          </w:p>
          <w:p w:rsidR="001A151C" w:rsidRDefault="001A151C" w:rsidP="009E4FD7">
            <w:pPr>
              <w:spacing w:after="60"/>
              <w:ind w:left="-74" w:right="-55"/>
            </w:pPr>
            <w:r>
              <w:t>Increases rate base by $12,988,907.</w:t>
            </w:r>
          </w:p>
          <w:p w:rsidR="001A151C" w:rsidRPr="006618C4" w:rsidRDefault="001A151C" w:rsidP="009E4FD7">
            <w:pPr>
              <w:spacing w:after="60"/>
              <w:ind w:left="-74" w:right="-55"/>
            </w:pPr>
            <w:r w:rsidRPr="002F71E7">
              <w:t>Exhibit No.___(</w:t>
            </w:r>
            <w:r>
              <w:t>SRM-3), page 6.0 Total, line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6.3</w:t>
            </w:r>
            <w:r w:rsidR="009C6536">
              <w:rPr>
                <w:b/>
                <w:i/>
              </w:rPr>
              <w:t>and 6.3.1</w:t>
            </w:r>
          </w:p>
          <w:p w:rsidR="001A151C" w:rsidRPr="002F71E7" w:rsidRDefault="001A151C" w:rsidP="009E4FD7">
            <w:pPr>
              <w:spacing w:after="60"/>
              <w:ind w:left="-72" w:right="-57"/>
              <w:rPr>
                <w:b/>
                <w:i/>
              </w:rPr>
            </w:pPr>
            <w:r>
              <w:rPr>
                <w:b/>
                <w:i/>
              </w:rPr>
              <w:t xml:space="preserve">Proposed Depreciation Rates </w:t>
            </w:r>
            <w:r w:rsidR="009C6536">
              <w:rPr>
                <w:b/>
                <w:i/>
              </w:rPr>
              <w:t>–</w:t>
            </w:r>
            <w:r>
              <w:rPr>
                <w:b/>
                <w:i/>
              </w:rPr>
              <w:t xml:space="preserve"> Expense</w:t>
            </w:r>
            <w:r w:rsidR="009C6536">
              <w:rPr>
                <w:b/>
                <w:i/>
              </w:rPr>
              <w:t xml:space="preserve"> and Reserve</w:t>
            </w:r>
          </w:p>
          <w:p w:rsidR="001A151C" w:rsidRPr="002F71E7" w:rsidRDefault="001A151C" w:rsidP="009E4FD7">
            <w:pPr>
              <w:spacing w:after="60"/>
              <w:ind w:left="-72" w:right="-57"/>
              <w:rPr>
                <w:b/>
                <w:i/>
              </w:rPr>
            </w:pPr>
          </w:p>
        </w:tc>
        <w:tc>
          <w:tcPr>
            <w:tcW w:w="2086" w:type="dxa"/>
            <w:tcMar>
              <w:top w:w="43" w:type="dxa"/>
              <w:bottom w:w="43" w:type="dxa"/>
            </w:tcMar>
          </w:tcPr>
          <w:p w:rsidR="001A151C" w:rsidRDefault="001A151C" w:rsidP="009E4FD7">
            <w:pPr>
              <w:spacing w:after="60"/>
              <w:ind w:left="-74" w:right="-55"/>
            </w:pPr>
            <w:r w:rsidRPr="00C816EF">
              <w:t xml:space="preserve">This restating adjustment normalizes the depreciation expense </w:t>
            </w:r>
            <w:r w:rsidR="009C6536">
              <w:t xml:space="preserve">and reserve </w:t>
            </w:r>
            <w:r w:rsidRPr="00C816EF">
              <w:t>to reflect the proposed depreciation rates</w:t>
            </w:r>
            <w:r w:rsidR="00643751">
              <w:t>,</w:t>
            </w:r>
            <w:r w:rsidRPr="00C816EF">
              <w:t xml:space="preserve"> filed in </w:t>
            </w:r>
            <w:r w:rsidR="009C6536">
              <w:t xml:space="preserve">January 2013 </w:t>
            </w:r>
            <w:r w:rsidR="00643751">
              <w:t>in</w:t>
            </w:r>
            <w:r w:rsidR="009C6536">
              <w:t xml:space="preserve"> docket UE-</w:t>
            </w:r>
            <w:r w:rsidR="002F403E">
              <w:t>130052</w:t>
            </w:r>
            <w:r w:rsidRPr="00C816EF">
              <w:t>.</w:t>
            </w:r>
          </w:p>
          <w:p w:rsidR="001A151C" w:rsidRDefault="001A151C" w:rsidP="009E4FD7">
            <w:pPr>
              <w:spacing w:after="60"/>
              <w:ind w:left="-74" w:right="-55"/>
            </w:pPr>
            <w:r w:rsidRPr="002F71E7">
              <w:t>Decreases NOI by $</w:t>
            </w:r>
            <w:r>
              <w:t>225,013</w:t>
            </w:r>
            <w:r w:rsidRPr="002F71E7">
              <w:t>.</w:t>
            </w:r>
          </w:p>
          <w:p w:rsidR="001A151C" w:rsidRDefault="001A151C" w:rsidP="009E4FD7">
            <w:pPr>
              <w:spacing w:after="60"/>
              <w:ind w:left="-74" w:right="-55"/>
            </w:pPr>
            <w:r>
              <w:t>Increases rate base by $</w:t>
            </w:r>
            <w:r w:rsidR="009C6536">
              <w:t>2,301,854</w:t>
            </w:r>
          </w:p>
          <w:p w:rsidR="001A151C" w:rsidRPr="00C816EF" w:rsidRDefault="001A151C" w:rsidP="009E4FD7">
            <w:pPr>
              <w:spacing w:after="60"/>
              <w:ind w:left="-74" w:right="-55"/>
            </w:pPr>
            <w:r w:rsidRPr="002F71E7">
              <w:t>Exhibit No.___(</w:t>
            </w:r>
            <w:r>
              <w:t>SRM-3), page 6.0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852000" w:rsidRPr="00627242" w:rsidTr="009E4FD7">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sz w:val="6"/>
                <w:szCs w:val="6"/>
              </w:rPr>
            </w:pPr>
          </w:p>
        </w:tc>
      </w:tr>
      <w:tr w:rsidR="00852000" w:rsidRPr="002F71E7" w:rsidTr="009E4FD7">
        <w:trPr>
          <w:trHeight w:val="20"/>
        </w:trPr>
        <w:tc>
          <w:tcPr>
            <w:tcW w:w="14604" w:type="dxa"/>
            <w:gridSpan w:val="7"/>
            <w:tcMar>
              <w:top w:w="43" w:type="dxa"/>
              <w:bottom w:w="43" w:type="dxa"/>
            </w:tcMar>
          </w:tcPr>
          <w:p w:rsidR="00852000" w:rsidRDefault="00852000" w:rsidP="009E4FD7">
            <w:pPr>
              <w:spacing w:after="60"/>
              <w:ind w:left="-72" w:right="-57"/>
              <w:rPr>
                <w:b/>
                <w:i/>
              </w:rPr>
            </w:pPr>
            <w:r>
              <w:rPr>
                <w:b/>
                <w:i/>
              </w:rPr>
              <w:t>Tax Revenue Requirement Adjustments</w:t>
            </w:r>
          </w:p>
          <w:p w:rsidR="00852000" w:rsidRPr="002F71E7" w:rsidRDefault="00852000" w:rsidP="009E4FD7">
            <w:pPr>
              <w:spacing w:after="60"/>
              <w:ind w:left="-74" w:right="-55"/>
            </w:pPr>
            <w:r>
              <w:rPr>
                <w:b/>
                <w:i/>
              </w:rPr>
              <w:t>(Tab 7 of Exhibit No.___(SRM-3)</w:t>
            </w: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7.1</w:t>
            </w:r>
          </w:p>
          <w:p w:rsidR="001A151C" w:rsidRPr="002F71E7" w:rsidRDefault="001A151C" w:rsidP="009E4FD7">
            <w:pPr>
              <w:spacing w:after="60"/>
              <w:ind w:left="-72" w:right="-57"/>
              <w:rPr>
                <w:b/>
                <w:i/>
              </w:rPr>
            </w:pPr>
            <w:r>
              <w:rPr>
                <w:b/>
                <w:i/>
              </w:rPr>
              <w:t>Interest True Up</w:t>
            </w:r>
          </w:p>
        </w:tc>
        <w:tc>
          <w:tcPr>
            <w:tcW w:w="2086" w:type="dxa"/>
            <w:tcMar>
              <w:top w:w="43" w:type="dxa"/>
              <w:bottom w:w="43" w:type="dxa"/>
            </w:tcMar>
          </w:tcPr>
          <w:p w:rsidR="001A151C" w:rsidRDefault="001A151C" w:rsidP="009E4FD7">
            <w:pPr>
              <w:spacing w:after="60"/>
              <w:ind w:left="-74" w:right="-55"/>
            </w:pPr>
            <w:r w:rsidRPr="00997D07">
              <w:t>This restating and pro forma adjustment details the adjustment to interest expense required to synchronize the test period expense with rate base. T</w:t>
            </w:r>
            <w:r w:rsidR="00643751">
              <w:t xml:space="preserve"> </w:t>
            </w:r>
            <w:r w:rsidRPr="00997D07">
              <w:t xml:space="preserve">his is done by multiplying normalized Washington net rate base by the Company’s weighted cost of debt in this case.  </w:t>
            </w:r>
          </w:p>
          <w:p w:rsidR="001A151C" w:rsidRDefault="001A151C" w:rsidP="009E4FD7">
            <w:pPr>
              <w:spacing w:after="60"/>
              <w:ind w:left="-74" w:right="-55"/>
            </w:pPr>
            <w:r>
              <w:t>Decreases</w:t>
            </w:r>
            <w:r w:rsidRPr="002F71E7">
              <w:t xml:space="preserve"> NOI by $</w:t>
            </w:r>
            <w:r>
              <w:t>355,765</w:t>
            </w:r>
            <w:r w:rsidRPr="002F71E7">
              <w:t>.</w:t>
            </w:r>
          </w:p>
          <w:p w:rsidR="001A151C" w:rsidRPr="002F71E7" w:rsidRDefault="001A151C" w:rsidP="009E4FD7">
            <w:pPr>
              <w:spacing w:after="60"/>
              <w:ind w:left="-74" w:right="-55"/>
            </w:pPr>
            <w:r w:rsidRPr="002F71E7">
              <w:t>Exhibit No.___(</w:t>
            </w:r>
            <w:r>
              <w:t>SRM-3), page 7.0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7.2</w:t>
            </w:r>
          </w:p>
          <w:p w:rsidR="001A151C" w:rsidRDefault="001A151C" w:rsidP="009E4FD7">
            <w:pPr>
              <w:spacing w:after="60"/>
              <w:ind w:left="-72" w:right="-57"/>
              <w:rPr>
                <w:b/>
                <w:i/>
              </w:rPr>
            </w:pPr>
            <w:r>
              <w:rPr>
                <w:b/>
                <w:i/>
              </w:rPr>
              <w:t>Property Tax Expense</w:t>
            </w:r>
          </w:p>
        </w:tc>
        <w:tc>
          <w:tcPr>
            <w:tcW w:w="2086" w:type="dxa"/>
            <w:tcMar>
              <w:top w:w="43" w:type="dxa"/>
              <w:bottom w:w="43" w:type="dxa"/>
            </w:tcMar>
          </w:tcPr>
          <w:p w:rsidR="001A151C" w:rsidRDefault="001A151C" w:rsidP="009E4FD7">
            <w:pPr>
              <w:spacing w:after="60"/>
              <w:ind w:left="-74" w:right="-55"/>
            </w:pPr>
            <w:r w:rsidRPr="00920B63">
              <w:t>This pro forma adjustment normalizes the difference between per books accrued property tax expense and pro forma property tax expense</w:t>
            </w:r>
            <w:r w:rsidR="002F403E">
              <w:t>.</w:t>
            </w:r>
          </w:p>
          <w:p w:rsidR="001A151C" w:rsidRDefault="001A151C" w:rsidP="009E4FD7">
            <w:pPr>
              <w:spacing w:after="60"/>
              <w:ind w:left="-74" w:right="-55"/>
            </w:pPr>
            <w:r>
              <w:t>Decreases</w:t>
            </w:r>
            <w:r w:rsidRPr="002F71E7">
              <w:t xml:space="preserve"> NOI by $</w:t>
            </w:r>
            <w:r>
              <w:t>214,813</w:t>
            </w:r>
            <w:r w:rsidRPr="002F71E7">
              <w:t>.</w:t>
            </w:r>
          </w:p>
          <w:p w:rsidR="001A151C" w:rsidRDefault="001A151C" w:rsidP="009E4FD7">
            <w:pPr>
              <w:spacing w:after="60"/>
              <w:ind w:left="-74" w:right="-55"/>
            </w:pPr>
            <w:r w:rsidRPr="002F71E7">
              <w:t>Exhibit No.___(</w:t>
            </w:r>
            <w:r>
              <w:t>SRM-3), page 7.0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7.3</w:t>
            </w:r>
          </w:p>
          <w:p w:rsidR="001A151C" w:rsidRPr="002F71E7" w:rsidRDefault="001A151C" w:rsidP="009E4FD7">
            <w:pPr>
              <w:spacing w:after="60"/>
              <w:ind w:left="-72" w:right="-57"/>
              <w:rPr>
                <w:b/>
                <w:i/>
              </w:rPr>
            </w:pPr>
            <w:r>
              <w:rPr>
                <w:b/>
                <w:i/>
              </w:rPr>
              <w:t>Renewable Energy Tax Credit Adjustment</w:t>
            </w:r>
          </w:p>
        </w:tc>
        <w:tc>
          <w:tcPr>
            <w:tcW w:w="2086" w:type="dxa"/>
            <w:tcMar>
              <w:top w:w="43" w:type="dxa"/>
              <w:bottom w:w="43" w:type="dxa"/>
            </w:tcMar>
          </w:tcPr>
          <w:p w:rsidR="001A151C" w:rsidRDefault="001A151C" w:rsidP="009E4FD7">
            <w:pPr>
              <w:spacing w:after="60"/>
              <w:ind w:left="-74" w:right="-55"/>
            </w:pPr>
            <w:r>
              <w:t xml:space="preserve">The Company is entitled to recognize a federal income tax credit as a result of placing renewable generating plants in service. The tax credit is based on the kilowatt-hours generated by a qualified facility during the facility’s first ten years of service. This pro forma adjustment reflects this credit based on the qualifying production as modeled in GRID for the pro forma net power cost study.  </w:t>
            </w:r>
          </w:p>
          <w:p w:rsidR="001A151C" w:rsidRDefault="001A151C" w:rsidP="009E4FD7">
            <w:pPr>
              <w:spacing w:after="60"/>
              <w:ind w:left="-74" w:right="-55"/>
            </w:pPr>
            <w:r>
              <w:t>Decreases</w:t>
            </w:r>
            <w:r w:rsidRPr="002F71E7">
              <w:t xml:space="preserve"> NOI by $</w:t>
            </w:r>
            <w:r>
              <w:t xml:space="preserve">602,684. </w:t>
            </w:r>
          </w:p>
          <w:p w:rsidR="001A151C" w:rsidRPr="002F71E7" w:rsidRDefault="001A151C" w:rsidP="009E4FD7">
            <w:pPr>
              <w:spacing w:after="60"/>
              <w:ind w:left="-74" w:right="-55"/>
            </w:pPr>
            <w:r w:rsidRPr="002F71E7">
              <w:t>Exhibit No.___(</w:t>
            </w:r>
            <w:r>
              <w:t>SRM-3), page 7.0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keepNext/>
              <w:keepLines/>
              <w:spacing w:after="60"/>
              <w:ind w:left="-72" w:right="-57"/>
              <w:rPr>
                <w:b/>
                <w:i/>
              </w:rPr>
            </w:pPr>
            <w:r w:rsidRPr="002F71E7">
              <w:rPr>
                <w:b/>
                <w:i/>
              </w:rPr>
              <w:t xml:space="preserve"> </w:t>
            </w:r>
            <w:r>
              <w:rPr>
                <w:b/>
                <w:i/>
              </w:rPr>
              <w:t>7.4</w:t>
            </w:r>
          </w:p>
          <w:p w:rsidR="001A151C" w:rsidRPr="002F71E7" w:rsidRDefault="001A151C" w:rsidP="009E4FD7">
            <w:pPr>
              <w:keepNext/>
              <w:keepLines/>
              <w:spacing w:after="60"/>
              <w:ind w:left="-72" w:right="-57"/>
              <w:rPr>
                <w:b/>
                <w:i/>
              </w:rPr>
            </w:pPr>
            <w:r>
              <w:rPr>
                <w:b/>
                <w:i/>
              </w:rPr>
              <w:t>PowerTax Accumulated Deferred Income Tax (ADIT) Balance</w:t>
            </w:r>
          </w:p>
        </w:tc>
        <w:tc>
          <w:tcPr>
            <w:tcW w:w="2086" w:type="dxa"/>
            <w:tcMar>
              <w:top w:w="43" w:type="dxa"/>
              <w:bottom w:w="43" w:type="dxa"/>
            </w:tcMar>
          </w:tcPr>
          <w:p w:rsidR="001A151C" w:rsidRDefault="001A151C" w:rsidP="009E4FD7">
            <w:pPr>
              <w:keepNext/>
              <w:keepLines/>
              <w:spacing w:after="60"/>
              <w:ind w:left="-74" w:right="-55"/>
            </w:pPr>
            <w:r w:rsidRPr="00920B63">
              <w:t>This adjustment reflects the accumulated deferred income tax balances for property on a jurisdictional basis as maintained in the PowerTax System.</w:t>
            </w:r>
          </w:p>
          <w:p w:rsidR="001A151C" w:rsidRDefault="001A151C" w:rsidP="009E4FD7">
            <w:pPr>
              <w:keepNext/>
              <w:keepLines/>
              <w:spacing w:after="60"/>
              <w:ind w:left="-74" w:right="-55"/>
            </w:pPr>
            <w:r>
              <w:t>Decreases rate base by $7,524,077.</w:t>
            </w:r>
          </w:p>
          <w:p w:rsidR="001A151C" w:rsidRPr="002F71E7" w:rsidRDefault="001A151C" w:rsidP="009E4FD7">
            <w:pPr>
              <w:keepNext/>
              <w:keepLines/>
              <w:spacing w:after="60"/>
              <w:ind w:left="-74" w:right="-55"/>
            </w:pPr>
            <w:r w:rsidRPr="002F71E7">
              <w:t>Exhibit No.___(</w:t>
            </w:r>
            <w:r>
              <w:t>SRM-3), page 7.0 Total, line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7.5</w:t>
            </w:r>
          </w:p>
          <w:p w:rsidR="001A151C" w:rsidRPr="002F71E7" w:rsidRDefault="001A151C" w:rsidP="009E4FD7">
            <w:pPr>
              <w:spacing w:after="60"/>
              <w:ind w:left="-72" w:right="-57"/>
              <w:rPr>
                <w:b/>
                <w:i/>
              </w:rPr>
            </w:pPr>
            <w:r>
              <w:rPr>
                <w:b/>
                <w:i/>
              </w:rPr>
              <w:t>Washington Low Income Tax Credit</w:t>
            </w:r>
          </w:p>
        </w:tc>
        <w:tc>
          <w:tcPr>
            <w:tcW w:w="2086" w:type="dxa"/>
            <w:tcMar>
              <w:top w:w="43" w:type="dxa"/>
              <w:bottom w:w="43" w:type="dxa"/>
            </w:tcMar>
          </w:tcPr>
          <w:p w:rsidR="001A151C" w:rsidRDefault="001A151C" w:rsidP="009E4FD7">
            <w:pPr>
              <w:spacing w:after="60"/>
              <w:ind w:left="-74" w:right="-55"/>
            </w:pPr>
            <w:r w:rsidRPr="00920B63">
              <w:t>This adjustment reflects the known and measurable change to the Public Utility Tax Credit for Low Income Home Energy Assistance Program (LIHEAP) for the 2013 authorized credit amount, per a July 26, 2012 letter from the Washington Department of Revenue.</w:t>
            </w:r>
          </w:p>
          <w:p w:rsidR="001A151C" w:rsidRDefault="001A151C" w:rsidP="009E4FD7">
            <w:pPr>
              <w:spacing w:after="60"/>
              <w:ind w:left="-74" w:right="-55"/>
            </w:pPr>
            <w:r>
              <w:t>Increases</w:t>
            </w:r>
            <w:r w:rsidRPr="002F71E7">
              <w:t xml:space="preserve"> NOI by $</w:t>
            </w:r>
            <w:r>
              <w:t>8,543</w:t>
            </w:r>
            <w:r w:rsidRPr="002F71E7">
              <w:t>.</w:t>
            </w:r>
          </w:p>
          <w:p w:rsidR="001A151C" w:rsidRPr="002F71E7" w:rsidRDefault="001A151C" w:rsidP="009E4FD7">
            <w:pPr>
              <w:spacing w:after="60"/>
              <w:ind w:left="-74" w:right="-55"/>
            </w:pPr>
            <w:r w:rsidRPr="002F71E7">
              <w:t>Exhibit No.___(</w:t>
            </w:r>
            <w:r>
              <w:t>SRM-3), page 7.0 Total, line 30.</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Default="001A151C" w:rsidP="009E4FD7">
            <w:pPr>
              <w:spacing w:after="60"/>
              <w:ind w:left="-72" w:right="-57"/>
              <w:rPr>
                <w:b/>
                <w:i/>
              </w:rPr>
            </w:pPr>
            <w:r>
              <w:rPr>
                <w:b/>
                <w:i/>
              </w:rPr>
              <w:t>7.6 and 7.6.1</w:t>
            </w:r>
          </w:p>
          <w:p w:rsidR="001A151C" w:rsidRPr="002F71E7" w:rsidRDefault="001A151C" w:rsidP="009E4FD7">
            <w:pPr>
              <w:spacing w:after="60"/>
              <w:ind w:left="-72" w:right="-57"/>
              <w:rPr>
                <w:b/>
                <w:i/>
              </w:rPr>
            </w:pPr>
            <w:r>
              <w:rPr>
                <w:b/>
                <w:i/>
              </w:rPr>
              <w:t>Washington Flow-Through Adjustment</w:t>
            </w:r>
          </w:p>
        </w:tc>
        <w:tc>
          <w:tcPr>
            <w:tcW w:w="2086" w:type="dxa"/>
            <w:tcMar>
              <w:top w:w="43" w:type="dxa"/>
              <w:bottom w:w="43" w:type="dxa"/>
            </w:tcMar>
          </w:tcPr>
          <w:p w:rsidR="001A151C" w:rsidRDefault="001A151C" w:rsidP="009E4FD7">
            <w:pPr>
              <w:spacing w:after="60"/>
              <w:ind w:left="-74" w:right="-55"/>
            </w:pPr>
            <w:r w:rsidRPr="00512114">
              <w:t>This adjustment reflects the removal of the June 2012 balances for all non-property-related deferred taxes. The associated deferred tax expenses are removed as well. This in effect flows through to income the current tax impacts on these items.</w:t>
            </w:r>
            <w:r>
              <w:t xml:space="preserve"> </w:t>
            </w:r>
          </w:p>
          <w:p w:rsidR="001A151C" w:rsidRDefault="001A151C" w:rsidP="009E4FD7">
            <w:pPr>
              <w:spacing w:after="60"/>
              <w:ind w:left="-74" w:right="-55"/>
            </w:pPr>
            <w:r>
              <w:t xml:space="preserve">Decreases NOI </w:t>
            </w:r>
            <w:r w:rsidRPr="002F71E7">
              <w:t>by $</w:t>
            </w:r>
            <w:r>
              <w:t>1,173,806</w:t>
            </w:r>
            <w:r w:rsidRPr="002F71E7">
              <w:t>.</w:t>
            </w:r>
          </w:p>
          <w:p w:rsidR="001A151C" w:rsidRDefault="001A151C" w:rsidP="009E4FD7">
            <w:pPr>
              <w:spacing w:after="60"/>
              <w:ind w:left="-74" w:right="-55"/>
            </w:pPr>
            <w:r>
              <w:t>Decreases rate base by $9,135,825.</w:t>
            </w:r>
          </w:p>
          <w:p w:rsidR="001A151C" w:rsidRPr="002F71E7" w:rsidRDefault="001A151C" w:rsidP="009E4FD7">
            <w:pPr>
              <w:spacing w:after="60"/>
              <w:ind w:left="-74" w:right="-55"/>
            </w:pPr>
            <w:r w:rsidRPr="002F71E7">
              <w:t>Exhibit No.___(</w:t>
            </w:r>
            <w:r>
              <w:t>SRM-3), pages 7.0 Total and 7.0.1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Mar>
              <w:top w:w="43" w:type="dxa"/>
              <w:bottom w:w="43" w:type="dxa"/>
            </w:tcMar>
          </w:tcPr>
          <w:p w:rsidR="001A151C" w:rsidRPr="00A50C8D" w:rsidRDefault="001A151C" w:rsidP="009E4FD7">
            <w:pPr>
              <w:keepNext/>
              <w:keepLines/>
              <w:spacing w:after="60"/>
              <w:ind w:left="-72" w:right="-57"/>
              <w:rPr>
                <w:b/>
                <w:i/>
              </w:rPr>
            </w:pPr>
            <w:r w:rsidRPr="00A50C8D">
              <w:rPr>
                <w:b/>
                <w:i/>
              </w:rPr>
              <w:t xml:space="preserve"> 7.7</w:t>
            </w:r>
          </w:p>
          <w:p w:rsidR="001A151C" w:rsidRPr="002F71E7" w:rsidRDefault="001A151C" w:rsidP="009E4FD7">
            <w:pPr>
              <w:keepNext/>
              <w:keepLines/>
              <w:spacing w:after="60"/>
              <w:ind w:left="-72" w:right="-57"/>
              <w:rPr>
                <w:b/>
                <w:i/>
              </w:rPr>
            </w:pPr>
            <w:r>
              <w:rPr>
                <w:b/>
                <w:i/>
              </w:rPr>
              <w:t>Remove Deferred State Tax Expense and Balance</w:t>
            </w:r>
          </w:p>
          <w:p w:rsidR="001A151C" w:rsidRPr="002F71E7" w:rsidRDefault="001A151C" w:rsidP="009E4FD7">
            <w:pPr>
              <w:keepNext/>
              <w:keepLines/>
              <w:spacing w:after="60"/>
              <w:ind w:left="-72" w:right="-57"/>
              <w:rPr>
                <w:b/>
                <w:i/>
              </w:rPr>
            </w:pPr>
          </w:p>
        </w:tc>
        <w:tc>
          <w:tcPr>
            <w:tcW w:w="2086" w:type="dxa"/>
            <w:tcMar>
              <w:top w:w="43" w:type="dxa"/>
              <w:bottom w:w="43" w:type="dxa"/>
            </w:tcMar>
          </w:tcPr>
          <w:p w:rsidR="001A151C" w:rsidRDefault="001A151C" w:rsidP="009E4FD7">
            <w:pPr>
              <w:keepNext/>
              <w:keepLines/>
              <w:spacing w:after="60"/>
              <w:ind w:left="-74" w:right="-55"/>
            </w:pPr>
            <w:r w:rsidRPr="00A50C8D">
              <w:t>The Company’s per books provision for deferred income tax and the balance for accumulated deferred income tax are computed using the Company’s blended federal and state statutory tax rate.  State income taxes are a system cost for the Company that is not recoverable in Washington.  Accordingly, after all adjustments are ma</w:t>
            </w:r>
            <w:r>
              <w:t xml:space="preserve">de to income taxes, this final </w:t>
            </w:r>
            <w:r w:rsidRPr="00A50C8D">
              <w:t>adjustment is made to remove state income tax from the adjusted test year.</w:t>
            </w:r>
          </w:p>
          <w:p w:rsidR="001A151C" w:rsidRDefault="001A151C" w:rsidP="009E4FD7">
            <w:pPr>
              <w:keepNext/>
              <w:keepLines/>
              <w:spacing w:after="60"/>
              <w:ind w:left="-74" w:right="-55"/>
            </w:pPr>
            <w:r>
              <w:t>Increases</w:t>
            </w:r>
            <w:r w:rsidRPr="002F71E7">
              <w:t xml:space="preserve"> NOI by $</w:t>
            </w:r>
            <w:r>
              <w:t>1,383,991</w:t>
            </w:r>
            <w:r w:rsidRPr="002F71E7">
              <w:t>.</w:t>
            </w:r>
          </w:p>
          <w:p w:rsidR="001A151C" w:rsidRDefault="001A151C" w:rsidP="009E4FD7">
            <w:pPr>
              <w:keepNext/>
              <w:keepLines/>
              <w:spacing w:after="60"/>
              <w:ind w:left="-74" w:right="-55"/>
            </w:pPr>
            <w:r>
              <w:t>Increases rate base by $691,996.</w:t>
            </w:r>
          </w:p>
          <w:p w:rsidR="001A151C" w:rsidRPr="002F71E7" w:rsidRDefault="001A151C" w:rsidP="009E4FD7">
            <w:pPr>
              <w:keepNext/>
              <w:keepLines/>
              <w:spacing w:after="60"/>
              <w:ind w:left="-74" w:right="-55"/>
            </w:pPr>
            <w:r w:rsidRPr="002F71E7">
              <w:t>Exhibit No.___(</w:t>
            </w:r>
            <w:r>
              <w:t>SRM-3), page 7.0 .1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Borders>
              <w:bottom w:val="single" w:sz="4" w:space="0" w:color="auto"/>
            </w:tcBorders>
            <w:tcMar>
              <w:top w:w="43" w:type="dxa"/>
              <w:bottom w:w="43" w:type="dxa"/>
            </w:tcMar>
          </w:tcPr>
          <w:p w:rsidR="001A151C" w:rsidRDefault="001A151C" w:rsidP="009E4FD7">
            <w:pPr>
              <w:spacing w:after="60"/>
              <w:ind w:left="-72" w:right="-57"/>
              <w:rPr>
                <w:b/>
                <w:i/>
              </w:rPr>
            </w:pPr>
            <w:r>
              <w:rPr>
                <w:b/>
                <w:i/>
              </w:rPr>
              <w:t>7.8</w:t>
            </w:r>
          </w:p>
          <w:p w:rsidR="001A151C" w:rsidRPr="002F71E7" w:rsidRDefault="001A151C" w:rsidP="009E4FD7">
            <w:pPr>
              <w:spacing w:after="60"/>
              <w:ind w:left="-72" w:right="-57"/>
              <w:rPr>
                <w:b/>
                <w:i/>
              </w:rPr>
            </w:pPr>
            <w:r>
              <w:rPr>
                <w:b/>
                <w:i/>
              </w:rPr>
              <w:t>Washington Public Utility Tax Adjustment</w:t>
            </w:r>
          </w:p>
        </w:tc>
        <w:tc>
          <w:tcPr>
            <w:tcW w:w="2086" w:type="dxa"/>
            <w:tcBorders>
              <w:bottom w:val="single" w:sz="4" w:space="0" w:color="auto"/>
            </w:tcBorders>
            <w:tcMar>
              <w:top w:w="43" w:type="dxa"/>
              <w:bottom w:w="43" w:type="dxa"/>
            </w:tcMar>
          </w:tcPr>
          <w:p w:rsidR="001A151C" w:rsidRDefault="001A151C" w:rsidP="009E4FD7">
            <w:pPr>
              <w:spacing w:after="60"/>
              <w:ind w:left="-74" w:right="-55"/>
            </w:pPr>
            <w:r w:rsidRPr="00075450">
              <w:t>This adjustment recalculates the Washington Public Utility Tax expense based on the normalized revenues included in this filing, as outlined in adjustments 3.1, 3.2, and 3.3.</w:t>
            </w:r>
          </w:p>
          <w:p w:rsidR="001A151C" w:rsidRDefault="001A151C" w:rsidP="009E4FD7">
            <w:pPr>
              <w:spacing w:after="60"/>
              <w:ind w:left="-74" w:right="-55"/>
            </w:pPr>
            <w:r w:rsidRPr="002F71E7">
              <w:t>Decreases NOI by $</w:t>
            </w:r>
            <w:r>
              <w:t>554,749</w:t>
            </w:r>
            <w:r w:rsidRPr="002F71E7">
              <w:t>.</w:t>
            </w:r>
          </w:p>
          <w:p w:rsidR="001A151C" w:rsidRPr="002F71E7" w:rsidRDefault="001A151C" w:rsidP="009E4FD7">
            <w:pPr>
              <w:spacing w:after="60"/>
              <w:ind w:left="-74" w:right="-55"/>
            </w:pPr>
            <w:r w:rsidRPr="002F71E7">
              <w:t>Exhibit No.___(</w:t>
            </w:r>
            <w:r>
              <w:t>SRM-3), page 7.0 .1 Total, line 30.</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Borders>
              <w:bottom w:val="single" w:sz="4" w:space="0" w:color="auto"/>
            </w:tcBorders>
            <w:tcMar>
              <w:top w:w="43" w:type="dxa"/>
              <w:bottom w:w="43" w:type="dxa"/>
            </w:tcMar>
          </w:tcPr>
          <w:p w:rsidR="001A151C" w:rsidRDefault="001A151C" w:rsidP="009E4FD7">
            <w:pPr>
              <w:spacing w:after="60"/>
              <w:ind w:left="-72" w:right="-57"/>
              <w:rPr>
                <w:b/>
                <w:i/>
              </w:rPr>
            </w:pPr>
            <w:r>
              <w:rPr>
                <w:b/>
                <w:i/>
              </w:rPr>
              <w:t>7.9</w:t>
            </w:r>
          </w:p>
          <w:p w:rsidR="001A151C" w:rsidRDefault="001A151C" w:rsidP="009E4FD7">
            <w:pPr>
              <w:spacing w:after="60"/>
              <w:ind w:left="-72" w:right="-57"/>
              <w:rPr>
                <w:b/>
                <w:i/>
              </w:rPr>
            </w:pPr>
            <w:r>
              <w:rPr>
                <w:b/>
                <w:i/>
              </w:rPr>
              <w:t>AFUDC – Equity</w:t>
            </w:r>
          </w:p>
        </w:tc>
        <w:tc>
          <w:tcPr>
            <w:tcW w:w="2086" w:type="dxa"/>
            <w:tcBorders>
              <w:bottom w:val="single" w:sz="4" w:space="0" w:color="auto"/>
            </w:tcBorders>
            <w:tcMar>
              <w:top w:w="43" w:type="dxa"/>
              <w:bottom w:w="43" w:type="dxa"/>
            </w:tcMar>
          </w:tcPr>
          <w:p w:rsidR="001A151C" w:rsidRDefault="001A151C" w:rsidP="009E4FD7">
            <w:pPr>
              <w:spacing w:after="60"/>
              <w:ind w:left="-74" w:right="-55"/>
            </w:pPr>
            <w:r w:rsidRPr="00075450">
              <w:t>This adjustment brings in the appropriate level of AFUDC - Equity into results to align the tax Schedule M with regulatory income.</w:t>
            </w:r>
          </w:p>
          <w:p w:rsidR="001A151C" w:rsidRDefault="001A151C" w:rsidP="009E4FD7">
            <w:pPr>
              <w:spacing w:after="60"/>
              <w:ind w:left="-74" w:right="-55"/>
            </w:pPr>
            <w:r>
              <w:t>Increases</w:t>
            </w:r>
            <w:r w:rsidRPr="002F71E7">
              <w:t xml:space="preserve"> NOI by $</w:t>
            </w:r>
            <w:r>
              <w:t>66,727</w:t>
            </w:r>
            <w:r w:rsidRPr="002F71E7">
              <w:t>.</w:t>
            </w:r>
          </w:p>
          <w:p w:rsidR="001A151C" w:rsidRPr="00075450" w:rsidRDefault="001A151C" w:rsidP="009E4FD7">
            <w:pPr>
              <w:spacing w:after="60"/>
              <w:ind w:left="-74" w:right="-55"/>
            </w:pPr>
            <w:r w:rsidRPr="002F71E7">
              <w:t>Exhibit No.___(</w:t>
            </w:r>
            <w:r>
              <w:t>SRM-3), page 7.0 .1 Total, line 30.</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852000" w:rsidRPr="00627242" w:rsidTr="009E4FD7">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sz w:val="6"/>
                <w:szCs w:val="6"/>
              </w:rPr>
            </w:pPr>
          </w:p>
        </w:tc>
      </w:tr>
      <w:tr w:rsidR="00852000" w:rsidRPr="002F71E7" w:rsidTr="009E4FD7">
        <w:trPr>
          <w:trHeight w:val="20"/>
        </w:trPr>
        <w:tc>
          <w:tcPr>
            <w:tcW w:w="14604" w:type="dxa"/>
            <w:gridSpan w:val="7"/>
            <w:tcMar>
              <w:top w:w="43" w:type="dxa"/>
              <w:bottom w:w="43" w:type="dxa"/>
            </w:tcMar>
          </w:tcPr>
          <w:p w:rsidR="00852000" w:rsidRDefault="00852000" w:rsidP="009E4FD7">
            <w:pPr>
              <w:keepNext/>
              <w:keepLines/>
              <w:spacing w:after="60"/>
              <w:ind w:left="-72" w:right="-57"/>
              <w:rPr>
                <w:b/>
                <w:i/>
              </w:rPr>
            </w:pPr>
            <w:r>
              <w:rPr>
                <w:b/>
                <w:i/>
              </w:rPr>
              <w:t>Rate Base Revenue Requirement Adjustments</w:t>
            </w:r>
          </w:p>
          <w:p w:rsidR="00852000" w:rsidRPr="002F71E7" w:rsidRDefault="00852000" w:rsidP="009E4FD7">
            <w:pPr>
              <w:keepNext/>
              <w:keepLines/>
              <w:spacing w:after="60"/>
              <w:ind w:left="-74" w:right="-55"/>
            </w:pPr>
            <w:r>
              <w:rPr>
                <w:b/>
                <w:i/>
              </w:rPr>
              <w:t>(Tab 8 of Exhibit No.___(SRM-3)</w:t>
            </w:r>
          </w:p>
        </w:tc>
      </w:tr>
      <w:tr w:rsidR="001A151C" w:rsidRPr="002F71E7" w:rsidTr="009E4FD7">
        <w:trPr>
          <w:trHeight w:val="20"/>
        </w:trPr>
        <w:tc>
          <w:tcPr>
            <w:tcW w:w="2086" w:type="dxa"/>
            <w:tcMar>
              <w:top w:w="43" w:type="dxa"/>
              <w:bottom w:w="43" w:type="dxa"/>
            </w:tcMar>
          </w:tcPr>
          <w:p w:rsidR="001A151C" w:rsidRDefault="001A151C" w:rsidP="009E4FD7">
            <w:pPr>
              <w:keepNext/>
              <w:keepLines/>
              <w:spacing w:after="60"/>
              <w:ind w:left="-72" w:right="-57"/>
              <w:rPr>
                <w:b/>
                <w:i/>
              </w:rPr>
            </w:pPr>
            <w:r w:rsidRPr="002F71E7">
              <w:rPr>
                <w:b/>
                <w:i/>
              </w:rPr>
              <w:t xml:space="preserve">   </w:t>
            </w:r>
            <w:r>
              <w:rPr>
                <w:b/>
                <w:i/>
              </w:rPr>
              <w:t>8.1</w:t>
            </w:r>
          </w:p>
          <w:p w:rsidR="001A151C" w:rsidRPr="002F71E7" w:rsidRDefault="001A151C" w:rsidP="009E4FD7">
            <w:pPr>
              <w:keepNext/>
              <w:keepLines/>
              <w:spacing w:after="60"/>
              <w:ind w:left="-72" w:right="-57"/>
              <w:rPr>
                <w:b/>
                <w:i/>
              </w:rPr>
            </w:pPr>
            <w:r>
              <w:rPr>
                <w:b/>
                <w:i/>
              </w:rPr>
              <w:t>Jim Bridger Mine Rate Base Adjustment</w:t>
            </w:r>
          </w:p>
        </w:tc>
        <w:tc>
          <w:tcPr>
            <w:tcW w:w="2086" w:type="dxa"/>
            <w:tcMar>
              <w:top w:w="43" w:type="dxa"/>
              <w:bottom w:w="43" w:type="dxa"/>
            </w:tcMar>
          </w:tcPr>
          <w:p w:rsidR="001A151C" w:rsidRDefault="001A151C" w:rsidP="009E4FD7">
            <w:pPr>
              <w:keepNext/>
              <w:keepLines/>
              <w:spacing w:after="60"/>
              <w:ind w:left="-74" w:right="-55"/>
            </w:pPr>
            <w:r w:rsidRPr="00203183">
              <w:t xml:space="preserve">PacifiCorp owns a two-thirds interest in the Bridger Coal Company (BCC), which supplies coal to the Jim Bridger generating plant. The Company's investment in BCC is recorded on the books of Pacific Minerals, INC (PMI), a wholly-owned subsidiary. Because of this ownership arrangement, the coal mine investment is not included in Account 101 -Electric Plant in Service. This restating adjustment is necessary to properly reflect the BCC plant investment based on actual balances </w:t>
            </w:r>
            <w:r w:rsidR="002F403E">
              <w:t>as of</w:t>
            </w:r>
            <w:r w:rsidRPr="00203183">
              <w:t xml:space="preserve"> June</w:t>
            </w:r>
            <w:r w:rsidR="002F403E">
              <w:t xml:space="preserve"> 30,</w:t>
            </w:r>
            <w:r w:rsidRPr="00203183">
              <w:t xml:space="preserve"> 2012. </w:t>
            </w:r>
          </w:p>
          <w:p w:rsidR="001A151C" w:rsidRDefault="001A151C" w:rsidP="009E4FD7">
            <w:pPr>
              <w:keepNext/>
              <w:keepLines/>
              <w:spacing w:after="60"/>
              <w:ind w:left="-74" w:right="-55"/>
            </w:pPr>
            <w:r>
              <w:t>Increases rate base by $27,864,469.</w:t>
            </w:r>
          </w:p>
          <w:p w:rsidR="001A151C" w:rsidRPr="002F71E7" w:rsidRDefault="001A151C" w:rsidP="009E4FD7">
            <w:pPr>
              <w:keepNext/>
              <w:keepLines/>
              <w:spacing w:after="60"/>
              <w:ind w:left="-74" w:right="-55"/>
            </w:pPr>
            <w:r w:rsidRPr="002F71E7">
              <w:t>Exhibit No. ___(</w:t>
            </w:r>
            <w:r>
              <w:t>SRM-3), page 8.0 Total, line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sidRPr="002F71E7">
              <w:rPr>
                <w:b/>
                <w:i/>
              </w:rPr>
              <w:t xml:space="preserve">   </w:t>
            </w:r>
            <w:r>
              <w:rPr>
                <w:b/>
                <w:i/>
              </w:rPr>
              <w:t>8.2</w:t>
            </w:r>
          </w:p>
          <w:p w:rsidR="001A151C" w:rsidRPr="002F71E7" w:rsidRDefault="001A151C" w:rsidP="009E4FD7">
            <w:pPr>
              <w:spacing w:after="60"/>
              <w:ind w:left="-72" w:right="-57"/>
              <w:rPr>
                <w:b/>
                <w:i/>
              </w:rPr>
            </w:pPr>
            <w:r>
              <w:rPr>
                <w:b/>
                <w:i/>
              </w:rPr>
              <w:t>Environmental Remediation Adjustment</w:t>
            </w:r>
          </w:p>
        </w:tc>
        <w:tc>
          <w:tcPr>
            <w:tcW w:w="2086" w:type="dxa"/>
            <w:tcMar>
              <w:top w:w="43" w:type="dxa"/>
              <w:bottom w:w="43" w:type="dxa"/>
            </w:tcMar>
          </w:tcPr>
          <w:p w:rsidR="001A151C" w:rsidRDefault="001A151C" w:rsidP="009E4FD7">
            <w:pPr>
              <w:spacing w:after="60"/>
              <w:ind w:left="-74" w:right="-55"/>
            </w:pPr>
            <w:r w:rsidRPr="00531ECE">
              <w:t xml:space="preserve">On April 27, 2005, the Commission granted a request by the Company for an accounting order relating to the Company's treatment of environmental remediation costs in </w:t>
            </w:r>
            <w:r w:rsidR="00643751">
              <w:t>d</w:t>
            </w:r>
            <w:r w:rsidR="00643751" w:rsidRPr="00531ECE">
              <w:t xml:space="preserve">ocket </w:t>
            </w:r>
            <w:r w:rsidRPr="00531ECE">
              <w:t>UE-031658.  The Commission authorized the company to record and defer costs prudently incurred in connection with its environmental remediation program.  Additional costs of existing projects expected to exceed $3 million system-wide and incurred from October 13, 2003, the date the petition was submitted, through Fiscal Year 2005 are to be deferred and amortized over a ten-year period.  Currently, only one project, the Third West Substation Cleanup, can be deferred.  This restating adjustment removes the balance and amortization from FERC accounts 182.391 and 925, except for the Third West Substation Cleanup, and then adds back the cost for small remediation projects that cannot be deferred, per the Commission's 2005 order.</w:t>
            </w:r>
          </w:p>
          <w:p w:rsidR="001A151C" w:rsidRDefault="001A151C" w:rsidP="009E4FD7">
            <w:pPr>
              <w:spacing w:after="60"/>
              <w:ind w:left="-74" w:right="-55"/>
            </w:pPr>
            <w:r>
              <w:t>Decreases NOI by $176,089.</w:t>
            </w:r>
          </w:p>
          <w:p w:rsidR="001A151C" w:rsidRDefault="001A151C" w:rsidP="009E4FD7">
            <w:pPr>
              <w:spacing w:after="60"/>
              <w:ind w:left="-74" w:right="-55"/>
            </w:pPr>
            <w:r>
              <w:t>Decreases rate base by $147,788.</w:t>
            </w:r>
          </w:p>
          <w:p w:rsidR="001A151C" w:rsidRPr="002F71E7" w:rsidRDefault="001A151C" w:rsidP="009E4FD7">
            <w:pPr>
              <w:spacing w:after="60"/>
              <w:ind w:left="-74" w:right="-55"/>
            </w:pPr>
            <w:r w:rsidRPr="002F71E7">
              <w:t>Exhibit No.___(</w:t>
            </w:r>
            <w:r>
              <w:t>SRM-3), page 8.0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Pr>
                <w:b/>
                <w:i/>
              </w:rPr>
              <w:t>8.3</w:t>
            </w:r>
          </w:p>
          <w:p w:rsidR="001A151C" w:rsidRPr="002F71E7" w:rsidRDefault="001A151C" w:rsidP="009E4FD7">
            <w:pPr>
              <w:spacing w:after="60"/>
              <w:ind w:left="-72" w:right="-57"/>
              <w:rPr>
                <w:b/>
                <w:i/>
              </w:rPr>
            </w:pPr>
            <w:r>
              <w:rPr>
                <w:b/>
                <w:i/>
              </w:rPr>
              <w:t>Customer Advances for Construction</w:t>
            </w:r>
          </w:p>
        </w:tc>
        <w:tc>
          <w:tcPr>
            <w:tcW w:w="2086" w:type="dxa"/>
            <w:tcMar>
              <w:top w:w="43" w:type="dxa"/>
              <w:bottom w:w="43" w:type="dxa"/>
            </w:tcMar>
          </w:tcPr>
          <w:p w:rsidR="001A151C" w:rsidRDefault="001A151C" w:rsidP="009E4FD7">
            <w:pPr>
              <w:spacing w:after="60"/>
              <w:ind w:left="-74" w:right="-55"/>
            </w:pPr>
            <w:r w:rsidRPr="00531ECE">
              <w:t>Customer advances for construction are booked into FERC account 252.  When they are booked, the entries do not reflect the proper allocation.  This restating adjustment corrects the allocation of customer advances for construction in the account.</w:t>
            </w:r>
          </w:p>
          <w:p w:rsidR="001A151C" w:rsidRDefault="001A151C" w:rsidP="009E4FD7">
            <w:pPr>
              <w:spacing w:after="60"/>
              <w:ind w:left="-74" w:right="-55"/>
            </w:pPr>
            <w:r w:rsidRPr="002F71E7">
              <w:t xml:space="preserve">Decreases </w:t>
            </w:r>
            <w:r>
              <w:t>r</w:t>
            </w:r>
            <w:r w:rsidRPr="002F71E7">
              <w:t>ate base by $</w:t>
            </w:r>
            <w:r>
              <w:t>159,521</w:t>
            </w:r>
            <w:r w:rsidRPr="002F71E7">
              <w:t>.</w:t>
            </w:r>
          </w:p>
          <w:p w:rsidR="001A151C" w:rsidRPr="002F71E7" w:rsidRDefault="001A151C" w:rsidP="009E4FD7">
            <w:pPr>
              <w:spacing w:after="60"/>
              <w:ind w:left="-74" w:right="-55"/>
            </w:pPr>
            <w:r w:rsidRPr="002F71E7">
              <w:t>Exhibit No.___(</w:t>
            </w:r>
            <w:r>
              <w:t>SRM-3), page 8.0 Total, line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Pr>
                <w:b/>
                <w:i/>
              </w:rPr>
              <w:t>8.4</w:t>
            </w:r>
          </w:p>
          <w:p w:rsidR="001A151C" w:rsidRPr="002F71E7" w:rsidRDefault="001A151C" w:rsidP="009E4FD7">
            <w:pPr>
              <w:spacing w:after="60"/>
              <w:ind w:left="-72" w:right="-57"/>
              <w:rPr>
                <w:b/>
                <w:i/>
              </w:rPr>
            </w:pPr>
            <w:r>
              <w:rPr>
                <w:b/>
                <w:i/>
              </w:rPr>
              <w:t>Major Plant Additions</w:t>
            </w:r>
          </w:p>
        </w:tc>
        <w:tc>
          <w:tcPr>
            <w:tcW w:w="2086" w:type="dxa"/>
            <w:tcMar>
              <w:top w:w="43" w:type="dxa"/>
              <w:bottom w:w="43" w:type="dxa"/>
            </w:tcMar>
          </w:tcPr>
          <w:p w:rsidR="001A151C" w:rsidRDefault="001A151C" w:rsidP="009E4FD7">
            <w:pPr>
              <w:spacing w:after="60"/>
              <w:ind w:left="-74" w:right="-55"/>
            </w:pPr>
            <w:r w:rsidRPr="00203183">
              <w:t xml:space="preserve">This adjustment places into rate base </w:t>
            </w:r>
            <w:r w:rsidR="00D27FB3">
              <w:t>five</w:t>
            </w:r>
            <w:r w:rsidR="00D27FB3" w:rsidRPr="00203183">
              <w:t xml:space="preserve"> </w:t>
            </w:r>
            <w:r w:rsidRPr="00203183">
              <w:t>west side plant additions greater than $10 million</w:t>
            </w:r>
            <w:r w:rsidR="002F403E">
              <w:t xml:space="preserve">.  </w:t>
            </w:r>
            <w:r w:rsidRPr="00203183">
              <w:t>This adjustment also incorporates the associated depreciation expense and accumulated reserve impacts</w:t>
            </w:r>
            <w:r w:rsidRPr="00531ECE">
              <w:t>.</w:t>
            </w:r>
          </w:p>
          <w:p w:rsidR="001A151C" w:rsidRDefault="001A151C" w:rsidP="009E4FD7">
            <w:pPr>
              <w:spacing w:after="60"/>
              <w:ind w:left="-74" w:right="-55"/>
            </w:pPr>
            <w:r>
              <w:t>Decreases NOI by $949,180.</w:t>
            </w:r>
          </w:p>
          <w:p w:rsidR="001A151C" w:rsidRDefault="001A151C" w:rsidP="009E4FD7">
            <w:pPr>
              <w:spacing w:after="60"/>
              <w:ind w:left="-74" w:right="-55"/>
            </w:pPr>
            <w:r>
              <w:t>Increases rate base by $38,505,986.</w:t>
            </w:r>
          </w:p>
          <w:p w:rsidR="001A151C" w:rsidRPr="002F71E7" w:rsidRDefault="001A151C" w:rsidP="009E4FD7">
            <w:pPr>
              <w:spacing w:after="60"/>
              <w:ind w:left="-74" w:right="-55"/>
            </w:pPr>
            <w:r w:rsidRPr="002F71E7">
              <w:t>Exhibit No.___(</w:t>
            </w:r>
            <w:r>
              <w:t>SRM-3), page 8.0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Pr>
                <w:b/>
                <w:i/>
              </w:rPr>
              <w:t>8.5 – 8.5.1</w:t>
            </w:r>
          </w:p>
          <w:p w:rsidR="001A151C" w:rsidRPr="002F71E7" w:rsidRDefault="001A151C" w:rsidP="009E4FD7">
            <w:pPr>
              <w:spacing w:after="60"/>
              <w:ind w:left="-72" w:right="-57"/>
              <w:rPr>
                <w:b/>
                <w:i/>
              </w:rPr>
            </w:pPr>
            <w:r>
              <w:rPr>
                <w:b/>
                <w:i/>
              </w:rPr>
              <w:t>Miscellaneous Rate Base</w:t>
            </w:r>
          </w:p>
        </w:tc>
        <w:tc>
          <w:tcPr>
            <w:tcW w:w="2086" w:type="dxa"/>
            <w:tcMar>
              <w:top w:w="43" w:type="dxa"/>
              <w:bottom w:w="43" w:type="dxa"/>
            </w:tcMar>
          </w:tcPr>
          <w:p w:rsidR="001A151C" w:rsidRDefault="001A151C" w:rsidP="009E4FD7">
            <w:pPr>
              <w:spacing w:after="60"/>
              <w:ind w:left="-74" w:right="-55"/>
            </w:pPr>
            <w:r w:rsidRPr="00D5479B">
              <w:t xml:space="preserve">This restating adjustment removes prepayments and other miscellaneous rate base balances from results as directed by the Commission in </w:t>
            </w:r>
            <w:r w:rsidR="00D27FB3">
              <w:t>d</w:t>
            </w:r>
            <w:r>
              <w:t xml:space="preserve">ocket </w:t>
            </w:r>
            <w:r w:rsidRPr="00D5479B">
              <w:t xml:space="preserve">UE-100749.  </w:t>
            </w:r>
          </w:p>
          <w:p w:rsidR="001A151C" w:rsidRDefault="001A151C" w:rsidP="009E4FD7">
            <w:pPr>
              <w:spacing w:after="60"/>
              <w:ind w:left="-74" w:right="-55"/>
            </w:pPr>
            <w:r>
              <w:t>Increase NOI by $127,564.</w:t>
            </w:r>
          </w:p>
          <w:p w:rsidR="001A151C" w:rsidRDefault="001A151C" w:rsidP="009E4FD7">
            <w:pPr>
              <w:spacing w:after="60"/>
              <w:ind w:left="-74" w:right="-55"/>
            </w:pPr>
            <w:r>
              <w:t>Decreases rate base by $21,971,598.</w:t>
            </w:r>
          </w:p>
          <w:p w:rsidR="001A151C" w:rsidRPr="002F71E7" w:rsidRDefault="001A151C" w:rsidP="009E4FD7">
            <w:pPr>
              <w:spacing w:after="60"/>
              <w:ind w:left="-74" w:right="-55"/>
            </w:pPr>
            <w:r w:rsidRPr="002F71E7">
              <w:t>Exhibit No.___(</w:t>
            </w:r>
            <w:r>
              <w:t>SRM-3), pages 8.0 Total, line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Pr>
                <w:b/>
                <w:i/>
              </w:rPr>
              <w:t>8.6</w:t>
            </w:r>
          </w:p>
          <w:p w:rsidR="001A151C" w:rsidRPr="002F71E7" w:rsidRDefault="001A151C" w:rsidP="009E4FD7">
            <w:pPr>
              <w:spacing w:after="60"/>
              <w:ind w:left="-72" w:right="-57"/>
              <w:rPr>
                <w:b/>
                <w:i/>
              </w:rPr>
            </w:pPr>
            <w:r>
              <w:rPr>
                <w:b/>
                <w:i/>
              </w:rPr>
              <w:t>Powerdale Hydro Removal</w:t>
            </w:r>
          </w:p>
        </w:tc>
        <w:tc>
          <w:tcPr>
            <w:tcW w:w="2086" w:type="dxa"/>
            <w:tcMar>
              <w:top w:w="43" w:type="dxa"/>
              <w:bottom w:w="43" w:type="dxa"/>
            </w:tcMar>
          </w:tcPr>
          <w:p w:rsidR="001A151C" w:rsidRDefault="001A151C" w:rsidP="009E4FD7">
            <w:pPr>
              <w:spacing w:after="60"/>
              <w:ind w:left="-74" w:right="-55"/>
            </w:pPr>
            <w:r w:rsidRPr="00203183">
              <w:t xml:space="preserve">As authorized in 2007 in </w:t>
            </w:r>
            <w:r w:rsidR="00D27FB3">
              <w:t>d</w:t>
            </w:r>
            <w:r w:rsidR="00D27FB3" w:rsidRPr="00203183">
              <w:t xml:space="preserve">ocket </w:t>
            </w:r>
            <w:r w:rsidRPr="00203183">
              <w:t xml:space="preserve">UE-070624, the unrecovered plant balance associated with the Powerdale hydro plant was transferred to a regulatory asset and amortized over three years. The Powerdale unrecovered plant regulatory asset was fully amortized in December 2010.  In addition, the decommissioning of the Powerdale plant was substantially completed during 2010.  The Company began amortizing the decommissioning regulatory asset in April 2011 as authorized in </w:t>
            </w:r>
            <w:r w:rsidR="00D27FB3">
              <w:t>d</w:t>
            </w:r>
            <w:r w:rsidRPr="00203183">
              <w:t xml:space="preserve">ockets. UE-100749 and UE-111190. This adjustment removes the Powerdale operating expenses and regulatory asset balance from results and </w:t>
            </w:r>
            <w:r w:rsidR="002F403E">
              <w:t>adds</w:t>
            </w:r>
            <w:r w:rsidRPr="00203183">
              <w:t xml:space="preserve"> the 12</w:t>
            </w:r>
            <w:r w:rsidR="00D27FB3">
              <w:t xml:space="preserve"> </w:t>
            </w:r>
            <w:r w:rsidRPr="00203183">
              <w:t xml:space="preserve">months ending June 2013 decommissioning amortization expense and asset balances.  </w:t>
            </w:r>
          </w:p>
          <w:p w:rsidR="001A151C" w:rsidRDefault="001A151C" w:rsidP="009E4FD7">
            <w:pPr>
              <w:spacing w:after="60"/>
              <w:ind w:left="-74" w:right="-55"/>
            </w:pPr>
            <w:r>
              <w:t>Decreases NOI by $203,522.</w:t>
            </w:r>
          </w:p>
          <w:p w:rsidR="001A151C" w:rsidRDefault="001A151C" w:rsidP="009E4FD7">
            <w:pPr>
              <w:spacing w:after="60"/>
              <w:ind w:left="-74" w:right="-55"/>
            </w:pPr>
            <w:r>
              <w:t>Increases rate base by $56,565.</w:t>
            </w:r>
          </w:p>
          <w:p w:rsidR="001A151C" w:rsidRPr="002F71E7" w:rsidRDefault="001A151C" w:rsidP="009E4FD7">
            <w:pPr>
              <w:spacing w:after="60"/>
              <w:ind w:left="-74" w:right="-55"/>
            </w:pPr>
            <w:r w:rsidRPr="002F71E7">
              <w:t>Exhibit No.</w:t>
            </w:r>
            <w:r w:rsidR="00D27FB3">
              <w:t>_</w:t>
            </w:r>
            <w:r w:rsidR="00D27FB3" w:rsidRPr="002F71E7" w:rsidDel="00D27FB3">
              <w:t xml:space="preserve"> </w:t>
            </w:r>
            <w:r w:rsidRPr="002F71E7">
              <w:t>__(</w:t>
            </w:r>
            <w:r>
              <w:t>SRM-3), page 8.0.1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Pr>
                <w:b/>
                <w:i/>
              </w:rPr>
              <w:t xml:space="preserve"> 8.7</w:t>
            </w:r>
          </w:p>
          <w:p w:rsidR="001A151C" w:rsidRPr="002F71E7" w:rsidRDefault="001A151C" w:rsidP="009E4FD7">
            <w:pPr>
              <w:spacing w:after="60"/>
              <w:ind w:left="-72" w:right="-57"/>
              <w:rPr>
                <w:b/>
                <w:i/>
              </w:rPr>
            </w:pPr>
            <w:r>
              <w:rPr>
                <w:b/>
                <w:i/>
              </w:rPr>
              <w:t>Removal of Colstrip #4 AFUDC</w:t>
            </w:r>
          </w:p>
        </w:tc>
        <w:tc>
          <w:tcPr>
            <w:tcW w:w="2086" w:type="dxa"/>
            <w:tcMar>
              <w:top w:w="43" w:type="dxa"/>
              <w:bottom w:w="43" w:type="dxa"/>
            </w:tcMar>
          </w:tcPr>
          <w:p w:rsidR="001A151C" w:rsidRDefault="001A151C" w:rsidP="009E4FD7">
            <w:pPr>
              <w:spacing w:after="60"/>
              <w:ind w:left="-74" w:right="-55"/>
            </w:pPr>
            <w:r w:rsidRPr="00531ECE">
              <w:t xml:space="preserve">This adjustment removes AFUDC from electric plant in service for the period that Colstrip construction work in progress (CWIP) was allowed in rate base. </w:t>
            </w:r>
            <w:r w:rsidR="00D27FB3">
              <w:t xml:space="preserve"> </w:t>
            </w:r>
            <w:r w:rsidRPr="00531ECE">
              <w:t>This treatment was authorized in Cause U-81-17 and has been included in all the Company’s rate case filings since its inception in July 1984.</w:t>
            </w:r>
          </w:p>
          <w:p w:rsidR="001A151C" w:rsidRDefault="001A151C" w:rsidP="009E4FD7">
            <w:pPr>
              <w:spacing w:after="60"/>
              <w:ind w:left="-74" w:right="-55"/>
            </w:pPr>
            <w:r>
              <w:t>Increases NOI by $17,991.</w:t>
            </w:r>
          </w:p>
          <w:p w:rsidR="001A151C" w:rsidRDefault="001A151C" w:rsidP="009E4FD7">
            <w:pPr>
              <w:spacing w:after="60"/>
              <w:ind w:left="-74" w:right="-55"/>
            </w:pPr>
            <w:r w:rsidRPr="002F71E7">
              <w:t>Decreases rate base by $</w:t>
            </w:r>
            <w:r>
              <w:t>387,034</w:t>
            </w:r>
            <w:r w:rsidRPr="002F71E7">
              <w:t xml:space="preserve">. </w:t>
            </w:r>
          </w:p>
          <w:p w:rsidR="001A151C" w:rsidRPr="002F71E7" w:rsidRDefault="001A151C" w:rsidP="009E4FD7">
            <w:pPr>
              <w:spacing w:after="60"/>
              <w:ind w:left="-74" w:right="-55"/>
            </w:pPr>
            <w:r w:rsidRPr="002F71E7">
              <w:t>Exhibit No.___(</w:t>
            </w:r>
            <w:r>
              <w:t>SRM-3), page 8.0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keepNext/>
              <w:keepLines/>
              <w:spacing w:after="60"/>
              <w:ind w:left="-72" w:right="-57"/>
              <w:rPr>
                <w:b/>
                <w:i/>
              </w:rPr>
            </w:pPr>
            <w:r>
              <w:rPr>
                <w:b/>
                <w:i/>
              </w:rPr>
              <w:t>8.8</w:t>
            </w:r>
          </w:p>
          <w:p w:rsidR="001A151C" w:rsidRPr="002F71E7" w:rsidRDefault="001A151C" w:rsidP="009E4FD7">
            <w:pPr>
              <w:keepNext/>
              <w:keepLines/>
              <w:spacing w:after="60"/>
              <w:ind w:left="-72" w:right="-57"/>
              <w:rPr>
                <w:b/>
                <w:i/>
              </w:rPr>
            </w:pPr>
            <w:r>
              <w:rPr>
                <w:b/>
                <w:i/>
              </w:rPr>
              <w:t>Trojan Removal Adjustment</w:t>
            </w:r>
          </w:p>
        </w:tc>
        <w:tc>
          <w:tcPr>
            <w:tcW w:w="2086" w:type="dxa"/>
            <w:tcMar>
              <w:top w:w="43" w:type="dxa"/>
              <w:bottom w:w="43" w:type="dxa"/>
            </w:tcMar>
          </w:tcPr>
          <w:p w:rsidR="001A151C" w:rsidRDefault="001A151C" w:rsidP="009E4FD7">
            <w:pPr>
              <w:keepNext/>
              <w:keepLines/>
              <w:spacing w:after="60"/>
              <w:ind w:left="-74" w:right="-55"/>
            </w:pPr>
            <w:r w:rsidRPr="00F217BE">
              <w:t xml:space="preserve">This restating adjustment removes the Trojan amortization expense, balances, and tax impacts from the test period as ordered by the Commission in the </w:t>
            </w:r>
            <w:r w:rsidR="00D27FB3">
              <w:t>d</w:t>
            </w:r>
            <w:r w:rsidRPr="00F217BE">
              <w:t>ocket UE-991832.</w:t>
            </w:r>
          </w:p>
          <w:p w:rsidR="001A151C" w:rsidRDefault="001A151C" w:rsidP="009E4FD7">
            <w:pPr>
              <w:keepNext/>
              <w:keepLines/>
              <w:spacing w:after="60"/>
              <w:ind w:left="-74" w:right="-55"/>
            </w:pPr>
            <w:r>
              <w:t>Decreases NOI by $6,989</w:t>
            </w:r>
            <w:r w:rsidRPr="002F71E7">
              <w:t>.</w:t>
            </w:r>
          </w:p>
          <w:p w:rsidR="001A151C" w:rsidRDefault="001A151C" w:rsidP="009E4FD7">
            <w:pPr>
              <w:keepNext/>
              <w:keepLines/>
              <w:spacing w:after="60"/>
              <w:ind w:left="-74" w:right="-55"/>
            </w:pPr>
            <w:r>
              <w:t>Increases rate base by $1,143,691.</w:t>
            </w:r>
          </w:p>
          <w:p w:rsidR="001A151C" w:rsidRPr="002F71E7" w:rsidRDefault="001A151C" w:rsidP="009E4FD7">
            <w:pPr>
              <w:keepNext/>
              <w:keepLines/>
              <w:spacing w:after="60"/>
              <w:ind w:left="-74" w:right="-55"/>
            </w:pPr>
            <w:r w:rsidRPr="002F71E7">
              <w:t>Exhibit No.___(</w:t>
            </w:r>
            <w:r>
              <w:t>SRM-3), page 8.0.1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Pr>
                <w:b/>
                <w:i/>
              </w:rPr>
              <w:t>8.9</w:t>
            </w:r>
          </w:p>
          <w:p w:rsidR="001A151C" w:rsidRDefault="001A151C" w:rsidP="009E4FD7">
            <w:pPr>
              <w:spacing w:after="60"/>
              <w:ind w:left="-72" w:right="-57"/>
              <w:rPr>
                <w:b/>
                <w:i/>
              </w:rPr>
            </w:pPr>
            <w:r>
              <w:rPr>
                <w:b/>
                <w:i/>
              </w:rPr>
              <w:t>Customer Service Deposits</w:t>
            </w:r>
          </w:p>
        </w:tc>
        <w:tc>
          <w:tcPr>
            <w:tcW w:w="2086" w:type="dxa"/>
            <w:tcMar>
              <w:top w:w="43" w:type="dxa"/>
              <w:bottom w:w="43" w:type="dxa"/>
            </w:tcMar>
          </w:tcPr>
          <w:p w:rsidR="001A151C" w:rsidRDefault="001A151C" w:rsidP="009E4FD7">
            <w:pPr>
              <w:spacing w:after="60"/>
              <w:ind w:left="-74" w:right="-55"/>
            </w:pPr>
            <w:r w:rsidRPr="00225C0A">
              <w:t xml:space="preserve">This adjustment includes customer service deposits as a reduction to rate base. </w:t>
            </w:r>
            <w:r w:rsidR="00D27FB3">
              <w:t xml:space="preserve"> </w:t>
            </w:r>
            <w:r w:rsidRPr="00225C0A">
              <w:t xml:space="preserve">It also reflects the interest paid on the customer service deposits. This adjustment was accepted by the Washington Commission in </w:t>
            </w:r>
            <w:r w:rsidR="00D27FB3">
              <w:t>d</w:t>
            </w:r>
            <w:r w:rsidRPr="00225C0A">
              <w:t>ocket UE-061546 and has been included in all subsequent filings.</w:t>
            </w:r>
          </w:p>
          <w:p w:rsidR="001A151C" w:rsidRDefault="001A151C" w:rsidP="009E4FD7">
            <w:pPr>
              <w:spacing w:after="60"/>
              <w:ind w:left="-74" w:right="-55"/>
            </w:pPr>
            <w:r>
              <w:t>Decreases NOI by $4,404</w:t>
            </w:r>
            <w:r w:rsidRPr="002F71E7">
              <w:t>.</w:t>
            </w:r>
          </w:p>
          <w:p w:rsidR="001A151C" w:rsidRDefault="001A151C" w:rsidP="009E4FD7">
            <w:pPr>
              <w:spacing w:after="60"/>
              <w:ind w:left="-74" w:right="-55"/>
            </w:pPr>
            <w:r>
              <w:t>Decreases rate base by $3,236,612.</w:t>
            </w:r>
          </w:p>
          <w:p w:rsidR="001A151C" w:rsidRDefault="001A151C" w:rsidP="009E4FD7">
            <w:pPr>
              <w:spacing w:after="60"/>
              <w:ind w:left="-74" w:right="-55"/>
            </w:pPr>
            <w:r w:rsidRPr="002F71E7">
              <w:t>Exhibit No.___(</w:t>
            </w:r>
            <w:r>
              <w:t>SRM-3), page 8.0.1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Pr>
                <w:b/>
                <w:i/>
              </w:rPr>
              <w:t>8.10</w:t>
            </w:r>
          </w:p>
          <w:p w:rsidR="001A151C" w:rsidRDefault="001A151C" w:rsidP="009E4FD7">
            <w:pPr>
              <w:spacing w:after="60"/>
              <w:ind w:left="-72" w:right="-57"/>
              <w:rPr>
                <w:b/>
                <w:i/>
              </w:rPr>
            </w:pPr>
            <w:r>
              <w:rPr>
                <w:b/>
                <w:i/>
              </w:rPr>
              <w:t>Regulatory Asset Amortization Adjustment</w:t>
            </w:r>
          </w:p>
          <w:p w:rsidR="001A151C" w:rsidRPr="002F71E7" w:rsidRDefault="001A151C" w:rsidP="009E4FD7">
            <w:pPr>
              <w:spacing w:after="60"/>
              <w:ind w:right="-57"/>
              <w:rPr>
                <w:b/>
                <w:i/>
              </w:rPr>
            </w:pPr>
          </w:p>
        </w:tc>
        <w:tc>
          <w:tcPr>
            <w:tcW w:w="2086" w:type="dxa"/>
            <w:tcMar>
              <w:top w:w="43" w:type="dxa"/>
              <w:bottom w:w="43" w:type="dxa"/>
            </w:tcMar>
          </w:tcPr>
          <w:p w:rsidR="001A151C" w:rsidRDefault="001A151C" w:rsidP="009E4FD7">
            <w:pPr>
              <w:spacing w:after="60"/>
              <w:ind w:left="-74" w:right="-55"/>
            </w:pPr>
            <w:r w:rsidRPr="00225C0A">
              <w:t>The Chehalis Regulatory Asset</w:t>
            </w:r>
            <w:r w:rsidR="00D27FB3">
              <w:t>–</w:t>
            </w:r>
            <w:r w:rsidRPr="00225C0A">
              <w:t xml:space="preserve">WA was set up in December 2009 in accordance with </w:t>
            </w:r>
            <w:r w:rsidR="00D27FB3">
              <w:t xml:space="preserve">docket </w:t>
            </w:r>
            <w:r w:rsidRPr="00225C0A">
              <w:t xml:space="preserve">UE-090205. </w:t>
            </w:r>
            <w:r w:rsidR="00D27FB3">
              <w:t xml:space="preserve"> </w:t>
            </w:r>
            <w:r w:rsidRPr="00225C0A">
              <w:t xml:space="preserve">The general business revenues charged when the regulatory asset was amortized were removed from unadjusted results in revenue adjustment 3.2. </w:t>
            </w:r>
            <w:r w:rsidR="00D27FB3">
              <w:t xml:space="preserve"> </w:t>
            </w:r>
            <w:r w:rsidRPr="00225C0A">
              <w:t>This adjustment adds that amortization back into results. Additionally, this adjustment removes the amortization expense related to the Oregon Independent Evaluator</w:t>
            </w:r>
            <w:r w:rsidR="00D27FB3">
              <w:t>,</w:t>
            </w:r>
            <w:r w:rsidRPr="00225C0A">
              <w:t xml:space="preserve"> which should have been allocated situs to Oregon.</w:t>
            </w:r>
          </w:p>
          <w:p w:rsidR="001A151C" w:rsidRDefault="001A151C" w:rsidP="009E4FD7">
            <w:pPr>
              <w:spacing w:after="60"/>
              <w:ind w:left="-74" w:right="-55"/>
            </w:pPr>
            <w:r>
              <w:t>Decreases NOI by $1,948,686.</w:t>
            </w:r>
          </w:p>
          <w:p w:rsidR="001A151C" w:rsidRDefault="001A151C" w:rsidP="009E4FD7">
            <w:pPr>
              <w:spacing w:after="60"/>
              <w:ind w:left="-74" w:right="-55"/>
            </w:pPr>
            <w:r>
              <w:t>Increases rate base by $1,664,438.</w:t>
            </w:r>
          </w:p>
          <w:p w:rsidR="001A151C" w:rsidRPr="002F71E7" w:rsidRDefault="001A151C" w:rsidP="009E4FD7">
            <w:pPr>
              <w:spacing w:after="60"/>
              <w:ind w:left="-74" w:right="-55"/>
            </w:pPr>
            <w:r w:rsidRPr="002F71E7">
              <w:t>Exhibit No.___(</w:t>
            </w:r>
            <w:r>
              <w:t>SRM-3), page 8.0.1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Pr>
                <w:b/>
                <w:i/>
              </w:rPr>
              <w:t>8.11</w:t>
            </w:r>
          </w:p>
          <w:p w:rsidR="001A151C" w:rsidRPr="002F71E7" w:rsidRDefault="001A151C" w:rsidP="009E4FD7">
            <w:pPr>
              <w:spacing w:after="60"/>
              <w:ind w:left="-72" w:right="-57"/>
              <w:rPr>
                <w:b/>
                <w:i/>
              </w:rPr>
            </w:pPr>
            <w:r>
              <w:rPr>
                <w:b/>
                <w:i/>
              </w:rPr>
              <w:t>Miscellaneous Asset Sales and Removals</w:t>
            </w:r>
          </w:p>
        </w:tc>
        <w:tc>
          <w:tcPr>
            <w:tcW w:w="2086" w:type="dxa"/>
            <w:tcMar>
              <w:top w:w="43" w:type="dxa"/>
              <w:bottom w:w="43" w:type="dxa"/>
            </w:tcMar>
          </w:tcPr>
          <w:p w:rsidR="001A151C" w:rsidRDefault="001A151C" w:rsidP="009E4FD7">
            <w:pPr>
              <w:spacing w:after="60"/>
              <w:ind w:left="-74" w:right="-55"/>
            </w:pPr>
            <w:r w:rsidRPr="00225C0A">
              <w:t>This adjustment removes the electric plant in service balances, accumulated depreciation balances, depreciation expenses, and O&amp;M expenses from the per books data for the 12</w:t>
            </w:r>
            <w:r w:rsidR="00D27FB3">
              <w:t xml:space="preserve"> </w:t>
            </w:r>
            <w:r w:rsidRPr="00225C0A">
              <w:t xml:space="preserve">months ended June 2012 for the Condit facility. </w:t>
            </w:r>
            <w:r w:rsidR="00D27FB3">
              <w:t xml:space="preserve"> </w:t>
            </w:r>
            <w:r w:rsidRPr="00225C0A">
              <w:t>Consistent with the treatment reflected in this adjustment, the pro forma net power costs shown in adjustment 5.1.1 do not include generation output from the Condit facility.</w:t>
            </w:r>
          </w:p>
          <w:p w:rsidR="001A151C" w:rsidRDefault="001A151C" w:rsidP="009E4FD7">
            <w:pPr>
              <w:spacing w:after="60"/>
              <w:ind w:left="-74" w:right="-55"/>
            </w:pPr>
            <w:r>
              <w:t>Increases NOI by $342,698.</w:t>
            </w:r>
          </w:p>
          <w:p w:rsidR="001A151C" w:rsidRDefault="001A151C" w:rsidP="009E4FD7">
            <w:pPr>
              <w:spacing w:after="60"/>
              <w:ind w:left="-74" w:right="-55"/>
            </w:pPr>
            <w:r>
              <w:t>Decreases rate base by $165,819.</w:t>
            </w:r>
          </w:p>
          <w:p w:rsidR="001A151C" w:rsidRPr="002F71E7" w:rsidRDefault="001A151C" w:rsidP="009E4FD7">
            <w:pPr>
              <w:spacing w:after="60"/>
              <w:ind w:left="-74" w:right="-55"/>
            </w:pPr>
            <w:r w:rsidRPr="002F71E7">
              <w:t>Exhibit No.___(</w:t>
            </w:r>
            <w:r>
              <w:t>SRM-3), page 8.0.1 Total, lines 30 and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Default="001A151C" w:rsidP="009E4FD7">
            <w:pPr>
              <w:spacing w:after="60"/>
              <w:ind w:left="-72" w:right="-57"/>
              <w:rPr>
                <w:b/>
                <w:i/>
              </w:rPr>
            </w:pPr>
            <w:r>
              <w:rPr>
                <w:b/>
                <w:i/>
              </w:rPr>
              <w:t>8.12 – 8.12.6</w:t>
            </w:r>
          </w:p>
          <w:p w:rsidR="001A151C" w:rsidRDefault="001A151C" w:rsidP="009E4FD7">
            <w:pPr>
              <w:spacing w:after="60"/>
              <w:ind w:left="-72" w:right="-57"/>
              <w:rPr>
                <w:b/>
                <w:i/>
              </w:rPr>
            </w:pPr>
            <w:r>
              <w:rPr>
                <w:b/>
                <w:i/>
              </w:rPr>
              <w:t>Adjust Average of Monthly Averages (AMA) to Plant Balances as of June 30, 2012</w:t>
            </w:r>
          </w:p>
        </w:tc>
        <w:tc>
          <w:tcPr>
            <w:tcW w:w="2086" w:type="dxa"/>
            <w:tcMar>
              <w:top w:w="43" w:type="dxa"/>
              <w:bottom w:w="43" w:type="dxa"/>
            </w:tcMar>
          </w:tcPr>
          <w:p w:rsidR="001A151C" w:rsidRDefault="001A151C" w:rsidP="009E4FD7">
            <w:pPr>
              <w:spacing w:after="60"/>
              <w:ind w:left="-74" w:right="-55"/>
            </w:pPr>
            <w:r w:rsidRPr="00225C0A">
              <w:t>This adjustment walks the plant balances from June 2012 AMA to June 2012 year-end. The associated accumulated reserve impacts are accounted for in adjustment 6.4.</w:t>
            </w:r>
          </w:p>
          <w:p w:rsidR="001A151C" w:rsidRDefault="001A151C" w:rsidP="009E4FD7">
            <w:pPr>
              <w:spacing w:after="60"/>
              <w:ind w:left="-74" w:right="-55"/>
            </w:pPr>
            <w:r>
              <w:t>Increases rate base by $19,911,959.</w:t>
            </w:r>
          </w:p>
          <w:p w:rsidR="001A151C" w:rsidRPr="00225C0A" w:rsidRDefault="001A151C" w:rsidP="009E4FD7">
            <w:pPr>
              <w:spacing w:after="60"/>
              <w:ind w:left="-74" w:right="-55"/>
            </w:pPr>
            <w:r w:rsidRPr="002F71E7">
              <w:t>Exhibit No.___(</w:t>
            </w:r>
            <w:r>
              <w:t>SRM-3), page 8.0.1 Total, line 57 and 8.0.2 Total, line 57.</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Borders>
              <w:bottom w:val="single" w:sz="4" w:space="0" w:color="auto"/>
            </w:tcBorders>
            <w:tcMar>
              <w:top w:w="43" w:type="dxa"/>
              <w:bottom w:w="43" w:type="dxa"/>
            </w:tcMar>
          </w:tcPr>
          <w:p w:rsidR="001A151C" w:rsidRDefault="001A151C" w:rsidP="009E4FD7">
            <w:pPr>
              <w:spacing w:after="60"/>
              <w:ind w:left="-72" w:right="-57"/>
              <w:rPr>
                <w:b/>
                <w:i/>
              </w:rPr>
            </w:pPr>
            <w:r>
              <w:rPr>
                <w:b/>
                <w:i/>
              </w:rPr>
              <w:t>8.13</w:t>
            </w:r>
          </w:p>
          <w:p w:rsidR="001A151C" w:rsidRDefault="001A151C" w:rsidP="009E4FD7">
            <w:pPr>
              <w:spacing w:after="60"/>
              <w:ind w:left="-72" w:right="-57"/>
              <w:rPr>
                <w:b/>
                <w:i/>
              </w:rPr>
            </w:pPr>
            <w:r>
              <w:rPr>
                <w:b/>
                <w:i/>
              </w:rPr>
              <w:t>Investor Supplied Working Capital</w:t>
            </w:r>
          </w:p>
        </w:tc>
        <w:tc>
          <w:tcPr>
            <w:tcW w:w="2086" w:type="dxa"/>
            <w:tcBorders>
              <w:bottom w:val="single" w:sz="4" w:space="0" w:color="auto"/>
            </w:tcBorders>
            <w:tcMar>
              <w:top w:w="43" w:type="dxa"/>
              <w:bottom w:w="43" w:type="dxa"/>
            </w:tcMar>
          </w:tcPr>
          <w:p w:rsidR="001A151C" w:rsidRDefault="001A151C" w:rsidP="009E4FD7">
            <w:pPr>
              <w:spacing w:after="60"/>
              <w:ind w:left="-74" w:right="-55"/>
            </w:pPr>
            <w:r>
              <w:t xml:space="preserve">This restating adjustment adds cash working capital using the </w:t>
            </w:r>
            <w:r w:rsidR="00AB5A46">
              <w:t xml:space="preserve">Commission-approved </w:t>
            </w:r>
            <w:r>
              <w:t xml:space="preserve">Investor Supplied Working Capital </w:t>
            </w:r>
            <w:r w:rsidR="00AB5A46">
              <w:t xml:space="preserve">(ISWC) </w:t>
            </w:r>
            <w:r>
              <w:t xml:space="preserve">model </w:t>
            </w:r>
            <w:r w:rsidR="00AB5A46">
              <w:t>with proposed modifications.</w:t>
            </w:r>
            <w:r w:rsidR="00AB5A46" w:rsidDel="00AB5A46">
              <w:t xml:space="preserve"> </w:t>
            </w:r>
            <w:r>
              <w:t>Increases rate base by $28,493,964.</w:t>
            </w:r>
          </w:p>
          <w:p w:rsidR="001A151C" w:rsidRPr="00225C0A" w:rsidRDefault="001A151C" w:rsidP="009E4FD7">
            <w:pPr>
              <w:spacing w:after="60"/>
              <w:ind w:left="-74" w:right="-55"/>
            </w:pPr>
            <w:r w:rsidRPr="002F71E7">
              <w:t>Exhibit No.___(</w:t>
            </w:r>
            <w:r>
              <w:t>SRM-3), page 8.0.2 Total, line 57.</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852000" w:rsidRPr="00627242" w:rsidTr="009E4FD7">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sz w:val="6"/>
                <w:szCs w:val="6"/>
              </w:rPr>
            </w:pPr>
          </w:p>
        </w:tc>
      </w:tr>
      <w:tr w:rsidR="00852000" w:rsidRPr="002F71E7" w:rsidTr="009E4FD7">
        <w:trPr>
          <w:trHeight w:val="20"/>
        </w:trPr>
        <w:tc>
          <w:tcPr>
            <w:tcW w:w="14604" w:type="dxa"/>
            <w:gridSpan w:val="7"/>
            <w:tcMar>
              <w:top w:w="43" w:type="dxa"/>
              <w:bottom w:w="43" w:type="dxa"/>
            </w:tcMar>
          </w:tcPr>
          <w:p w:rsidR="00852000" w:rsidRDefault="00852000" w:rsidP="009E4FD7">
            <w:pPr>
              <w:keepNext/>
              <w:keepLines/>
              <w:spacing w:after="60"/>
              <w:ind w:left="-72" w:right="-57"/>
              <w:rPr>
                <w:b/>
                <w:i/>
              </w:rPr>
            </w:pPr>
            <w:r>
              <w:rPr>
                <w:b/>
                <w:i/>
              </w:rPr>
              <w:t>Production Factor Revenue Requirement Adjustments</w:t>
            </w:r>
          </w:p>
          <w:p w:rsidR="00852000" w:rsidRPr="002F71E7" w:rsidRDefault="00852000" w:rsidP="009E4FD7">
            <w:pPr>
              <w:keepNext/>
              <w:keepLines/>
              <w:spacing w:after="60"/>
              <w:ind w:left="-74" w:right="-55"/>
            </w:pPr>
            <w:r>
              <w:rPr>
                <w:b/>
                <w:i/>
              </w:rPr>
              <w:t>(Tab 9 of Exhibit No.___(SRM-3)</w:t>
            </w:r>
          </w:p>
        </w:tc>
      </w:tr>
      <w:tr w:rsidR="001A151C" w:rsidRPr="002F71E7" w:rsidTr="009E4FD7">
        <w:trPr>
          <w:trHeight w:val="20"/>
        </w:trPr>
        <w:tc>
          <w:tcPr>
            <w:tcW w:w="2086" w:type="dxa"/>
            <w:tcBorders>
              <w:bottom w:val="single" w:sz="4" w:space="0" w:color="auto"/>
            </w:tcBorders>
            <w:tcMar>
              <w:top w:w="43" w:type="dxa"/>
              <w:bottom w:w="43" w:type="dxa"/>
            </w:tcMar>
          </w:tcPr>
          <w:p w:rsidR="001A151C" w:rsidRDefault="001A151C" w:rsidP="009E4FD7">
            <w:pPr>
              <w:keepNext/>
              <w:keepLines/>
              <w:spacing w:after="60"/>
              <w:ind w:left="-72" w:right="-57"/>
              <w:rPr>
                <w:b/>
                <w:i/>
              </w:rPr>
            </w:pPr>
            <w:r>
              <w:rPr>
                <w:b/>
                <w:i/>
              </w:rPr>
              <w:t>9.1</w:t>
            </w:r>
          </w:p>
          <w:p w:rsidR="001A151C" w:rsidRPr="002F71E7" w:rsidRDefault="001A151C" w:rsidP="009E4FD7">
            <w:pPr>
              <w:keepNext/>
              <w:keepLines/>
              <w:spacing w:after="60"/>
              <w:ind w:left="-72" w:right="-57"/>
              <w:rPr>
                <w:b/>
                <w:i/>
              </w:rPr>
            </w:pPr>
            <w:r>
              <w:rPr>
                <w:b/>
                <w:i/>
              </w:rPr>
              <w:t>Production Factor</w:t>
            </w:r>
          </w:p>
        </w:tc>
        <w:tc>
          <w:tcPr>
            <w:tcW w:w="2086" w:type="dxa"/>
            <w:tcBorders>
              <w:bottom w:val="single" w:sz="4" w:space="0" w:color="auto"/>
            </w:tcBorders>
            <w:tcMar>
              <w:top w:w="43" w:type="dxa"/>
              <w:bottom w:w="43" w:type="dxa"/>
            </w:tcMar>
          </w:tcPr>
          <w:p w:rsidR="001A151C" w:rsidRDefault="001A151C" w:rsidP="009E4FD7">
            <w:pPr>
              <w:keepNext/>
              <w:keepLines/>
              <w:spacing w:after="60"/>
              <w:ind w:left="-74" w:right="-55"/>
            </w:pPr>
            <w:r w:rsidRPr="005032F5">
              <w:t xml:space="preserve">The production factor is a means of adjusting the production component of the revenue requirement to test year expense and balance levels. The production factor has been calculated by dividing Washington’s normalized historical retail load by the Washington pro forma load for the rate effective period. This factor is then applied to </w:t>
            </w:r>
            <w:r w:rsidR="00AB5A46">
              <w:t>pro forma net power cost and pro forma major plant addition revenue requirement components</w:t>
            </w:r>
            <w:r w:rsidRPr="005032F5">
              <w:t>.</w:t>
            </w:r>
            <w:r w:rsidRPr="00203183">
              <w:t xml:space="preserve"> </w:t>
            </w:r>
          </w:p>
          <w:p w:rsidR="001A151C" w:rsidRDefault="001A151C" w:rsidP="009E4FD7">
            <w:pPr>
              <w:keepNext/>
              <w:keepLines/>
              <w:spacing w:after="60"/>
              <w:ind w:left="-74" w:right="-55"/>
            </w:pPr>
            <w:r>
              <w:t>Decreases NOI by $1,535,147</w:t>
            </w:r>
            <w:r w:rsidRPr="002F71E7">
              <w:t>.</w:t>
            </w:r>
          </w:p>
          <w:p w:rsidR="001A151C" w:rsidRDefault="001A151C" w:rsidP="009E4FD7">
            <w:pPr>
              <w:keepNext/>
              <w:keepLines/>
              <w:spacing w:after="60"/>
              <w:ind w:left="-74" w:right="-55"/>
            </w:pPr>
            <w:r>
              <w:t>Increases rate base by $684,251.</w:t>
            </w:r>
          </w:p>
          <w:p w:rsidR="001A151C" w:rsidRPr="002F71E7" w:rsidRDefault="001A151C" w:rsidP="009E4FD7">
            <w:pPr>
              <w:keepNext/>
              <w:keepLines/>
              <w:spacing w:after="60"/>
              <w:ind w:left="-74" w:right="-55"/>
            </w:pPr>
            <w:r w:rsidRPr="002F71E7">
              <w:t>Exhibit No. ___(</w:t>
            </w:r>
            <w:r>
              <w:t>SRM-3), page 9.0 Total, lines 30 and 57.</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B801CA" w:rsidRPr="00627242" w:rsidTr="009E4FD7">
        <w:trPr>
          <w:trHeight w:val="20"/>
        </w:trPr>
        <w:tc>
          <w:tcPr>
            <w:tcW w:w="14604" w:type="dxa"/>
            <w:gridSpan w:val="7"/>
            <w:tcBorders>
              <w:bottom w:val="single" w:sz="4" w:space="0" w:color="auto"/>
            </w:tcBorders>
            <w:shd w:val="pct25" w:color="auto" w:fill="auto"/>
            <w:tcMar>
              <w:top w:w="43" w:type="dxa"/>
              <w:bottom w:w="43" w:type="dxa"/>
            </w:tcMar>
          </w:tcPr>
          <w:p w:rsidR="00B801CA" w:rsidRPr="00627242" w:rsidRDefault="00B801CA" w:rsidP="009E4FD7">
            <w:pPr>
              <w:ind w:left="-72" w:right="-58"/>
              <w:rPr>
                <w:sz w:val="6"/>
                <w:szCs w:val="6"/>
              </w:rPr>
            </w:pPr>
          </w:p>
        </w:tc>
      </w:tr>
      <w:tr w:rsidR="001A040C" w:rsidRPr="002F71E7" w:rsidTr="009E4FD7">
        <w:trPr>
          <w:trHeight w:val="20"/>
        </w:trPr>
        <w:tc>
          <w:tcPr>
            <w:tcW w:w="14604" w:type="dxa"/>
            <w:gridSpan w:val="7"/>
            <w:shd w:val="clear" w:color="auto" w:fill="auto"/>
            <w:tcMar>
              <w:top w:w="43" w:type="dxa"/>
              <w:bottom w:w="43" w:type="dxa"/>
            </w:tcMar>
          </w:tcPr>
          <w:p w:rsidR="008D3D00" w:rsidRPr="009E4FD7" w:rsidRDefault="008D3D00" w:rsidP="009E4FD7">
            <w:pPr>
              <w:spacing w:after="60"/>
              <w:ind w:left="-74" w:right="-55"/>
              <w:rPr>
                <w:b/>
              </w:rPr>
            </w:pPr>
            <w:r w:rsidRPr="009E4FD7">
              <w:rPr>
                <w:b/>
              </w:rPr>
              <w:t>West Control Area Allocation Factors</w:t>
            </w:r>
          </w:p>
        </w:tc>
      </w:tr>
      <w:tr w:rsidR="008D3D00" w:rsidRPr="002F71E7" w:rsidTr="009E4FD7">
        <w:trPr>
          <w:trHeight w:val="20"/>
        </w:trPr>
        <w:tc>
          <w:tcPr>
            <w:tcW w:w="2086" w:type="dxa"/>
            <w:tcBorders>
              <w:bottom w:val="single" w:sz="4" w:space="0" w:color="auto"/>
            </w:tcBorders>
            <w:tcMar>
              <w:top w:w="43" w:type="dxa"/>
              <w:bottom w:w="43" w:type="dxa"/>
            </w:tcMar>
          </w:tcPr>
          <w:p w:rsidR="008D3D00" w:rsidRPr="009E4FD7" w:rsidRDefault="008D3D00" w:rsidP="009E4FD7">
            <w:pPr>
              <w:spacing w:after="60"/>
              <w:ind w:left="-72" w:right="-57"/>
              <w:rPr>
                <w:b/>
                <w:i/>
              </w:rPr>
            </w:pPr>
            <w:r w:rsidRPr="009E4FD7">
              <w:rPr>
                <w:b/>
                <w:i/>
              </w:rPr>
              <w:t>Demand/Energy Ratio</w:t>
            </w:r>
          </w:p>
          <w:p w:rsidR="008D3D00" w:rsidRPr="009E4FD7" w:rsidRDefault="008D3D00" w:rsidP="009E4FD7">
            <w:pPr>
              <w:spacing w:after="60"/>
              <w:ind w:left="-72" w:right="-57"/>
              <w:rPr>
                <w:b/>
                <w:i/>
              </w:rPr>
            </w:pPr>
            <w:r w:rsidRPr="009E4FD7">
              <w:rPr>
                <w:b/>
                <w:i/>
              </w:rPr>
              <w:t>38 / 62</w:t>
            </w:r>
          </w:p>
          <w:p w:rsidR="008D3D00" w:rsidRPr="009E4FD7" w:rsidRDefault="008D3D00" w:rsidP="009E4FD7">
            <w:pPr>
              <w:spacing w:after="60"/>
              <w:ind w:left="-72" w:right="-57"/>
              <w:rPr>
                <w:b/>
                <w:i/>
              </w:rPr>
            </w:pPr>
          </w:p>
        </w:tc>
        <w:tc>
          <w:tcPr>
            <w:tcW w:w="2086" w:type="dxa"/>
            <w:tcBorders>
              <w:bottom w:val="single" w:sz="4" w:space="0" w:color="auto"/>
            </w:tcBorders>
            <w:tcMar>
              <w:top w:w="43" w:type="dxa"/>
              <w:bottom w:w="43" w:type="dxa"/>
            </w:tcMar>
          </w:tcPr>
          <w:p w:rsidR="00643751" w:rsidRPr="009E4FD7" w:rsidRDefault="008D3D00" w:rsidP="009E4FD7">
            <w:pPr>
              <w:spacing w:after="60"/>
              <w:ind w:left="-74" w:right="-55"/>
            </w:pPr>
            <w:r w:rsidRPr="009E4FD7">
              <w:t xml:space="preserve">The Company </w:t>
            </w:r>
            <w:r w:rsidR="00643751" w:rsidRPr="009E4FD7">
              <w:t xml:space="preserve">used </w:t>
            </w:r>
            <w:r w:rsidRPr="009E4FD7">
              <w:t>the peak credit method</w:t>
            </w:r>
            <w:r w:rsidR="00143980" w:rsidRPr="009E4FD7">
              <w:t>, consistent with the class</w:t>
            </w:r>
            <w:r w:rsidRPr="009E4FD7">
              <w:t xml:space="preserve"> cost of service study, which results in demand/energy weightings of 38 percent/62 percent.  </w:t>
            </w:r>
          </w:p>
          <w:p w:rsidR="008D3D00" w:rsidRPr="009E4FD7" w:rsidRDefault="008D3D00" w:rsidP="009E4FD7">
            <w:pPr>
              <w:spacing w:after="60"/>
              <w:ind w:left="-74" w:right="-55"/>
            </w:pPr>
          </w:p>
        </w:tc>
        <w:tc>
          <w:tcPr>
            <w:tcW w:w="2087" w:type="dxa"/>
            <w:tcBorders>
              <w:bottom w:val="single" w:sz="4" w:space="0" w:color="auto"/>
            </w:tcBorders>
            <w:tcMar>
              <w:top w:w="43" w:type="dxa"/>
              <w:bottom w:w="43" w:type="dxa"/>
            </w:tcMar>
          </w:tcPr>
          <w:p w:rsidR="008D3D00" w:rsidRPr="002F71E7" w:rsidRDefault="008D3D00" w:rsidP="009E4FD7">
            <w:pPr>
              <w:spacing w:after="60"/>
              <w:ind w:left="-74" w:right="-55"/>
            </w:pPr>
          </w:p>
        </w:tc>
        <w:tc>
          <w:tcPr>
            <w:tcW w:w="2086" w:type="dxa"/>
            <w:tcBorders>
              <w:bottom w:val="single" w:sz="4" w:space="0" w:color="auto"/>
            </w:tcBorders>
            <w:tcMar>
              <w:top w:w="43" w:type="dxa"/>
              <w:bottom w:w="43" w:type="dxa"/>
            </w:tcMar>
          </w:tcPr>
          <w:p w:rsidR="008D3D00" w:rsidRPr="002F71E7" w:rsidRDefault="008D3D00" w:rsidP="009E4FD7">
            <w:pPr>
              <w:spacing w:after="60"/>
              <w:ind w:left="-74" w:right="-55"/>
            </w:pPr>
          </w:p>
        </w:tc>
        <w:tc>
          <w:tcPr>
            <w:tcW w:w="2087" w:type="dxa"/>
            <w:tcBorders>
              <w:bottom w:val="single" w:sz="4" w:space="0" w:color="auto"/>
            </w:tcBorders>
            <w:tcMar>
              <w:top w:w="43" w:type="dxa"/>
              <w:bottom w:w="43" w:type="dxa"/>
            </w:tcMar>
          </w:tcPr>
          <w:p w:rsidR="008D3D00" w:rsidRPr="002F71E7" w:rsidRDefault="008D3D00" w:rsidP="009E4FD7">
            <w:pPr>
              <w:spacing w:after="60"/>
              <w:ind w:left="-74" w:right="-55"/>
            </w:pPr>
          </w:p>
        </w:tc>
        <w:tc>
          <w:tcPr>
            <w:tcW w:w="2086" w:type="dxa"/>
            <w:tcBorders>
              <w:bottom w:val="single" w:sz="4" w:space="0" w:color="auto"/>
            </w:tcBorders>
            <w:tcMar>
              <w:top w:w="43" w:type="dxa"/>
              <w:bottom w:w="43" w:type="dxa"/>
            </w:tcMar>
          </w:tcPr>
          <w:p w:rsidR="008D3D00" w:rsidRPr="002F71E7" w:rsidRDefault="008D3D00" w:rsidP="009E4FD7">
            <w:pPr>
              <w:spacing w:after="60"/>
              <w:ind w:left="-74" w:right="-55"/>
            </w:pPr>
          </w:p>
        </w:tc>
        <w:tc>
          <w:tcPr>
            <w:tcW w:w="2086" w:type="dxa"/>
            <w:tcBorders>
              <w:bottom w:val="single" w:sz="4" w:space="0" w:color="auto"/>
            </w:tcBorders>
            <w:tcMar>
              <w:top w:w="43" w:type="dxa"/>
              <w:bottom w:w="43" w:type="dxa"/>
            </w:tcMar>
          </w:tcPr>
          <w:p w:rsidR="008D3D00" w:rsidRPr="002F71E7" w:rsidRDefault="008D3D00" w:rsidP="009E4FD7">
            <w:pPr>
              <w:spacing w:after="60"/>
              <w:ind w:left="-74" w:right="-55"/>
            </w:pPr>
          </w:p>
        </w:tc>
      </w:tr>
      <w:tr w:rsidR="008D3D00" w:rsidRPr="002F71E7" w:rsidTr="009E4FD7">
        <w:trPr>
          <w:trHeight w:val="20"/>
        </w:trPr>
        <w:tc>
          <w:tcPr>
            <w:tcW w:w="2086" w:type="dxa"/>
            <w:tcBorders>
              <w:bottom w:val="single" w:sz="4" w:space="0" w:color="auto"/>
            </w:tcBorders>
            <w:tcMar>
              <w:top w:w="43" w:type="dxa"/>
              <w:bottom w:w="43" w:type="dxa"/>
            </w:tcMar>
          </w:tcPr>
          <w:p w:rsidR="008D3D00" w:rsidRPr="009E4FD7" w:rsidRDefault="008D3D00" w:rsidP="009E4FD7">
            <w:pPr>
              <w:spacing w:after="60"/>
              <w:ind w:left="-72" w:right="-57"/>
              <w:rPr>
                <w:b/>
                <w:i/>
              </w:rPr>
            </w:pPr>
            <w:r w:rsidRPr="009E4FD7">
              <w:rPr>
                <w:b/>
                <w:i/>
              </w:rPr>
              <w:t>100 Summer / 100 Winter</w:t>
            </w:r>
          </w:p>
          <w:p w:rsidR="008D3D00" w:rsidRPr="009E4FD7" w:rsidRDefault="008D3D00" w:rsidP="009E4FD7">
            <w:pPr>
              <w:spacing w:after="60"/>
              <w:ind w:left="-72" w:right="-57"/>
              <w:rPr>
                <w:b/>
                <w:i/>
              </w:rPr>
            </w:pPr>
            <w:r w:rsidRPr="009E4FD7">
              <w:rPr>
                <w:b/>
                <w:i/>
              </w:rPr>
              <w:t>Coincident Peaks</w:t>
            </w:r>
          </w:p>
        </w:tc>
        <w:tc>
          <w:tcPr>
            <w:tcW w:w="2086" w:type="dxa"/>
            <w:tcBorders>
              <w:bottom w:val="single" w:sz="4" w:space="0" w:color="auto"/>
            </w:tcBorders>
            <w:tcMar>
              <w:top w:w="43" w:type="dxa"/>
              <w:bottom w:w="43" w:type="dxa"/>
            </w:tcMar>
          </w:tcPr>
          <w:p w:rsidR="00643751" w:rsidRPr="009E4FD7" w:rsidRDefault="008D3D00" w:rsidP="009E4FD7">
            <w:pPr>
              <w:spacing w:after="60"/>
              <w:ind w:left="-74" w:right="-55"/>
            </w:pPr>
            <w:r w:rsidRPr="009E4FD7">
              <w:t>The Company use</w:t>
            </w:r>
            <w:r w:rsidR="00643751" w:rsidRPr="009E4FD7">
              <w:t>d</w:t>
            </w:r>
            <w:r w:rsidRPr="009E4FD7">
              <w:t xml:space="preserve"> the  highest 100 winter and highest 100 summer hour</w:t>
            </w:r>
            <w:r w:rsidR="00643751" w:rsidRPr="009E4FD7">
              <w:t>s</w:t>
            </w:r>
            <w:r w:rsidRPr="009E4FD7">
              <w:t xml:space="preserve"> (200 coincident peaks) in </w:t>
            </w:r>
            <w:r w:rsidR="00643751" w:rsidRPr="009E4FD7">
              <w:t xml:space="preserve">developing the west control area demand component of the Control Area Generation West (CAGW) factor, which is </w:t>
            </w:r>
            <w:r w:rsidR="00143980" w:rsidRPr="009E4FD7">
              <w:t>consistent with the class cost of service study</w:t>
            </w:r>
            <w:r w:rsidRPr="009E4FD7">
              <w:t xml:space="preserve">.  </w:t>
            </w:r>
          </w:p>
          <w:p w:rsidR="008D3D00" w:rsidRPr="009E4FD7" w:rsidRDefault="008D3D00" w:rsidP="009E4FD7">
            <w:pPr>
              <w:spacing w:after="60"/>
              <w:ind w:left="-74" w:right="-55"/>
            </w:pPr>
          </w:p>
        </w:tc>
        <w:tc>
          <w:tcPr>
            <w:tcW w:w="2087" w:type="dxa"/>
            <w:tcBorders>
              <w:bottom w:val="single" w:sz="4" w:space="0" w:color="auto"/>
            </w:tcBorders>
            <w:tcMar>
              <w:top w:w="43" w:type="dxa"/>
              <w:bottom w:w="43" w:type="dxa"/>
            </w:tcMar>
          </w:tcPr>
          <w:p w:rsidR="008D3D00" w:rsidRPr="002F71E7" w:rsidRDefault="008D3D00" w:rsidP="009E4FD7">
            <w:pPr>
              <w:spacing w:after="60"/>
              <w:ind w:left="-74" w:right="-55"/>
            </w:pPr>
          </w:p>
        </w:tc>
        <w:tc>
          <w:tcPr>
            <w:tcW w:w="2086" w:type="dxa"/>
            <w:tcBorders>
              <w:bottom w:val="single" w:sz="4" w:space="0" w:color="auto"/>
            </w:tcBorders>
            <w:tcMar>
              <w:top w:w="43" w:type="dxa"/>
              <w:bottom w:w="43" w:type="dxa"/>
            </w:tcMar>
          </w:tcPr>
          <w:p w:rsidR="008D3D00" w:rsidRPr="002F71E7" w:rsidRDefault="008D3D00" w:rsidP="009E4FD7">
            <w:pPr>
              <w:spacing w:after="60"/>
              <w:ind w:left="-74" w:right="-55"/>
            </w:pPr>
          </w:p>
        </w:tc>
        <w:tc>
          <w:tcPr>
            <w:tcW w:w="2087" w:type="dxa"/>
            <w:tcBorders>
              <w:bottom w:val="single" w:sz="4" w:space="0" w:color="auto"/>
            </w:tcBorders>
            <w:tcMar>
              <w:top w:w="43" w:type="dxa"/>
              <w:bottom w:w="43" w:type="dxa"/>
            </w:tcMar>
          </w:tcPr>
          <w:p w:rsidR="008D3D00" w:rsidRPr="002F71E7" w:rsidRDefault="008D3D00" w:rsidP="009E4FD7">
            <w:pPr>
              <w:spacing w:after="60"/>
              <w:ind w:left="-74" w:right="-55"/>
            </w:pPr>
          </w:p>
        </w:tc>
        <w:tc>
          <w:tcPr>
            <w:tcW w:w="2086" w:type="dxa"/>
            <w:tcBorders>
              <w:bottom w:val="single" w:sz="4" w:space="0" w:color="auto"/>
            </w:tcBorders>
            <w:tcMar>
              <w:top w:w="43" w:type="dxa"/>
              <w:bottom w:w="43" w:type="dxa"/>
            </w:tcMar>
          </w:tcPr>
          <w:p w:rsidR="008D3D00" w:rsidRPr="002F71E7" w:rsidRDefault="008D3D00" w:rsidP="009E4FD7">
            <w:pPr>
              <w:spacing w:after="60"/>
              <w:ind w:left="-74" w:right="-55"/>
            </w:pPr>
          </w:p>
        </w:tc>
        <w:tc>
          <w:tcPr>
            <w:tcW w:w="2086" w:type="dxa"/>
            <w:tcBorders>
              <w:bottom w:val="single" w:sz="4" w:space="0" w:color="auto"/>
            </w:tcBorders>
            <w:tcMar>
              <w:top w:w="43" w:type="dxa"/>
              <w:bottom w:w="43" w:type="dxa"/>
            </w:tcMar>
          </w:tcPr>
          <w:p w:rsidR="008D3D00" w:rsidRPr="002F71E7" w:rsidRDefault="008D3D00" w:rsidP="009E4FD7">
            <w:pPr>
              <w:spacing w:after="60"/>
              <w:ind w:left="-74" w:right="-55"/>
            </w:pPr>
          </w:p>
        </w:tc>
      </w:tr>
      <w:tr w:rsidR="00852000" w:rsidRPr="00627242" w:rsidTr="009E4FD7">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sz w:val="6"/>
                <w:szCs w:val="6"/>
              </w:rPr>
            </w:pPr>
          </w:p>
        </w:tc>
      </w:tr>
      <w:tr w:rsidR="001A151C" w:rsidRPr="002F71E7" w:rsidTr="009E4FD7">
        <w:trPr>
          <w:trHeight w:val="20"/>
        </w:trPr>
        <w:tc>
          <w:tcPr>
            <w:tcW w:w="2086" w:type="dxa"/>
            <w:tcMar>
              <w:top w:w="43" w:type="dxa"/>
              <w:bottom w:w="43" w:type="dxa"/>
            </w:tcMar>
          </w:tcPr>
          <w:p w:rsidR="001A151C" w:rsidRPr="002F71E7" w:rsidRDefault="001A151C" w:rsidP="009E4FD7">
            <w:pPr>
              <w:keepNext/>
              <w:keepLines/>
              <w:spacing w:after="60"/>
              <w:ind w:left="-72" w:right="-57"/>
              <w:rPr>
                <w:b/>
                <w:i/>
              </w:rPr>
            </w:pPr>
            <w:r w:rsidRPr="002F71E7">
              <w:rPr>
                <w:b/>
                <w:i/>
              </w:rPr>
              <w:t>Total Adjustments</w:t>
            </w:r>
          </w:p>
        </w:tc>
        <w:tc>
          <w:tcPr>
            <w:tcW w:w="2086" w:type="dxa"/>
            <w:tcMar>
              <w:top w:w="43" w:type="dxa"/>
              <w:bottom w:w="43" w:type="dxa"/>
            </w:tcMar>
          </w:tcPr>
          <w:p w:rsidR="001A151C" w:rsidRDefault="001A151C" w:rsidP="009E4FD7">
            <w:pPr>
              <w:keepNext/>
              <w:keepLines/>
              <w:spacing w:after="60"/>
              <w:ind w:left="-74" w:right="-55"/>
            </w:pPr>
            <w:r w:rsidRPr="002F71E7">
              <w:t>Increase in NOI of $</w:t>
            </w:r>
            <w:r>
              <w:t>5,151,123.</w:t>
            </w:r>
          </w:p>
          <w:p w:rsidR="001A151C" w:rsidRDefault="001A151C" w:rsidP="009E4FD7">
            <w:pPr>
              <w:keepNext/>
              <w:keepLines/>
              <w:spacing w:after="60"/>
              <w:ind w:left="-74" w:right="-55"/>
            </w:pPr>
            <w:r>
              <w:t>Increase in rate base of $54,935,840.</w:t>
            </w:r>
          </w:p>
          <w:p w:rsidR="001A151C" w:rsidRPr="002F71E7" w:rsidRDefault="001A151C" w:rsidP="009E4FD7">
            <w:pPr>
              <w:keepNext/>
              <w:keepLines/>
              <w:spacing w:after="60"/>
              <w:ind w:left="-74" w:right="-55"/>
            </w:pPr>
            <w:r w:rsidRPr="002F71E7">
              <w:t xml:space="preserve"> </w:t>
            </w:r>
            <w:r>
              <w:t xml:space="preserve">Exhibit No.___(SRM-3), page </w:t>
            </w:r>
            <w:r w:rsidR="00AB5A46">
              <w:t>2.2</w:t>
            </w:r>
            <w:r>
              <w:t xml:space="preserve">, column </w:t>
            </w:r>
            <w:r w:rsidR="00AB5A46">
              <w:t>4</w:t>
            </w:r>
            <w:r>
              <w:t>, lines 3</w:t>
            </w:r>
            <w:r w:rsidR="00AB5A46">
              <w:t>3</w:t>
            </w:r>
            <w:r>
              <w:t xml:space="preserve"> and </w:t>
            </w:r>
            <w:r w:rsidR="00AB5A46">
              <w:t>61</w:t>
            </w:r>
            <w:r>
              <w:t>.</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rPr>
          <w:trHeight w:val="20"/>
        </w:trPr>
        <w:tc>
          <w:tcPr>
            <w:tcW w:w="2086" w:type="dxa"/>
            <w:tcBorders>
              <w:bottom w:val="single" w:sz="4" w:space="0" w:color="auto"/>
            </w:tcBorders>
            <w:tcMar>
              <w:top w:w="43" w:type="dxa"/>
              <w:bottom w:w="43" w:type="dxa"/>
            </w:tcMar>
          </w:tcPr>
          <w:p w:rsidR="001A151C" w:rsidRPr="002F71E7" w:rsidRDefault="001A151C" w:rsidP="009E4FD7">
            <w:pPr>
              <w:spacing w:after="60"/>
              <w:ind w:left="-72" w:right="-57"/>
              <w:rPr>
                <w:b/>
                <w:i/>
              </w:rPr>
            </w:pPr>
            <w:r>
              <w:rPr>
                <w:b/>
                <w:i/>
              </w:rPr>
              <w:t>Normalized</w:t>
            </w:r>
            <w:r w:rsidRPr="002F71E7">
              <w:rPr>
                <w:b/>
                <w:i/>
              </w:rPr>
              <w:t xml:space="preserve"> Results of Operations</w:t>
            </w:r>
          </w:p>
        </w:tc>
        <w:tc>
          <w:tcPr>
            <w:tcW w:w="2086" w:type="dxa"/>
            <w:tcBorders>
              <w:bottom w:val="single" w:sz="4" w:space="0" w:color="auto"/>
            </w:tcBorders>
            <w:tcMar>
              <w:top w:w="43" w:type="dxa"/>
              <w:bottom w:w="43" w:type="dxa"/>
            </w:tcMar>
          </w:tcPr>
          <w:p w:rsidR="001A151C" w:rsidRDefault="001A151C" w:rsidP="009E4FD7">
            <w:pPr>
              <w:spacing w:after="60"/>
              <w:ind w:left="-74" w:right="-55"/>
            </w:pPr>
            <w:bookmarkStart w:id="1" w:name="OLE_LINK1"/>
            <w:r w:rsidRPr="002F71E7">
              <w:t xml:space="preserve">NOI </w:t>
            </w:r>
            <w:r>
              <w:t xml:space="preserve">of </w:t>
            </w:r>
            <w:r w:rsidRPr="002F71E7">
              <w:t>$</w:t>
            </w:r>
            <w:r>
              <w:t>38,131,963</w:t>
            </w:r>
            <w:r w:rsidRPr="002F71E7">
              <w:t xml:space="preserve">.  </w:t>
            </w:r>
          </w:p>
          <w:p w:rsidR="001A151C" w:rsidRDefault="001A151C" w:rsidP="009E4FD7">
            <w:pPr>
              <w:spacing w:after="60"/>
              <w:ind w:left="-74" w:right="-55"/>
            </w:pPr>
            <w:r>
              <w:t>Rate base of $828,428,814.</w:t>
            </w:r>
          </w:p>
          <w:bookmarkEnd w:id="1"/>
          <w:p w:rsidR="001A151C" w:rsidRPr="002F71E7" w:rsidRDefault="001A151C" w:rsidP="009E4FD7">
            <w:pPr>
              <w:spacing w:after="60"/>
              <w:ind w:left="-74" w:right="-55"/>
            </w:pPr>
            <w:r>
              <w:t xml:space="preserve">Exhibit No.___(SRM-3), page 1.0, column </w:t>
            </w:r>
            <w:r w:rsidR="00AB5A46">
              <w:t>5</w:t>
            </w:r>
            <w:r>
              <w:t>, lines 30 and 57.</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DC20A1" w:rsidRDefault="00DC20A1" w:rsidP="009E4FD7">
            <w:pPr>
              <w:spacing w:after="60"/>
              <w:ind w:left="-74" w:right="-55"/>
            </w:pPr>
          </w:p>
          <w:p w:rsidR="00DC20A1" w:rsidRDefault="00DC20A1" w:rsidP="009E4FD7">
            <w:pPr>
              <w:spacing w:after="60"/>
            </w:pPr>
          </w:p>
          <w:p w:rsidR="001A151C" w:rsidRPr="00DC20A1" w:rsidRDefault="001A151C" w:rsidP="009E4FD7">
            <w:pPr>
              <w:spacing w:after="60"/>
              <w:jc w:val="center"/>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852000" w:rsidRPr="00627242" w:rsidTr="009E4FD7">
        <w:tblPrEx>
          <w:tblCellMar>
            <w:left w:w="108" w:type="dxa"/>
            <w:right w:w="108" w:type="dxa"/>
          </w:tblCellMar>
        </w:tblPrEx>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sz w:val="6"/>
                <w:szCs w:val="6"/>
              </w:rPr>
            </w:pPr>
          </w:p>
        </w:tc>
      </w:tr>
      <w:tr w:rsidR="00DC20A1" w:rsidRPr="002F71E7" w:rsidTr="009E4FD7">
        <w:tblPrEx>
          <w:tblCellMar>
            <w:left w:w="108" w:type="dxa"/>
            <w:right w:w="108" w:type="dxa"/>
          </w:tblCellMar>
        </w:tblPrEx>
        <w:trPr>
          <w:trHeight w:val="20"/>
        </w:trPr>
        <w:tc>
          <w:tcPr>
            <w:tcW w:w="2086" w:type="dxa"/>
            <w:tcMar>
              <w:top w:w="43" w:type="dxa"/>
              <w:bottom w:w="43" w:type="dxa"/>
            </w:tcMar>
          </w:tcPr>
          <w:p w:rsidR="00DC20A1" w:rsidRPr="009E4FD7" w:rsidRDefault="00DC20A1" w:rsidP="009E4FD7">
            <w:pPr>
              <w:spacing w:after="60"/>
              <w:ind w:left="-72" w:right="-57"/>
              <w:rPr>
                <w:b/>
                <w:i/>
              </w:rPr>
            </w:pPr>
            <w:r w:rsidRPr="009E4FD7">
              <w:rPr>
                <w:b/>
                <w:i/>
              </w:rPr>
              <w:t>Cost of Service Study</w:t>
            </w:r>
          </w:p>
        </w:tc>
        <w:tc>
          <w:tcPr>
            <w:tcW w:w="2086" w:type="dxa"/>
            <w:tcMar>
              <w:top w:w="43" w:type="dxa"/>
              <w:bottom w:w="43" w:type="dxa"/>
            </w:tcMar>
          </w:tcPr>
          <w:p w:rsidR="00DC20A1" w:rsidRPr="00DC20A1" w:rsidRDefault="00143980" w:rsidP="009E4FD7">
            <w:pPr>
              <w:spacing w:after="60"/>
              <w:ind w:left="-74" w:right="-55"/>
            </w:pPr>
            <w:r w:rsidRPr="009E4FD7">
              <w:t xml:space="preserve">The Company is proposing a revised peak credit method calculation using a west control area system diversified load factor (SDLF), </w:t>
            </w:r>
            <w:r w:rsidRPr="009E4FD7">
              <w:rPr>
                <w:color w:val="000000"/>
              </w:rPr>
              <w:t>which results in 38% of generation and transmission costs classified as demand related</w:t>
            </w:r>
            <w:r w:rsidR="00DC20A1" w:rsidRPr="009E4FD7">
              <w:t>.</w:t>
            </w:r>
          </w:p>
        </w:tc>
        <w:tc>
          <w:tcPr>
            <w:tcW w:w="2087" w:type="dxa"/>
            <w:tcMar>
              <w:top w:w="43" w:type="dxa"/>
              <w:bottom w:w="43" w:type="dxa"/>
            </w:tcMar>
          </w:tcPr>
          <w:p w:rsidR="00DC20A1" w:rsidRPr="002F71E7" w:rsidRDefault="00DC20A1" w:rsidP="009E4FD7">
            <w:pPr>
              <w:spacing w:after="60"/>
              <w:ind w:left="-74" w:right="-55"/>
            </w:pPr>
          </w:p>
        </w:tc>
        <w:tc>
          <w:tcPr>
            <w:tcW w:w="2086" w:type="dxa"/>
            <w:tcMar>
              <w:top w:w="43" w:type="dxa"/>
              <w:bottom w:w="43" w:type="dxa"/>
            </w:tcMar>
          </w:tcPr>
          <w:p w:rsidR="00DC20A1" w:rsidRPr="002F71E7" w:rsidRDefault="00DC20A1" w:rsidP="009E4FD7">
            <w:pPr>
              <w:spacing w:after="60"/>
              <w:ind w:left="-74" w:right="-55"/>
            </w:pPr>
          </w:p>
        </w:tc>
        <w:tc>
          <w:tcPr>
            <w:tcW w:w="2087" w:type="dxa"/>
            <w:tcMar>
              <w:top w:w="43" w:type="dxa"/>
              <w:bottom w:w="43" w:type="dxa"/>
            </w:tcMar>
          </w:tcPr>
          <w:p w:rsidR="00DC20A1" w:rsidRPr="002F71E7" w:rsidRDefault="00DC20A1" w:rsidP="009E4FD7">
            <w:pPr>
              <w:spacing w:after="60"/>
              <w:ind w:left="-74" w:right="-55"/>
            </w:pPr>
          </w:p>
        </w:tc>
        <w:tc>
          <w:tcPr>
            <w:tcW w:w="2086" w:type="dxa"/>
            <w:tcMar>
              <w:top w:w="43" w:type="dxa"/>
              <w:bottom w:w="43" w:type="dxa"/>
            </w:tcMar>
          </w:tcPr>
          <w:p w:rsidR="00DC20A1" w:rsidRPr="002F71E7" w:rsidRDefault="00DC20A1" w:rsidP="009E4FD7">
            <w:pPr>
              <w:spacing w:after="60"/>
              <w:ind w:left="-74" w:right="-55"/>
            </w:pPr>
          </w:p>
        </w:tc>
        <w:tc>
          <w:tcPr>
            <w:tcW w:w="2086" w:type="dxa"/>
            <w:tcMar>
              <w:top w:w="43" w:type="dxa"/>
              <w:bottom w:w="43" w:type="dxa"/>
            </w:tcMar>
          </w:tcPr>
          <w:p w:rsidR="00DC20A1" w:rsidRPr="002F71E7" w:rsidRDefault="00DC20A1" w:rsidP="009E4FD7">
            <w:pPr>
              <w:spacing w:after="60"/>
              <w:ind w:left="-74" w:right="-55"/>
            </w:pPr>
          </w:p>
        </w:tc>
      </w:tr>
      <w:tr w:rsidR="001A151C" w:rsidRPr="002F71E7" w:rsidTr="009E4FD7">
        <w:tblPrEx>
          <w:tblCellMar>
            <w:left w:w="108" w:type="dxa"/>
            <w:right w:w="108" w:type="dxa"/>
          </w:tblCellMar>
        </w:tblPrEx>
        <w:trPr>
          <w:trHeight w:val="20"/>
        </w:trPr>
        <w:tc>
          <w:tcPr>
            <w:tcW w:w="2086" w:type="dxa"/>
            <w:tcMar>
              <w:top w:w="43" w:type="dxa"/>
              <w:bottom w:w="43" w:type="dxa"/>
            </w:tcMar>
          </w:tcPr>
          <w:p w:rsidR="001A151C" w:rsidRPr="0088773C" w:rsidRDefault="001A151C" w:rsidP="009E4FD7">
            <w:pPr>
              <w:spacing w:after="60"/>
              <w:ind w:left="-72" w:right="-57"/>
              <w:rPr>
                <w:b/>
                <w:i/>
              </w:rPr>
            </w:pPr>
            <w:r w:rsidRPr="0088773C">
              <w:rPr>
                <w:b/>
                <w:i/>
              </w:rPr>
              <w:t>Electric Rate Spread</w:t>
            </w:r>
          </w:p>
        </w:tc>
        <w:tc>
          <w:tcPr>
            <w:tcW w:w="2086" w:type="dxa"/>
            <w:tcMar>
              <w:top w:w="43" w:type="dxa"/>
              <w:bottom w:w="43" w:type="dxa"/>
            </w:tcMar>
          </w:tcPr>
          <w:p w:rsidR="001A151C" w:rsidRPr="000E50AF" w:rsidRDefault="003B17FB" w:rsidP="009E4FD7">
            <w:pPr>
              <w:spacing w:after="60"/>
              <w:ind w:left="-74" w:right="-55"/>
              <w:rPr>
                <w:highlight w:val="yellow"/>
              </w:rPr>
            </w:pPr>
            <w:r>
              <w:t>T</w:t>
            </w:r>
            <w:r w:rsidRPr="003B17FB">
              <w:t>he Company is proposing to allocate</w:t>
            </w:r>
            <w:r w:rsidR="00D27FB3">
              <w:t>:</w:t>
            </w:r>
            <w:r w:rsidRPr="003B17FB">
              <w:t xml:space="preserve"> (1) a below-average increase to the rate schedules that the cost of service study indicate</w:t>
            </w:r>
            <w:r w:rsidR="00BC5ED4">
              <w:t xml:space="preserve"> </w:t>
            </w:r>
            <w:r w:rsidRPr="003B17FB">
              <w:t xml:space="preserve">a significantly smaller revenue increase (Schedules 24, 40 </w:t>
            </w:r>
            <w:r w:rsidR="00BC5ED4">
              <w:t xml:space="preserve">an increase of 12.0 percent </w:t>
            </w:r>
            <w:r w:rsidRPr="003B17FB">
              <w:t>and lighting schedules</w:t>
            </w:r>
            <w:r w:rsidR="00BC5ED4">
              <w:t xml:space="preserve"> an increase of four percent</w:t>
            </w:r>
            <w:r w:rsidRPr="003B17FB">
              <w:t>)</w:t>
            </w:r>
            <w:r w:rsidR="00D27FB3">
              <w:t>;</w:t>
            </w:r>
            <w:r w:rsidRPr="003B17FB">
              <w:t xml:space="preserve"> (2) the average increase of 14.1 percent to Schedules 36 and 48T (other than 48T Dedicated Facilities), which are relatively close to cost of service</w:t>
            </w:r>
            <w:r w:rsidR="00D27FB3">
              <w:t xml:space="preserve">; </w:t>
            </w:r>
            <w:r w:rsidRPr="003B17FB">
              <w:t xml:space="preserve">and (3) a slightly above-average increase </w:t>
            </w:r>
            <w:r w:rsidR="00BC5ED4">
              <w:t xml:space="preserve">of 15.0 percent </w:t>
            </w:r>
            <w:r w:rsidRPr="003B17FB">
              <w:t xml:space="preserve">to residential and Schedule 48T Dedicated Facilities because these classes are currently below cost of service.  </w:t>
            </w: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7"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c>
          <w:tcPr>
            <w:tcW w:w="2086" w:type="dxa"/>
            <w:tcMar>
              <w:top w:w="43" w:type="dxa"/>
              <w:bottom w:w="43" w:type="dxa"/>
            </w:tcMar>
          </w:tcPr>
          <w:p w:rsidR="001A151C" w:rsidRPr="002F71E7" w:rsidRDefault="001A151C" w:rsidP="009E4FD7">
            <w:pPr>
              <w:spacing w:after="60"/>
              <w:ind w:left="-74" w:right="-55"/>
            </w:pPr>
          </w:p>
        </w:tc>
      </w:tr>
      <w:tr w:rsidR="001A151C" w:rsidRPr="002F71E7" w:rsidTr="009E4FD7">
        <w:tblPrEx>
          <w:tblCellMar>
            <w:left w:w="108" w:type="dxa"/>
            <w:right w:w="108" w:type="dxa"/>
          </w:tblCellMar>
        </w:tblPrEx>
        <w:trPr>
          <w:trHeight w:val="20"/>
        </w:trPr>
        <w:tc>
          <w:tcPr>
            <w:tcW w:w="2086" w:type="dxa"/>
            <w:tcBorders>
              <w:bottom w:val="single" w:sz="4" w:space="0" w:color="auto"/>
            </w:tcBorders>
            <w:tcMar>
              <w:top w:w="43" w:type="dxa"/>
              <w:bottom w:w="43" w:type="dxa"/>
            </w:tcMar>
          </w:tcPr>
          <w:p w:rsidR="001A151C" w:rsidRPr="0088773C" w:rsidRDefault="001A151C" w:rsidP="009E4FD7">
            <w:pPr>
              <w:spacing w:after="60"/>
              <w:ind w:left="-72" w:right="-57"/>
              <w:rPr>
                <w:b/>
                <w:i/>
              </w:rPr>
            </w:pPr>
            <w:r w:rsidRPr="0088773C">
              <w:rPr>
                <w:b/>
                <w:i/>
              </w:rPr>
              <w:t>Electric Rate Design</w:t>
            </w:r>
          </w:p>
        </w:tc>
        <w:tc>
          <w:tcPr>
            <w:tcW w:w="2086" w:type="dxa"/>
            <w:tcBorders>
              <w:bottom w:val="single" w:sz="4" w:space="0" w:color="auto"/>
            </w:tcBorders>
            <w:tcMar>
              <w:top w:w="43" w:type="dxa"/>
              <w:bottom w:w="43" w:type="dxa"/>
            </w:tcMar>
          </w:tcPr>
          <w:p w:rsidR="001A151C" w:rsidRPr="000E50AF" w:rsidRDefault="003B17FB" w:rsidP="009E4FD7">
            <w:pPr>
              <w:spacing w:after="60"/>
              <w:ind w:left="-74" w:right="-55"/>
              <w:rPr>
                <w:highlight w:val="yellow"/>
              </w:rPr>
            </w:pPr>
            <w:r w:rsidRPr="003B17FB">
              <w:t>For the monthly residential basic charge, the Company proposes an increase from $6.00 to $10.00 per month.  The remainder of the allocated increase will be recovered through the energy charges</w:t>
            </w:r>
            <w:r>
              <w:t xml:space="preserve"> with a higher percentage rate increase to the tail block</w:t>
            </w:r>
            <w:r w:rsidRPr="003B17FB">
              <w:t>.</w:t>
            </w:r>
            <w:r>
              <w:t xml:space="preserve"> </w:t>
            </w:r>
            <w:r w:rsidR="00D27FB3">
              <w:t xml:space="preserve"> </w:t>
            </w:r>
            <w:r w:rsidRPr="003B17FB">
              <w:t>For General Service Schedule 24</w:t>
            </w:r>
            <w:r w:rsidR="00D27FB3">
              <w:t>,</w:t>
            </w:r>
            <w:r w:rsidRPr="003B17FB">
              <w:t xml:space="preserve"> the Company proposes to apply uniform percentage increases to the basic, demand and energy charges.  For General Service Schedules 36 and 48, the Company has applied a larger increase to the demand charges based on the results of the cost of service study.  Other charges in Schedule 36 and 48 have been increased on a uniform basis to recover the balance of the allocated increase to each schedule.</w:t>
            </w:r>
            <w:r>
              <w:t xml:space="preserve"> </w:t>
            </w:r>
            <w:r w:rsidR="00D27FB3">
              <w:t xml:space="preserve"> </w:t>
            </w:r>
            <w:r>
              <w:t>For Schedule 40</w:t>
            </w:r>
            <w:r w:rsidR="00D27FB3">
              <w:t>,</w:t>
            </w:r>
            <w:r>
              <w:t xml:space="preserve"> t</w:t>
            </w:r>
            <w:r w:rsidRPr="003B17FB">
              <w:t xml:space="preserve">he Company proposes to apply a uniform percentage increase to all billing elements. </w:t>
            </w:r>
            <w:r>
              <w:t>For lighting</w:t>
            </w:r>
            <w:r w:rsidR="00D27FB3">
              <w:t>,</w:t>
            </w:r>
            <w:r>
              <w:t xml:space="preserve"> </w:t>
            </w:r>
            <w:r w:rsidRPr="003B17FB">
              <w:t xml:space="preserve">the Company proposes </w:t>
            </w:r>
            <w:r>
              <w:t>the i</w:t>
            </w:r>
            <w:r w:rsidRPr="003B17FB">
              <w:t xml:space="preserve">ncrease </w:t>
            </w:r>
            <w:r>
              <w:t>be s</w:t>
            </w:r>
            <w:r w:rsidRPr="003B17FB">
              <w:t>pread equally to all lighting schedules.</w:t>
            </w:r>
            <w:r w:rsidR="001A151C" w:rsidRPr="000E50AF">
              <w:rPr>
                <w:highlight w:val="yellow"/>
              </w:rPr>
              <w:t xml:space="preserve"> </w:t>
            </w: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7"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c>
          <w:tcPr>
            <w:tcW w:w="2086" w:type="dxa"/>
            <w:tcBorders>
              <w:bottom w:val="single" w:sz="4" w:space="0" w:color="auto"/>
            </w:tcBorders>
            <w:tcMar>
              <w:top w:w="43" w:type="dxa"/>
              <w:bottom w:w="43" w:type="dxa"/>
            </w:tcMar>
          </w:tcPr>
          <w:p w:rsidR="001A151C" w:rsidRPr="002F71E7" w:rsidRDefault="001A151C" w:rsidP="009E4FD7">
            <w:pPr>
              <w:spacing w:after="60"/>
              <w:ind w:left="-74" w:right="-55"/>
            </w:pPr>
          </w:p>
        </w:tc>
      </w:tr>
      <w:tr w:rsidR="00852000" w:rsidRPr="00627242" w:rsidTr="009E4FD7">
        <w:tblPrEx>
          <w:tblCellMar>
            <w:left w:w="108" w:type="dxa"/>
            <w:right w:w="108" w:type="dxa"/>
          </w:tblCellMar>
        </w:tblPrEx>
        <w:trPr>
          <w:trHeight w:val="20"/>
        </w:trPr>
        <w:tc>
          <w:tcPr>
            <w:tcW w:w="14604" w:type="dxa"/>
            <w:gridSpan w:val="7"/>
            <w:shd w:val="pct25" w:color="auto" w:fill="auto"/>
            <w:tcMar>
              <w:top w:w="43" w:type="dxa"/>
              <w:bottom w:w="43" w:type="dxa"/>
            </w:tcMar>
          </w:tcPr>
          <w:p w:rsidR="00852000" w:rsidRPr="00627242" w:rsidRDefault="00852000" w:rsidP="009E4FD7">
            <w:pPr>
              <w:ind w:left="-72" w:right="-58"/>
              <w:rPr>
                <w:sz w:val="6"/>
                <w:szCs w:val="6"/>
              </w:rPr>
            </w:pPr>
          </w:p>
        </w:tc>
      </w:tr>
    </w:tbl>
    <w:p w:rsidR="00D11C7E" w:rsidRPr="002F71E7" w:rsidRDefault="00D11C7E" w:rsidP="009E4FD7">
      <w:pPr>
        <w:spacing w:after="60"/>
      </w:pPr>
      <w:bookmarkStart w:id="2" w:name="_GoBack"/>
      <w:bookmarkEnd w:id="2"/>
    </w:p>
    <w:p w:rsidR="00D11C7E" w:rsidRPr="002F71E7" w:rsidRDefault="00D11C7E" w:rsidP="00B1206B"/>
    <w:p w:rsidR="00662F9C" w:rsidRPr="00D11C7E" w:rsidRDefault="00662F9C" w:rsidP="00B1206B"/>
    <w:sectPr w:rsidR="00662F9C" w:rsidRPr="00D11C7E" w:rsidSect="009E4FD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576" w:left="72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8C3" w:rsidRDefault="00B138C3">
      <w:r>
        <w:separator/>
      </w:r>
    </w:p>
  </w:endnote>
  <w:endnote w:type="continuationSeparator" w:id="0">
    <w:p w:rsidR="00B138C3" w:rsidRDefault="00B138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46" w:rsidRDefault="008953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6B" w:rsidRPr="00AA32E5" w:rsidRDefault="00B1206B" w:rsidP="008A6446">
    <w:pPr>
      <w:pStyle w:val="Footer"/>
      <w:jc w:val="center"/>
      <w:rPr>
        <w:rStyle w:val="PageNumber"/>
        <w:sz w:val="20"/>
        <w:szCs w:val="20"/>
      </w:rPr>
    </w:pPr>
    <w:r w:rsidRPr="00AA32E5">
      <w:rPr>
        <w:sz w:val="20"/>
        <w:szCs w:val="20"/>
      </w:rPr>
      <w:t xml:space="preserve">Page </w:t>
    </w:r>
    <w:r w:rsidR="00445069" w:rsidRPr="00AA32E5">
      <w:rPr>
        <w:rStyle w:val="PageNumber"/>
        <w:sz w:val="20"/>
        <w:szCs w:val="20"/>
      </w:rPr>
      <w:fldChar w:fldCharType="begin"/>
    </w:r>
    <w:r w:rsidRPr="00AA32E5">
      <w:rPr>
        <w:rStyle w:val="PageNumber"/>
        <w:sz w:val="20"/>
        <w:szCs w:val="20"/>
      </w:rPr>
      <w:instrText xml:space="preserve"> PAGE </w:instrText>
    </w:r>
    <w:r w:rsidR="00445069" w:rsidRPr="00AA32E5">
      <w:rPr>
        <w:rStyle w:val="PageNumber"/>
        <w:sz w:val="20"/>
        <w:szCs w:val="20"/>
      </w:rPr>
      <w:fldChar w:fldCharType="separate"/>
    </w:r>
    <w:r w:rsidR="00895346">
      <w:rPr>
        <w:rStyle w:val="PageNumber"/>
        <w:noProof/>
        <w:sz w:val="20"/>
        <w:szCs w:val="20"/>
      </w:rPr>
      <w:t>1</w:t>
    </w:r>
    <w:r w:rsidR="00445069" w:rsidRPr="00AA32E5">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46" w:rsidRDefault="00895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8C3" w:rsidRDefault="00B138C3">
      <w:r>
        <w:separator/>
      </w:r>
    </w:p>
  </w:footnote>
  <w:footnote w:type="continuationSeparator" w:id="0">
    <w:p w:rsidR="00B138C3" w:rsidRDefault="00B13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46" w:rsidRDefault="008953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46" w:rsidRDefault="008953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46" w:rsidRDefault="008953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1447DE"/>
    <w:lvl w:ilvl="0">
      <w:start w:val="1"/>
      <w:numFmt w:val="decimal"/>
      <w:lvlText w:val="%1."/>
      <w:lvlJc w:val="left"/>
      <w:pPr>
        <w:tabs>
          <w:tab w:val="num" w:pos="1800"/>
        </w:tabs>
        <w:ind w:left="1800" w:hanging="360"/>
      </w:pPr>
    </w:lvl>
  </w:abstractNum>
  <w:abstractNum w:abstractNumId="1">
    <w:nsid w:val="FFFFFF7D"/>
    <w:multiLevelType w:val="singleLevel"/>
    <w:tmpl w:val="B91AB922"/>
    <w:lvl w:ilvl="0">
      <w:start w:val="1"/>
      <w:numFmt w:val="decimal"/>
      <w:lvlText w:val="%1."/>
      <w:lvlJc w:val="left"/>
      <w:pPr>
        <w:tabs>
          <w:tab w:val="num" w:pos="1440"/>
        </w:tabs>
        <w:ind w:left="1440" w:hanging="360"/>
      </w:pPr>
    </w:lvl>
  </w:abstractNum>
  <w:abstractNum w:abstractNumId="2">
    <w:nsid w:val="FFFFFF7E"/>
    <w:multiLevelType w:val="singleLevel"/>
    <w:tmpl w:val="C6E4C77E"/>
    <w:lvl w:ilvl="0">
      <w:start w:val="1"/>
      <w:numFmt w:val="decimal"/>
      <w:lvlText w:val="%1."/>
      <w:lvlJc w:val="left"/>
      <w:pPr>
        <w:tabs>
          <w:tab w:val="num" w:pos="1080"/>
        </w:tabs>
        <w:ind w:left="1080" w:hanging="360"/>
      </w:pPr>
    </w:lvl>
  </w:abstractNum>
  <w:abstractNum w:abstractNumId="3">
    <w:nsid w:val="FFFFFF7F"/>
    <w:multiLevelType w:val="singleLevel"/>
    <w:tmpl w:val="A09862CC"/>
    <w:lvl w:ilvl="0">
      <w:start w:val="1"/>
      <w:numFmt w:val="decimal"/>
      <w:lvlText w:val="%1."/>
      <w:lvlJc w:val="left"/>
      <w:pPr>
        <w:tabs>
          <w:tab w:val="num" w:pos="720"/>
        </w:tabs>
        <w:ind w:left="720" w:hanging="360"/>
      </w:pPr>
    </w:lvl>
  </w:abstractNum>
  <w:abstractNum w:abstractNumId="4">
    <w:nsid w:val="FFFFFF80"/>
    <w:multiLevelType w:val="singleLevel"/>
    <w:tmpl w:val="17BE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205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1E8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864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9CE8E0"/>
    <w:lvl w:ilvl="0">
      <w:start w:val="1"/>
      <w:numFmt w:val="decimal"/>
      <w:lvlText w:val="%1."/>
      <w:lvlJc w:val="left"/>
      <w:pPr>
        <w:tabs>
          <w:tab w:val="num" w:pos="360"/>
        </w:tabs>
        <w:ind w:left="360" w:hanging="360"/>
      </w:pPr>
    </w:lvl>
  </w:abstractNum>
  <w:abstractNum w:abstractNumId="9">
    <w:nsid w:val="FFFFFF89"/>
    <w:multiLevelType w:val="singleLevel"/>
    <w:tmpl w:val="1BA626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saveSubsetFonts/>
  <w:stylePaneFormatFilter w:val="3F01"/>
  <w:defaultTabStop w:val="720"/>
  <w:drawingGridHorizontalSpacing w:val="8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7F557C"/>
    <w:rsid w:val="000008D3"/>
    <w:rsid w:val="00011ED6"/>
    <w:rsid w:val="00012DAA"/>
    <w:rsid w:val="00024790"/>
    <w:rsid w:val="0003420E"/>
    <w:rsid w:val="00036A8F"/>
    <w:rsid w:val="00041B05"/>
    <w:rsid w:val="0004424E"/>
    <w:rsid w:val="000467B0"/>
    <w:rsid w:val="0005281F"/>
    <w:rsid w:val="0005732A"/>
    <w:rsid w:val="00075450"/>
    <w:rsid w:val="00087C26"/>
    <w:rsid w:val="000919FC"/>
    <w:rsid w:val="000A2F13"/>
    <w:rsid w:val="000A66B4"/>
    <w:rsid w:val="000B3922"/>
    <w:rsid w:val="000B3954"/>
    <w:rsid w:val="000C4906"/>
    <w:rsid w:val="000C5627"/>
    <w:rsid w:val="000C6D10"/>
    <w:rsid w:val="000D584C"/>
    <w:rsid w:val="000D6455"/>
    <w:rsid w:val="000D705F"/>
    <w:rsid w:val="000E50AF"/>
    <w:rsid w:val="000F7BFB"/>
    <w:rsid w:val="001002FD"/>
    <w:rsid w:val="00100F45"/>
    <w:rsid w:val="00104AD6"/>
    <w:rsid w:val="00137656"/>
    <w:rsid w:val="00143980"/>
    <w:rsid w:val="00143D33"/>
    <w:rsid w:val="00156F4A"/>
    <w:rsid w:val="00163794"/>
    <w:rsid w:val="0017486B"/>
    <w:rsid w:val="00175872"/>
    <w:rsid w:val="001A00EE"/>
    <w:rsid w:val="001A040C"/>
    <w:rsid w:val="001A151C"/>
    <w:rsid w:val="001B38EB"/>
    <w:rsid w:val="001C1D9F"/>
    <w:rsid w:val="001C3F0D"/>
    <w:rsid w:val="001C7471"/>
    <w:rsid w:val="002014B9"/>
    <w:rsid w:val="00203183"/>
    <w:rsid w:val="00223486"/>
    <w:rsid w:val="00223E09"/>
    <w:rsid w:val="00224846"/>
    <w:rsid w:val="00225C0A"/>
    <w:rsid w:val="00235572"/>
    <w:rsid w:val="002431F1"/>
    <w:rsid w:val="00267E29"/>
    <w:rsid w:val="00272AB3"/>
    <w:rsid w:val="0027480C"/>
    <w:rsid w:val="002817BD"/>
    <w:rsid w:val="002818D6"/>
    <w:rsid w:val="00281B44"/>
    <w:rsid w:val="00281D62"/>
    <w:rsid w:val="002B1727"/>
    <w:rsid w:val="002B57E5"/>
    <w:rsid w:val="002E0775"/>
    <w:rsid w:val="002E3182"/>
    <w:rsid w:val="002F0981"/>
    <w:rsid w:val="002F403E"/>
    <w:rsid w:val="002F4A78"/>
    <w:rsid w:val="002F71E7"/>
    <w:rsid w:val="003009B5"/>
    <w:rsid w:val="00301C6E"/>
    <w:rsid w:val="00310146"/>
    <w:rsid w:val="00310BB2"/>
    <w:rsid w:val="0032037C"/>
    <w:rsid w:val="003225DD"/>
    <w:rsid w:val="003536A6"/>
    <w:rsid w:val="00372D93"/>
    <w:rsid w:val="0037461B"/>
    <w:rsid w:val="00377C7D"/>
    <w:rsid w:val="003A36A5"/>
    <w:rsid w:val="003B17FB"/>
    <w:rsid w:val="003C32D7"/>
    <w:rsid w:val="003C6D86"/>
    <w:rsid w:val="003E7323"/>
    <w:rsid w:val="00402DBF"/>
    <w:rsid w:val="0040403A"/>
    <w:rsid w:val="00412FC7"/>
    <w:rsid w:val="00421F66"/>
    <w:rsid w:val="00433CAC"/>
    <w:rsid w:val="00445069"/>
    <w:rsid w:val="0044724B"/>
    <w:rsid w:val="00450782"/>
    <w:rsid w:val="00450F90"/>
    <w:rsid w:val="004A569F"/>
    <w:rsid w:val="004A7C9D"/>
    <w:rsid w:val="004B371C"/>
    <w:rsid w:val="004B5BFD"/>
    <w:rsid w:val="004D2F4E"/>
    <w:rsid w:val="004E0D09"/>
    <w:rsid w:val="005032F5"/>
    <w:rsid w:val="00507505"/>
    <w:rsid w:val="00512114"/>
    <w:rsid w:val="00516713"/>
    <w:rsid w:val="005256CB"/>
    <w:rsid w:val="00531ECE"/>
    <w:rsid w:val="005777C3"/>
    <w:rsid w:val="0058285E"/>
    <w:rsid w:val="005839F2"/>
    <w:rsid w:val="00583F38"/>
    <w:rsid w:val="00586330"/>
    <w:rsid w:val="00586B8F"/>
    <w:rsid w:val="005A5067"/>
    <w:rsid w:val="005B74B2"/>
    <w:rsid w:val="005C3AFE"/>
    <w:rsid w:val="005F795B"/>
    <w:rsid w:val="0060536B"/>
    <w:rsid w:val="00622F80"/>
    <w:rsid w:val="00623BCE"/>
    <w:rsid w:val="00627242"/>
    <w:rsid w:val="00631147"/>
    <w:rsid w:val="00643751"/>
    <w:rsid w:val="006541B6"/>
    <w:rsid w:val="006618C4"/>
    <w:rsid w:val="00662F9C"/>
    <w:rsid w:val="006716DA"/>
    <w:rsid w:val="00671F55"/>
    <w:rsid w:val="006746FF"/>
    <w:rsid w:val="00676B8B"/>
    <w:rsid w:val="00685BC7"/>
    <w:rsid w:val="006A3319"/>
    <w:rsid w:val="006A510C"/>
    <w:rsid w:val="006C251B"/>
    <w:rsid w:val="006C2989"/>
    <w:rsid w:val="006D26A5"/>
    <w:rsid w:val="006D4286"/>
    <w:rsid w:val="006D58D5"/>
    <w:rsid w:val="006D6283"/>
    <w:rsid w:val="006D7B03"/>
    <w:rsid w:val="006F40DD"/>
    <w:rsid w:val="00703C9D"/>
    <w:rsid w:val="00716540"/>
    <w:rsid w:val="00723774"/>
    <w:rsid w:val="007306C5"/>
    <w:rsid w:val="00752DC9"/>
    <w:rsid w:val="00766874"/>
    <w:rsid w:val="0076729B"/>
    <w:rsid w:val="00770B58"/>
    <w:rsid w:val="00792C55"/>
    <w:rsid w:val="00794377"/>
    <w:rsid w:val="007C34C6"/>
    <w:rsid w:val="007D47E2"/>
    <w:rsid w:val="007E0EFC"/>
    <w:rsid w:val="007E1978"/>
    <w:rsid w:val="007F15B5"/>
    <w:rsid w:val="007F557C"/>
    <w:rsid w:val="007F78E4"/>
    <w:rsid w:val="00800256"/>
    <w:rsid w:val="008039E9"/>
    <w:rsid w:val="00807673"/>
    <w:rsid w:val="00810126"/>
    <w:rsid w:val="00820BE3"/>
    <w:rsid w:val="00822D10"/>
    <w:rsid w:val="00824694"/>
    <w:rsid w:val="00830ADD"/>
    <w:rsid w:val="00835D82"/>
    <w:rsid w:val="00852000"/>
    <w:rsid w:val="00861E01"/>
    <w:rsid w:val="0086632C"/>
    <w:rsid w:val="0088773C"/>
    <w:rsid w:val="00894B87"/>
    <w:rsid w:val="00895346"/>
    <w:rsid w:val="0089559B"/>
    <w:rsid w:val="008A6446"/>
    <w:rsid w:val="008B54CF"/>
    <w:rsid w:val="008C0349"/>
    <w:rsid w:val="008C1092"/>
    <w:rsid w:val="008C1E23"/>
    <w:rsid w:val="008D3D00"/>
    <w:rsid w:val="008F1B3A"/>
    <w:rsid w:val="00903C86"/>
    <w:rsid w:val="00914E72"/>
    <w:rsid w:val="00920B63"/>
    <w:rsid w:val="00947962"/>
    <w:rsid w:val="00972458"/>
    <w:rsid w:val="009763FE"/>
    <w:rsid w:val="009822AC"/>
    <w:rsid w:val="00982B99"/>
    <w:rsid w:val="00983CA8"/>
    <w:rsid w:val="00997D07"/>
    <w:rsid w:val="009A17E3"/>
    <w:rsid w:val="009A4599"/>
    <w:rsid w:val="009B2978"/>
    <w:rsid w:val="009C6536"/>
    <w:rsid w:val="009D3375"/>
    <w:rsid w:val="009D4B80"/>
    <w:rsid w:val="009D7DE9"/>
    <w:rsid w:val="009E4FD7"/>
    <w:rsid w:val="009E74A6"/>
    <w:rsid w:val="009E7530"/>
    <w:rsid w:val="009F6C81"/>
    <w:rsid w:val="00A312E5"/>
    <w:rsid w:val="00A504CA"/>
    <w:rsid w:val="00A50C8D"/>
    <w:rsid w:val="00A5630E"/>
    <w:rsid w:val="00A64BC3"/>
    <w:rsid w:val="00A86963"/>
    <w:rsid w:val="00A953E1"/>
    <w:rsid w:val="00A95EBA"/>
    <w:rsid w:val="00AA1C20"/>
    <w:rsid w:val="00AA32E5"/>
    <w:rsid w:val="00AB5A46"/>
    <w:rsid w:val="00AC6109"/>
    <w:rsid w:val="00AC789E"/>
    <w:rsid w:val="00AD0BE8"/>
    <w:rsid w:val="00AE3A3B"/>
    <w:rsid w:val="00AE5873"/>
    <w:rsid w:val="00AE64DD"/>
    <w:rsid w:val="00B00973"/>
    <w:rsid w:val="00B1206B"/>
    <w:rsid w:val="00B138C3"/>
    <w:rsid w:val="00B13F6C"/>
    <w:rsid w:val="00B301A3"/>
    <w:rsid w:val="00B35076"/>
    <w:rsid w:val="00B37634"/>
    <w:rsid w:val="00B4032D"/>
    <w:rsid w:val="00B4570E"/>
    <w:rsid w:val="00B54959"/>
    <w:rsid w:val="00B57823"/>
    <w:rsid w:val="00B801CA"/>
    <w:rsid w:val="00B86293"/>
    <w:rsid w:val="00B94299"/>
    <w:rsid w:val="00BC43ED"/>
    <w:rsid w:val="00BC5ED4"/>
    <w:rsid w:val="00BD26BF"/>
    <w:rsid w:val="00BD594F"/>
    <w:rsid w:val="00BD77D5"/>
    <w:rsid w:val="00BE11CD"/>
    <w:rsid w:val="00C11B10"/>
    <w:rsid w:val="00C15506"/>
    <w:rsid w:val="00C176A7"/>
    <w:rsid w:val="00C20291"/>
    <w:rsid w:val="00C2186B"/>
    <w:rsid w:val="00C25F1C"/>
    <w:rsid w:val="00C35986"/>
    <w:rsid w:val="00C40775"/>
    <w:rsid w:val="00C460B9"/>
    <w:rsid w:val="00C62E71"/>
    <w:rsid w:val="00C73D82"/>
    <w:rsid w:val="00C8122C"/>
    <w:rsid w:val="00C816EF"/>
    <w:rsid w:val="00C85A7D"/>
    <w:rsid w:val="00C87DF7"/>
    <w:rsid w:val="00C95148"/>
    <w:rsid w:val="00C97A02"/>
    <w:rsid w:val="00CA2B6E"/>
    <w:rsid w:val="00CA6D8B"/>
    <w:rsid w:val="00CB4DCE"/>
    <w:rsid w:val="00CD5C64"/>
    <w:rsid w:val="00CE253A"/>
    <w:rsid w:val="00CE6068"/>
    <w:rsid w:val="00D101F6"/>
    <w:rsid w:val="00D11C7E"/>
    <w:rsid w:val="00D14528"/>
    <w:rsid w:val="00D15AD0"/>
    <w:rsid w:val="00D21B3E"/>
    <w:rsid w:val="00D27FB3"/>
    <w:rsid w:val="00D43DBB"/>
    <w:rsid w:val="00D5479B"/>
    <w:rsid w:val="00D644C9"/>
    <w:rsid w:val="00D777CC"/>
    <w:rsid w:val="00DA4BFC"/>
    <w:rsid w:val="00DA7DFB"/>
    <w:rsid w:val="00DB04D8"/>
    <w:rsid w:val="00DB3FD6"/>
    <w:rsid w:val="00DC20A1"/>
    <w:rsid w:val="00DD7344"/>
    <w:rsid w:val="00DE75BF"/>
    <w:rsid w:val="00DF1E02"/>
    <w:rsid w:val="00E10976"/>
    <w:rsid w:val="00E20DF4"/>
    <w:rsid w:val="00E62177"/>
    <w:rsid w:val="00E64C7E"/>
    <w:rsid w:val="00EA6A72"/>
    <w:rsid w:val="00EB526A"/>
    <w:rsid w:val="00EB750D"/>
    <w:rsid w:val="00EE59DE"/>
    <w:rsid w:val="00EF3971"/>
    <w:rsid w:val="00EF76F1"/>
    <w:rsid w:val="00F0053D"/>
    <w:rsid w:val="00F02C09"/>
    <w:rsid w:val="00F217BE"/>
    <w:rsid w:val="00F25C0E"/>
    <w:rsid w:val="00F6136D"/>
    <w:rsid w:val="00F827AF"/>
    <w:rsid w:val="00F96996"/>
    <w:rsid w:val="00FB0A12"/>
    <w:rsid w:val="00FD2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2013-04-30T07:00:00+00:00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96D71B-C464-424F-B147-2C74ED176A5E}"/>
</file>

<file path=customXml/itemProps2.xml><?xml version="1.0" encoding="utf-8"?>
<ds:datastoreItem xmlns:ds="http://schemas.openxmlformats.org/officeDocument/2006/customXml" ds:itemID="{9AE856BF-CB81-46E0-A02F-AB2961E65E52}"/>
</file>

<file path=customXml/itemProps3.xml><?xml version="1.0" encoding="utf-8"?>
<ds:datastoreItem xmlns:ds="http://schemas.openxmlformats.org/officeDocument/2006/customXml" ds:itemID="{A551B33C-DBEC-40EF-B659-600819597FEE}"/>
</file>

<file path=customXml/itemProps4.xml><?xml version="1.0" encoding="utf-8"?>
<ds:datastoreItem xmlns:ds="http://schemas.openxmlformats.org/officeDocument/2006/customXml" ds:itemID="{EA56DE6D-B393-48A7-BBC2-8A3EDBAB67AE}"/>
</file>

<file path=docProps/app.xml><?xml version="1.0" encoding="utf-8"?>
<Properties xmlns="http://schemas.openxmlformats.org/officeDocument/2006/extended-properties" xmlns:vt="http://schemas.openxmlformats.org/officeDocument/2006/docPropsVTypes">
  <Template>Normal.dotm</Template>
  <TotalTime>0</TotalTime>
  <Pages>20</Pages>
  <Words>3639</Words>
  <Characters>21492</Characters>
  <Application>Microsoft Office Word</Application>
  <DocSecurity>0</DocSecurity>
  <Lines>179</Lines>
  <Paragraphs>50</Paragraphs>
  <ScaleCrop>false</ScaleCrop>
  <Manager/>
  <Company/>
  <LinksUpToDate>false</LinksUpToDate>
  <CharactersWithSpaces>25081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2013-04-30T20:03:00Z</dcterms:created>
  <dcterms:modified xsi:type="dcterms:W3CDTF">2013-04-30T20:03:00Z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