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347087" w:rsidTr="00F45919">
        <w:tc>
          <w:tcPr>
            <w:tcW w:w="4788" w:type="dxa"/>
          </w:tcPr>
          <w:p w:rsidR="00F86C06" w:rsidRPr="00347087" w:rsidRDefault="00F86C06" w:rsidP="00F45919">
            <w:pPr>
              <w:pStyle w:val="Header"/>
              <w:rPr>
                <w:rFonts w:cs="Times New Roman"/>
                <w:b/>
                <w:bCs/>
                <w:szCs w:val="24"/>
              </w:rPr>
            </w:pPr>
            <w:r w:rsidRPr="00347087">
              <w:rPr>
                <w:rFonts w:cs="Times New Roman"/>
                <w:b/>
                <w:bCs/>
                <w:szCs w:val="24"/>
              </w:rPr>
              <w:t>Avista Corp.</w:t>
            </w:r>
          </w:p>
          <w:p w:rsidR="00F86C06" w:rsidRPr="00347087" w:rsidRDefault="00F86C06" w:rsidP="00F45919">
            <w:pPr>
              <w:pStyle w:val="Header"/>
              <w:rPr>
                <w:rFonts w:cs="Times New Roman"/>
                <w:szCs w:val="24"/>
              </w:rPr>
            </w:pPr>
            <w:r w:rsidRPr="00347087">
              <w:rPr>
                <w:rFonts w:cs="Times New Roman"/>
                <w:szCs w:val="24"/>
              </w:rPr>
              <w:t>1411 East Mission   P.O. Box 3727</w:t>
            </w:r>
          </w:p>
          <w:p w:rsidR="00F86C06" w:rsidRPr="00347087" w:rsidRDefault="00344DC2" w:rsidP="00F45919">
            <w:pPr>
              <w:pStyle w:val="Header"/>
              <w:rPr>
                <w:rFonts w:cs="Times New Roman"/>
                <w:szCs w:val="24"/>
              </w:rPr>
            </w:pPr>
            <w:r w:rsidRPr="00347087">
              <w:rPr>
                <w:rFonts w:cs="Times New Roman"/>
                <w:szCs w:val="24"/>
              </w:rPr>
              <w:t>Spokane,</w:t>
            </w:r>
            <w:r w:rsidR="00F86C06" w:rsidRPr="00347087">
              <w:rPr>
                <w:rFonts w:cs="Times New Roman"/>
                <w:szCs w:val="24"/>
              </w:rPr>
              <w:t xml:space="preserve"> Washington  99220-0500</w:t>
            </w:r>
          </w:p>
          <w:p w:rsidR="00F86C06" w:rsidRPr="00347087" w:rsidRDefault="00F86C06" w:rsidP="00F45919">
            <w:pPr>
              <w:pStyle w:val="Header"/>
              <w:rPr>
                <w:rFonts w:cs="Times New Roman"/>
                <w:szCs w:val="24"/>
              </w:rPr>
            </w:pPr>
            <w:r w:rsidRPr="00347087">
              <w:rPr>
                <w:rFonts w:cs="Times New Roman"/>
                <w:szCs w:val="24"/>
              </w:rPr>
              <w:t>Telephone 509-489-0500</w:t>
            </w:r>
          </w:p>
          <w:p w:rsidR="00F86C06" w:rsidRPr="00347087" w:rsidRDefault="00F86C06" w:rsidP="00F45919">
            <w:pPr>
              <w:pStyle w:val="Header"/>
              <w:rPr>
                <w:rFonts w:cs="Times New Roman"/>
                <w:szCs w:val="24"/>
              </w:rPr>
            </w:pPr>
            <w:r w:rsidRPr="00347087">
              <w:rPr>
                <w:rFonts w:cs="Times New Roman"/>
                <w:szCs w:val="24"/>
              </w:rPr>
              <w:t>Toll Free   800-727-9170</w:t>
            </w:r>
          </w:p>
          <w:p w:rsidR="00F86C06" w:rsidRPr="00347087" w:rsidRDefault="00F86C06" w:rsidP="00F45919">
            <w:pPr>
              <w:pStyle w:val="Header"/>
              <w:rPr>
                <w:rFonts w:cs="Times New Roman"/>
                <w:b/>
                <w:bCs/>
                <w:szCs w:val="24"/>
              </w:rPr>
            </w:pPr>
          </w:p>
        </w:tc>
        <w:tc>
          <w:tcPr>
            <w:tcW w:w="4788" w:type="dxa"/>
          </w:tcPr>
          <w:p w:rsidR="00F86C06" w:rsidRPr="00347087" w:rsidRDefault="00F86C06" w:rsidP="00F45919">
            <w:pPr>
              <w:pStyle w:val="Header"/>
              <w:tabs>
                <w:tab w:val="left" w:pos="2232"/>
              </w:tabs>
              <w:rPr>
                <w:rFonts w:cs="Times New Roman"/>
                <w:b/>
                <w:bCs/>
                <w:szCs w:val="24"/>
              </w:rPr>
            </w:pPr>
            <w:r w:rsidRPr="00347087">
              <w:rPr>
                <w:rFonts w:cs="Times New Roman"/>
                <w:b/>
                <w:bCs/>
                <w:szCs w:val="24"/>
              </w:rPr>
              <w:t xml:space="preserve"> </w:t>
            </w:r>
            <w:r w:rsidRPr="00347087">
              <w:rPr>
                <w:rFonts w:cs="Times New Roman"/>
                <w:b/>
                <w:bCs/>
                <w:szCs w:val="24"/>
              </w:rPr>
              <w:tab/>
              <w:t xml:space="preserve"> </w:t>
            </w:r>
          </w:p>
        </w:tc>
      </w:tr>
    </w:tbl>
    <w:p w:rsidR="00F31804" w:rsidRPr="00347087" w:rsidRDefault="00F31804" w:rsidP="00F45919">
      <w:pPr>
        <w:pStyle w:val="NoSpacing"/>
        <w:ind w:right="-270"/>
        <w:jc w:val="both"/>
        <w:rPr>
          <w:rFonts w:cs="Times New Roman"/>
          <w:szCs w:val="24"/>
        </w:rPr>
      </w:pPr>
    </w:p>
    <w:p w:rsidR="00F45919" w:rsidRPr="00347087" w:rsidRDefault="00EA1B0C" w:rsidP="00F45919">
      <w:pPr>
        <w:pStyle w:val="NoSpacing"/>
        <w:ind w:right="-270"/>
        <w:jc w:val="both"/>
        <w:rPr>
          <w:rFonts w:cs="Times New Roman"/>
          <w:szCs w:val="24"/>
        </w:rPr>
      </w:pPr>
      <w:r>
        <w:rPr>
          <w:rFonts w:cs="Times New Roman"/>
          <w:szCs w:val="24"/>
        </w:rPr>
        <w:t>June</w:t>
      </w:r>
      <w:r w:rsidR="007E0655">
        <w:rPr>
          <w:rFonts w:cs="Times New Roman"/>
          <w:szCs w:val="24"/>
        </w:rPr>
        <w:t xml:space="preserve"> 1</w:t>
      </w:r>
      <w:r>
        <w:rPr>
          <w:rFonts w:cs="Times New Roman"/>
          <w:szCs w:val="24"/>
        </w:rPr>
        <w:t>7</w:t>
      </w:r>
      <w:r w:rsidR="007E0655">
        <w:rPr>
          <w:rFonts w:cs="Times New Roman"/>
          <w:szCs w:val="24"/>
        </w:rPr>
        <w:t>, 2015</w:t>
      </w:r>
    </w:p>
    <w:p w:rsidR="00DB7924" w:rsidRPr="00347087" w:rsidRDefault="00DB7924" w:rsidP="00F45919">
      <w:pPr>
        <w:pStyle w:val="NoSpacing"/>
        <w:ind w:right="-270"/>
        <w:jc w:val="both"/>
        <w:rPr>
          <w:rFonts w:cs="Times New Roman"/>
          <w:szCs w:val="24"/>
        </w:rPr>
      </w:pPr>
    </w:p>
    <w:p w:rsidR="00F45919" w:rsidRPr="00347087" w:rsidRDefault="00F45919" w:rsidP="00F45919">
      <w:pPr>
        <w:pStyle w:val="NoSpacing"/>
        <w:ind w:right="-270"/>
        <w:jc w:val="both"/>
        <w:rPr>
          <w:rFonts w:cs="Times New Roman"/>
          <w:b/>
          <w:i/>
          <w:szCs w:val="24"/>
        </w:rPr>
      </w:pPr>
      <w:r w:rsidRPr="00347087">
        <w:rPr>
          <w:rFonts w:cs="Times New Roman"/>
          <w:b/>
          <w:i/>
          <w:szCs w:val="24"/>
        </w:rPr>
        <w:t>Via Electronic Mail</w:t>
      </w:r>
    </w:p>
    <w:p w:rsidR="00F45919" w:rsidRPr="00347087" w:rsidRDefault="00F45919" w:rsidP="00F45919">
      <w:pPr>
        <w:pStyle w:val="NoSpacing"/>
        <w:ind w:right="-270"/>
        <w:jc w:val="both"/>
        <w:rPr>
          <w:rFonts w:cs="Times New Roman"/>
          <w:b/>
          <w:szCs w:val="24"/>
          <w:u w:val="single"/>
        </w:rPr>
      </w:pPr>
    </w:p>
    <w:p w:rsidR="00F45919" w:rsidRPr="00347087" w:rsidRDefault="00F45919" w:rsidP="00F45919">
      <w:pPr>
        <w:ind w:right="-270"/>
        <w:jc w:val="both"/>
        <w:rPr>
          <w:rFonts w:cs="Times New Roman"/>
          <w:szCs w:val="24"/>
        </w:rPr>
      </w:pPr>
      <w:r w:rsidRPr="00347087">
        <w:rPr>
          <w:rFonts w:cs="Times New Roman"/>
          <w:szCs w:val="24"/>
        </w:rPr>
        <w:t>Steven V. King</w:t>
      </w:r>
    </w:p>
    <w:p w:rsidR="00F45919" w:rsidRPr="00347087" w:rsidRDefault="00F45919" w:rsidP="00F45919">
      <w:pPr>
        <w:ind w:right="-270"/>
        <w:jc w:val="both"/>
        <w:rPr>
          <w:rFonts w:cs="Times New Roman"/>
          <w:szCs w:val="24"/>
        </w:rPr>
      </w:pPr>
      <w:r w:rsidRPr="00347087">
        <w:rPr>
          <w:rFonts w:cs="Times New Roman"/>
          <w:szCs w:val="24"/>
        </w:rPr>
        <w:t>Executive Director and Secretary</w:t>
      </w:r>
    </w:p>
    <w:p w:rsidR="00F45919" w:rsidRPr="00347087" w:rsidRDefault="00F45919" w:rsidP="00F45919">
      <w:pPr>
        <w:ind w:right="-270"/>
        <w:jc w:val="both"/>
        <w:rPr>
          <w:rFonts w:cs="Times New Roman"/>
          <w:szCs w:val="24"/>
        </w:rPr>
      </w:pPr>
      <w:r w:rsidRPr="00347087">
        <w:rPr>
          <w:rFonts w:cs="Times New Roman"/>
          <w:szCs w:val="24"/>
        </w:rPr>
        <w:t>Washington Utilities &amp; Transportation Commission</w:t>
      </w:r>
    </w:p>
    <w:p w:rsidR="00F45919" w:rsidRPr="00347087" w:rsidRDefault="00F45919" w:rsidP="00F45919">
      <w:pPr>
        <w:ind w:right="-270"/>
        <w:jc w:val="both"/>
        <w:rPr>
          <w:rFonts w:cs="Times New Roman"/>
          <w:szCs w:val="24"/>
        </w:rPr>
      </w:pPr>
      <w:r w:rsidRPr="00347087">
        <w:rPr>
          <w:rFonts w:cs="Times New Roman"/>
          <w:szCs w:val="24"/>
        </w:rPr>
        <w:t>1300 S. Evergreen Park Drive S</w:t>
      </w:r>
      <w:r w:rsidR="002823D9" w:rsidRPr="00347087">
        <w:rPr>
          <w:rFonts w:cs="Times New Roman"/>
          <w:szCs w:val="24"/>
        </w:rPr>
        <w:t>.</w:t>
      </w:r>
      <w:r w:rsidRPr="00347087">
        <w:rPr>
          <w:rFonts w:cs="Times New Roman"/>
          <w:szCs w:val="24"/>
        </w:rPr>
        <w:t>W.</w:t>
      </w:r>
    </w:p>
    <w:p w:rsidR="00F45919" w:rsidRPr="00347087" w:rsidRDefault="00F45919" w:rsidP="00F45919">
      <w:pPr>
        <w:ind w:right="-270"/>
        <w:jc w:val="both"/>
        <w:rPr>
          <w:rFonts w:cs="Times New Roman"/>
          <w:szCs w:val="24"/>
        </w:rPr>
      </w:pPr>
      <w:r w:rsidRPr="00347087">
        <w:rPr>
          <w:rFonts w:cs="Times New Roman"/>
          <w:szCs w:val="24"/>
        </w:rPr>
        <w:t>P.O. Box 47250</w:t>
      </w:r>
    </w:p>
    <w:p w:rsidR="00F45919" w:rsidRPr="00347087" w:rsidRDefault="00F45919" w:rsidP="00B1008C">
      <w:pPr>
        <w:tabs>
          <w:tab w:val="left" w:pos="5625"/>
        </w:tabs>
        <w:ind w:right="-270"/>
        <w:jc w:val="both"/>
        <w:rPr>
          <w:rFonts w:cs="Times New Roman"/>
          <w:szCs w:val="24"/>
        </w:rPr>
      </w:pPr>
      <w:r w:rsidRPr="00347087">
        <w:rPr>
          <w:rFonts w:cs="Times New Roman"/>
          <w:szCs w:val="24"/>
        </w:rPr>
        <w:t>Olympia, Washington  98504-7250</w:t>
      </w:r>
      <w:r w:rsidR="00B1008C" w:rsidRPr="00347087">
        <w:rPr>
          <w:rFonts w:cs="Times New Roman"/>
          <w:szCs w:val="24"/>
        </w:rPr>
        <w:tab/>
      </w:r>
    </w:p>
    <w:p w:rsidR="00F45919" w:rsidRPr="00347087" w:rsidRDefault="00F45919" w:rsidP="00F45919">
      <w:pPr>
        <w:pStyle w:val="NoSpacing"/>
        <w:ind w:right="-270"/>
        <w:jc w:val="both"/>
        <w:rPr>
          <w:rFonts w:cs="Times New Roman"/>
          <w:b/>
          <w:szCs w:val="24"/>
          <w:u w:val="single"/>
        </w:rPr>
      </w:pPr>
    </w:p>
    <w:p w:rsidR="00EA1B0C" w:rsidRPr="00347087" w:rsidRDefault="00F45919" w:rsidP="00EA1B0C">
      <w:pPr>
        <w:pStyle w:val="NoSpacing"/>
        <w:ind w:left="720" w:hanging="720"/>
        <w:jc w:val="both"/>
        <w:rPr>
          <w:rFonts w:cs="Times New Roman"/>
          <w:szCs w:val="24"/>
        </w:rPr>
      </w:pPr>
      <w:r w:rsidRPr="00347087">
        <w:rPr>
          <w:rFonts w:cs="Times New Roman"/>
          <w:szCs w:val="24"/>
        </w:rPr>
        <w:t>Re:</w:t>
      </w:r>
      <w:r w:rsidRPr="00347087">
        <w:rPr>
          <w:rFonts w:cs="Times New Roman"/>
          <w:szCs w:val="24"/>
        </w:rPr>
        <w:tab/>
      </w:r>
      <w:r w:rsidR="00D96E8B" w:rsidRPr="00347087">
        <w:rPr>
          <w:rFonts w:cs="Times New Roman"/>
          <w:szCs w:val="24"/>
        </w:rPr>
        <w:t>Docket No</w:t>
      </w:r>
      <w:r w:rsidR="002823D9" w:rsidRPr="00347087">
        <w:rPr>
          <w:rFonts w:cs="Times New Roman"/>
          <w:szCs w:val="24"/>
        </w:rPr>
        <w:t xml:space="preserve">. </w:t>
      </w:r>
      <w:r w:rsidR="00D96E8B" w:rsidRPr="00347087">
        <w:rPr>
          <w:rFonts w:cs="Times New Roman"/>
          <w:szCs w:val="24"/>
        </w:rPr>
        <w:t>U</w:t>
      </w:r>
      <w:r w:rsidR="00E56E77" w:rsidRPr="00347087">
        <w:rPr>
          <w:rFonts w:cs="Times New Roman"/>
          <w:szCs w:val="24"/>
        </w:rPr>
        <w:t>-140621</w:t>
      </w:r>
      <w:r w:rsidR="00D96E8B" w:rsidRPr="00347087">
        <w:rPr>
          <w:rFonts w:cs="Times New Roman"/>
          <w:szCs w:val="24"/>
        </w:rPr>
        <w:t xml:space="preserve"> </w:t>
      </w:r>
      <w:r w:rsidR="00DB7924" w:rsidRPr="00347087">
        <w:rPr>
          <w:rFonts w:cs="Times New Roman"/>
          <w:szCs w:val="24"/>
        </w:rPr>
        <w:t>–</w:t>
      </w:r>
      <w:r w:rsidR="00D96E8B" w:rsidRPr="00347087">
        <w:rPr>
          <w:rFonts w:cs="Times New Roman"/>
          <w:szCs w:val="24"/>
        </w:rPr>
        <w:t xml:space="preserve"> </w:t>
      </w:r>
      <w:r w:rsidR="00EA1B0C">
        <w:rPr>
          <w:rFonts w:cs="Times New Roman"/>
          <w:szCs w:val="24"/>
        </w:rPr>
        <w:t>Cost Impact Reply</w:t>
      </w:r>
      <w:r w:rsidR="00DB7924" w:rsidRPr="00347087">
        <w:rPr>
          <w:rFonts w:cs="Times New Roman"/>
          <w:szCs w:val="24"/>
        </w:rPr>
        <w:t xml:space="preserve"> </w:t>
      </w:r>
      <w:r w:rsidR="008A797C" w:rsidRPr="00347087">
        <w:rPr>
          <w:rFonts w:cs="Times New Roman"/>
          <w:szCs w:val="24"/>
        </w:rPr>
        <w:t>Comments of Avista Utilities</w:t>
      </w:r>
    </w:p>
    <w:p w:rsidR="00F45919" w:rsidRPr="00347087" w:rsidRDefault="00F45919" w:rsidP="00F45919">
      <w:pPr>
        <w:pStyle w:val="NoSpacing"/>
        <w:ind w:right="-270"/>
        <w:jc w:val="both"/>
        <w:rPr>
          <w:rFonts w:cs="Times New Roman"/>
          <w:szCs w:val="24"/>
        </w:rPr>
      </w:pPr>
    </w:p>
    <w:p w:rsidR="00AE3FE6" w:rsidRPr="00347087" w:rsidRDefault="00AE3FE6" w:rsidP="009938DD">
      <w:pPr>
        <w:pStyle w:val="NoSpacing"/>
        <w:spacing w:line="360" w:lineRule="auto"/>
        <w:ind w:firstLine="720"/>
        <w:jc w:val="both"/>
        <w:rPr>
          <w:rFonts w:cs="Times New Roman"/>
          <w:szCs w:val="24"/>
        </w:rPr>
      </w:pPr>
      <w:r w:rsidRPr="00347087">
        <w:rPr>
          <w:rFonts w:cs="Times New Roman"/>
          <w:szCs w:val="24"/>
        </w:rPr>
        <w:t>Avista Corporation, dba Avista Utilities (</w:t>
      </w:r>
      <w:r w:rsidR="007317C5" w:rsidRPr="00347087">
        <w:rPr>
          <w:rFonts w:cs="Times New Roman"/>
          <w:szCs w:val="24"/>
        </w:rPr>
        <w:t>“</w:t>
      </w:r>
      <w:r w:rsidRPr="00347087">
        <w:rPr>
          <w:rFonts w:cs="Times New Roman"/>
          <w:szCs w:val="24"/>
        </w:rPr>
        <w:t>Avista</w:t>
      </w:r>
      <w:r w:rsidR="007317C5" w:rsidRPr="00347087">
        <w:rPr>
          <w:rFonts w:cs="Times New Roman"/>
          <w:szCs w:val="24"/>
        </w:rPr>
        <w:t>”</w:t>
      </w:r>
      <w:r w:rsidRPr="00347087">
        <w:rPr>
          <w:rFonts w:cs="Times New Roman"/>
          <w:szCs w:val="24"/>
        </w:rPr>
        <w:t xml:space="preserve"> or </w:t>
      </w:r>
      <w:r w:rsidR="007317C5" w:rsidRPr="00347087">
        <w:rPr>
          <w:rFonts w:cs="Times New Roman"/>
          <w:szCs w:val="24"/>
        </w:rPr>
        <w:t>“</w:t>
      </w:r>
      <w:r w:rsidRPr="00347087">
        <w:rPr>
          <w:rFonts w:cs="Times New Roman"/>
          <w:szCs w:val="24"/>
        </w:rPr>
        <w:t>Company</w:t>
      </w:r>
      <w:r w:rsidR="007317C5" w:rsidRPr="00347087">
        <w:rPr>
          <w:rFonts w:cs="Times New Roman"/>
          <w:szCs w:val="24"/>
        </w:rPr>
        <w:t>”</w:t>
      </w:r>
      <w:r w:rsidRPr="00347087">
        <w:rPr>
          <w:rFonts w:cs="Times New Roman"/>
          <w:szCs w:val="24"/>
        </w:rPr>
        <w:t xml:space="preserve">), submits the following </w:t>
      </w:r>
      <w:r w:rsidR="00B51A03">
        <w:rPr>
          <w:rFonts w:cs="Times New Roman"/>
          <w:szCs w:val="24"/>
        </w:rPr>
        <w:t>R</w:t>
      </w:r>
      <w:r w:rsidR="00A2380F" w:rsidRPr="00347087">
        <w:rPr>
          <w:rFonts w:cs="Times New Roman"/>
          <w:szCs w:val="24"/>
        </w:rPr>
        <w:t xml:space="preserve">eply </w:t>
      </w:r>
      <w:r w:rsidR="00B51A03">
        <w:rPr>
          <w:rFonts w:cs="Times New Roman"/>
          <w:szCs w:val="24"/>
        </w:rPr>
        <w:t>C</w:t>
      </w:r>
      <w:r w:rsidRPr="00347087">
        <w:rPr>
          <w:rFonts w:cs="Times New Roman"/>
          <w:szCs w:val="24"/>
        </w:rPr>
        <w:t>omments in accordance with the Washington Utilities and Transportation Commission’s (</w:t>
      </w:r>
      <w:r w:rsidR="007317C5" w:rsidRPr="00347087">
        <w:rPr>
          <w:rFonts w:cs="Times New Roman"/>
          <w:szCs w:val="24"/>
        </w:rPr>
        <w:t>“</w:t>
      </w:r>
      <w:r w:rsidRPr="00347087">
        <w:rPr>
          <w:rFonts w:cs="Times New Roman"/>
          <w:szCs w:val="24"/>
        </w:rPr>
        <w:t>Commission</w:t>
      </w:r>
      <w:r w:rsidR="00E21B92">
        <w:rPr>
          <w:rFonts w:cs="Times New Roman"/>
          <w:szCs w:val="24"/>
        </w:rPr>
        <w:t>’s</w:t>
      </w:r>
      <w:r w:rsidR="007317C5" w:rsidRPr="00347087">
        <w:rPr>
          <w:rFonts w:cs="Times New Roman"/>
          <w:szCs w:val="24"/>
        </w:rPr>
        <w:t>”</w:t>
      </w:r>
      <w:r w:rsidRPr="00347087">
        <w:rPr>
          <w:rFonts w:cs="Times New Roman"/>
          <w:szCs w:val="24"/>
        </w:rPr>
        <w:t>) Notice of Opportunity to</w:t>
      </w:r>
      <w:r w:rsidR="00903BA6" w:rsidRPr="00347087">
        <w:rPr>
          <w:rFonts w:cs="Times New Roman"/>
          <w:szCs w:val="24"/>
        </w:rPr>
        <w:t xml:space="preserve"> </w:t>
      </w:r>
      <w:r w:rsidR="00347DDB">
        <w:rPr>
          <w:rFonts w:cs="Times New Roman"/>
          <w:szCs w:val="24"/>
        </w:rPr>
        <w:t>Respond to Small Business Economic Impact Statement (SBEIS) Questionnaire</w:t>
      </w:r>
      <w:r w:rsidRPr="00347087">
        <w:rPr>
          <w:rFonts w:cs="Times New Roman"/>
          <w:szCs w:val="24"/>
        </w:rPr>
        <w:t xml:space="preserve"> (</w:t>
      </w:r>
      <w:r w:rsidR="007317C5" w:rsidRPr="00347087">
        <w:rPr>
          <w:rFonts w:cs="Times New Roman"/>
          <w:szCs w:val="24"/>
        </w:rPr>
        <w:t>“</w:t>
      </w:r>
      <w:r w:rsidRPr="00347087">
        <w:rPr>
          <w:rFonts w:cs="Times New Roman"/>
          <w:szCs w:val="24"/>
        </w:rPr>
        <w:t>Notice</w:t>
      </w:r>
      <w:r w:rsidR="007317C5" w:rsidRPr="00347087">
        <w:rPr>
          <w:rFonts w:cs="Times New Roman"/>
          <w:szCs w:val="24"/>
        </w:rPr>
        <w:t>”</w:t>
      </w:r>
      <w:r w:rsidRPr="00347087">
        <w:rPr>
          <w:rFonts w:cs="Times New Roman"/>
          <w:szCs w:val="24"/>
        </w:rPr>
        <w:t xml:space="preserve">) issued </w:t>
      </w:r>
      <w:r w:rsidR="00347DDB">
        <w:rPr>
          <w:rFonts w:cs="Times New Roman"/>
          <w:szCs w:val="24"/>
        </w:rPr>
        <w:t>May</w:t>
      </w:r>
      <w:r w:rsidR="00903BA6" w:rsidRPr="00347087">
        <w:rPr>
          <w:rFonts w:cs="Times New Roman"/>
          <w:szCs w:val="24"/>
        </w:rPr>
        <w:t xml:space="preserve"> 2</w:t>
      </w:r>
      <w:r w:rsidR="00347DDB">
        <w:rPr>
          <w:rFonts w:cs="Times New Roman"/>
          <w:szCs w:val="24"/>
        </w:rPr>
        <w:t>7</w:t>
      </w:r>
      <w:r w:rsidR="00B1008C" w:rsidRPr="00347087">
        <w:rPr>
          <w:rFonts w:cs="Times New Roman"/>
          <w:szCs w:val="24"/>
        </w:rPr>
        <w:t>, 2015</w:t>
      </w:r>
      <w:r w:rsidRPr="00347087">
        <w:rPr>
          <w:rFonts w:cs="Times New Roman"/>
          <w:szCs w:val="24"/>
        </w:rPr>
        <w:t xml:space="preserve"> in Docket U-140621.</w:t>
      </w:r>
    </w:p>
    <w:p w:rsidR="00B57C5B" w:rsidRDefault="00AE3FE6" w:rsidP="003F19ED">
      <w:pPr>
        <w:pStyle w:val="NoSpacing"/>
        <w:tabs>
          <w:tab w:val="left" w:pos="4500"/>
        </w:tabs>
        <w:spacing w:line="360" w:lineRule="auto"/>
        <w:ind w:firstLine="720"/>
        <w:jc w:val="both"/>
        <w:rPr>
          <w:rFonts w:cs="Times New Roman"/>
          <w:szCs w:val="24"/>
        </w:rPr>
      </w:pPr>
      <w:r w:rsidRPr="00347087">
        <w:rPr>
          <w:rFonts w:cs="Times New Roman"/>
          <w:szCs w:val="24"/>
        </w:rPr>
        <w:t xml:space="preserve">Avista appreciates the opportunity to </w:t>
      </w:r>
      <w:r w:rsidR="00347DDB">
        <w:rPr>
          <w:rFonts w:cs="Times New Roman"/>
          <w:szCs w:val="24"/>
        </w:rPr>
        <w:t xml:space="preserve">provide information related to the estimated cost impact and additional expenses related to Third Revised Draft Rules.  </w:t>
      </w:r>
    </w:p>
    <w:p w:rsidR="00FD6747" w:rsidRDefault="00FD6747" w:rsidP="003F19ED">
      <w:pPr>
        <w:pStyle w:val="NoSpacing"/>
        <w:tabs>
          <w:tab w:val="left" w:pos="4500"/>
        </w:tabs>
        <w:spacing w:line="360" w:lineRule="auto"/>
        <w:ind w:firstLine="720"/>
        <w:jc w:val="both"/>
        <w:rPr>
          <w:rFonts w:cs="Times New Roman"/>
          <w:szCs w:val="24"/>
        </w:rPr>
      </w:pPr>
    </w:p>
    <w:p w:rsidR="00D272E4" w:rsidRPr="00347087" w:rsidRDefault="00D272E4" w:rsidP="00782873">
      <w:pPr>
        <w:pStyle w:val="Heading1"/>
        <w:tabs>
          <w:tab w:val="clear" w:pos="720"/>
        </w:tabs>
        <w:spacing w:after="0" w:line="360" w:lineRule="auto"/>
        <w:ind w:left="0" w:firstLine="0"/>
        <w:jc w:val="center"/>
        <w:rPr>
          <w:rFonts w:cs="Times New Roman"/>
          <w:szCs w:val="24"/>
        </w:rPr>
      </w:pPr>
      <w:r w:rsidRPr="00347087">
        <w:rPr>
          <w:rFonts w:cs="Times New Roman"/>
          <w:szCs w:val="24"/>
        </w:rPr>
        <w:t>480-54-020 DEFINITIONS</w:t>
      </w:r>
    </w:p>
    <w:p w:rsidR="00347DDB" w:rsidRDefault="00347DDB" w:rsidP="00204C75">
      <w:pPr>
        <w:spacing w:before="100" w:beforeAutospacing="1" w:after="100" w:afterAutospacing="1" w:line="240" w:lineRule="auto"/>
        <w:jc w:val="both"/>
        <w:rPr>
          <w:rFonts w:cs="Times New Roman"/>
          <w:b/>
          <w:szCs w:val="24"/>
        </w:rPr>
      </w:pPr>
      <w:r>
        <w:rPr>
          <w:rFonts w:cs="Times New Roman"/>
          <w:b/>
          <w:szCs w:val="24"/>
        </w:rPr>
        <w:t>480-54-020(</w:t>
      </w:r>
      <w:r w:rsidR="00387BA9">
        <w:rPr>
          <w:rFonts w:cs="Times New Roman"/>
          <w:b/>
          <w:szCs w:val="24"/>
        </w:rPr>
        <w:t>11</w:t>
      </w:r>
      <w:r>
        <w:rPr>
          <w:rFonts w:cs="Times New Roman"/>
          <w:b/>
          <w:szCs w:val="24"/>
        </w:rPr>
        <w:t xml:space="preserve">) </w:t>
      </w:r>
      <w:r w:rsidR="00387BA9">
        <w:rPr>
          <w:rFonts w:cs="Times New Roman"/>
          <w:b/>
          <w:szCs w:val="24"/>
        </w:rPr>
        <w:t xml:space="preserve">Net Cost of a Bare Pole </w:t>
      </w:r>
      <w:r>
        <w:rPr>
          <w:rFonts w:cs="Times New Roman"/>
          <w:b/>
          <w:szCs w:val="24"/>
        </w:rPr>
        <w:t xml:space="preserve">Definition </w:t>
      </w:r>
      <w:r w:rsidR="00387BA9">
        <w:rPr>
          <w:rFonts w:cs="Times New Roman"/>
          <w:b/>
          <w:szCs w:val="24"/>
        </w:rPr>
        <w:t>Allows Phone Companies to Charge Higher Rates</w:t>
      </w:r>
      <w:r>
        <w:rPr>
          <w:rFonts w:cs="Times New Roman"/>
          <w:b/>
          <w:szCs w:val="24"/>
        </w:rPr>
        <w:t xml:space="preserve"> </w:t>
      </w:r>
    </w:p>
    <w:p w:rsidR="00F9007C" w:rsidRDefault="00387BA9" w:rsidP="00204C75">
      <w:pPr>
        <w:spacing w:line="360" w:lineRule="auto"/>
        <w:ind w:firstLine="720"/>
        <w:jc w:val="both"/>
        <w:rPr>
          <w:rFonts w:cs="Times New Roman"/>
          <w:szCs w:val="24"/>
        </w:rPr>
      </w:pPr>
      <w:r>
        <w:rPr>
          <w:rFonts w:cs="Times New Roman"/>
          <w:szCs w:val="24"/>
        </w:rPr>
        <w:t xml:space="preserve">ILECs have “super depreciated” their pole plant over the years so that </w:t>
      </w:r>
      <w:r w:rsidR="00E551F9">
        <w:rPr>
          <w:rFonts w:cs="Times New Roman"/>
          <w:szCs w:val="24"/>
        </w:rPr>
        <w:t>it</w:t>
      </w:r>
      <w:r>
        <w:rPr>
          <w:rFonts w:cs="Times New Roman"/>
          <w:szCs w:val="24"/>
        </w:rPr>
        <w:t xml:space="preserve"> may now have a negative value.  To illustrate this, the depreciation carryin</w:t>
      </w:r>
      <w:r w:rsidR="00785D3B">
        <w:rPr>
          <w:rFonts w:cs="Times New Roman"/>
          <w:szCs w:val="24"/>
        </w:rPr>
        <w:t>g charge factor that Avista used in 2014</w:t>
      </w:r>
      <w:r>
        <w:rPr>
          <w:rFonts w:cs="Times New Roman"/>
          <w:szCs w:val="24"/>
        </w:rPr>
        <w:t xml:space="preserve"> </w:t>
      </w:r>
      <w:r w:rsidR="00E551F9">
        <w:rPr>
          <w:rFonts w:cs="Times New Roman"/>
          <w:szCs w:val="24"/>
        </w:rPr>
        <w:t xml:space="preserve">joint use rate calculations </w:t>
      </w:r>
      <w:r>
        <w:rPr>
          <w:rFonts w:cs="Times New Roman"/>
          <w:szCs w:val="24"/>
        </w:rPr>
        <w:t>is</w:t>
      </w:r>
      <w:r w:rsidR="00990135">
        <w:rPr>
          <w:rFonts w:cs="Times New Roman"/>
          <w:szCs w:val="24"/>
        </w:rPr>
        <w:t xml:space="preserve"> 2.91%.  As an example, Frontier’s same factor </w:t>
      </w:r>
      <w:r w:rsidR="00E551F9">
        <w:rPr>
          <w:rFonts w:cs="Times New Roman"/>
          <w:szCs w:val="24"/>
        </w:rPr>
        <w:t xml:space="preserve">in their rates as </w:t>
      </w:r>
      <w:r w:rsidR="00990135">
        <w:rPr>
          <w:rFonts w:cs="Times New Roman"/>
          <w:szCs w:val="24"/>
        </w:rPr>
        <w:lastRenderedPageBreak/>
        <w:t xml:space="preserve">reported to Avista is 27.36%.  Once the plant essentially has no value, the alternative </w:t>
      </w:r>
      <w:r w:rsidR="00785D3B">
        <w:rPr>
          <w:rFonts w:cs="Times New Roman"/>
          <w:szCs w:val="24"/>
        </w:rPr>
        <w:t xml:space="preserve">gross-cost </w:t>
      </w:r>
      <w:r w:rsidR="00990135">
        <w:rPr>
          <w:rFonts w:cs="Times New Roman"/>
          <w:szCs w:val="24"/>
        </w:rPr>
        <w:t xml:space="preserve">formula allows the rates to be re-inflated, creating a double win for the ILEC pole owner.  It is unclear how this will be applied by ILECs in the </w:t>
      </w:r>
      <w:r w:rsidR="00667919">
        <w:rPr>
          <w:rFonts w:cs="Times New Roman"/>
          <w:szCs w:val="24"/>
        </w:rPr>
        <w:t>future;</w:t>
      </w:r>
      <w:r w:rsidR="00990135">
        <w:rPr>
          <w:rFonts w:cs="Times New Roman"/>
          <w:szCs w:val="24"/>
        </w:rPr>
        <w:t xml:space="preserve"> </w:t>
      </w:r>
      <w:r w:rsidR="00667919">
        <w:rPr>
          <w:rFonts w:cs="Times New Roman"/>
          <w:szCs w:val="24"/>
        </w:rPr>
        <w:t>however, a comparison can be made between Washington and Idaho.  In Washington, the standard formula has allowed Frontier pole</w:t>
      </w:r>
      <w:r w:rsidR="00725B91">
        <w:rPr>
          <w:rFonts w:cs="Times New Roman"/>
          <w:szCs w:val="24"/>
        </w:rPr>
        <w:t xml:space="preserve"> rates</w:t>
      </w:r>
      <w:r w:rsidR="00667919">
        <w:rPr>
          <w:rFonts w:cs="Times New Roman"/>
          <w:szCs w:val="24"/>
        </w:rPr>
        <w:t xml:space="preserve"> to increase a moderate 25% </w:t>
      </w:r>
      <w:r w:rsidR="00725B91">
        <w:rPr>
          <w:rFonts w:cs="Times New Roman"/>
          <w:szCs w:val="24"/>
        </w:rPr>
        <w:t xml:space="preserve">over </w:t>
      </w:r>
      <w:r w:rsidR="00667919">
        <w:rPr>
          <w:rFonts w:cs="Times New Roman"/>
          <w:szCs w:val="24"/>
        </w:rPr>
        <w:t xml:space="preserve">the previous 5 years.  However, in Idaho where Frontier uses the gross-cost formula, rates have increased by 117% </w:t>
      </w:r>
      <w:r w:rsidR="00725B91">
        <w:rPr>
          <w:rFonts w:cs="Times New Roman"/>
          <w:szCs w:val="24"/>
        </w:rPr>
        <w:t>within</w:t>
      </w:r>
      <w:r w:rsidR="00667919">
        <w:rPr>
          <w:rFonts w:cs="Times New Roman"/>
          <w:szCs w:val="24"/>
        </w:rPr>
        <w:t xml:space="preserve"> the same period.  A conservative estimate for this change would be </w:t>
      </w:r>
      <w:r w:rsidR="00667919" w:rsidRPr="00CB1541">
        <w:rPr>
          <w:rFonts w:cs="Times New Roman"/>
          <w:szCs w:val="24"/>
          <w:u w:val="single"/>
        </w:rPr>
        <w:t>$</w:t>
      </w:r>
      <w:r w:rsidR="00CB1541" w:rsidRPr="00CB1541">
        <w:rPr>
          <w:rFonts w:cs="Times New Roman"/>
          <w:szCs w:val="24"/>
          <w:u w:val="single"/>
        </w:rPr>
        <w:t>20</w:t>
      </w:r>
      <w:r w:rsidR="00667919" w:rsidRPr="00CB1541">
        <w:rPr>
          <w:rFonts w:cs="Times New Roman"/>
          <w:szCs w:val="24"/>
          <w:u w:val="single"/>
        </w:rPr>
        <w:t>,000</w:t>
      </w:r>
      <w:r w:rsidR="00667919">
        <w:rPr>
          <w:rFonts w:cs="Times New Roman"/>
          <w:szCs w:val="24"/>
        </w:rPr>
        <w:t xml:space="preserve"> annually based on total annual pole rental cost</w:t>
      </w:r>
      <w:r w:rsidR="002533FB">
        <w:rPr>
          <w:rFonts w:cs="Times New Roman"/>
          <w:szCs w:val="24"/>
        </w:rPr>
        <w:t>s that Avista pays</w:t>
      </w:r>
      <w:r w:rsidR="00667919">
        <w:rPr>
          <w:rFonts w:cs="Times New Roman"/>
          <w:szCs w:val="24"/>
        </w:rPr>
        <w:t xml:space="preserve"> to others </w:t>
      </w:r>
      <w:r w:rsidR="00BB5036">
        <w:rPr>
          <w:rFonts w:cs="Times New Roman"/>
          <w:szCs w:val="24"/>
        </w:rPr>
        <w:t xml:space="preserve">in Washington State currently at </w:t>
      </w:r>
      <w:r w:rsidR="00667919">
        <w:rPr>
          <w:rFonts w:cs="Times New Roman"/>
          <w:szCs w:val="24"/>
        </w:rPr>
        <w:t>$</w:t>
      </w:r>
      <w:r w:rsidR="002533FB">
        <w:rPr>
          <w:rFonts w:cs="Times New Roman"/>
          <w:szCs w:val="24"/>
        </w:rPr>
        <w:t>120</w:t>
      </w:r>
      <w:r w:rsidR="00667919">
        <w:rPr>
          <w:rFonts w:cs="Times New Roman"/>
          <w:szCs w:val="24"/>
        </w:rPr>
        <w:t xml:space="preserve">,000.  </w:t>
      </w:r>
    </w:p>
    <w:p w:rsidR="00F9007C" w:rsidRDefault="00F9007C" w:rsidP="00204C75">
      <w:pPr>
        <w:spacing w:before="100" w:beforeAutospacing="1" w:after="100" w:afterAutospacing="1" w:line="240" w:lineRule="auto"/>
        <w:jc w:val="both"/>
        <w:rPr>
          <w:rFonts w:cs="Times New Roman"/>
          <w:b/>
          <w:szCs w:val="24"/>
        </w:rPr>
      </w:pPr>
      <w:r>
        <w:rPr>
          <w:rFonts w:cs="Times New Roman"/>
          <w:b/>
          <w:szCs w:val="24"/>
        </w:rPr>
        <w:t xml:space="preserve">480-54-020(20) Usable Space Definition Lowers Rates at the Smallest Common Denominator </w:t>
      </w:r>
    </w:p>
    <w:p w:rsidR="00F9007C" w:rsidRDefault="00F9007C" w:rsidP="00204C75">
      <w:pPr>
        <w:spacing w:line="360" w:lineRule="auto"/>
        <w:ind w:firstLine="720"/>
        <w:jc w:val="both"/>
        <w:rPr>
          <w:rFonts w:cs="Times New Roman"/>
          <w:szCs w:val="24"/>
        </w:rPr>
      </w:pPr>
      <w:r>
        <w:rPr>
          <w:rFonts w:cs="Times New Roman"/>
          <w:szCs w:val="24"/>
        </w:rPr>
        <w:t xml:space="preserve">The </w:t>
      </w:r>
      <w:r w:rsidR="00BB5036">
        <w:rPr>
          <w:rFonts w:cs="Times New Roman"/>
          <w:szCs w:val="24"/>
        </w:rPr>
        <w:t>presumption</w:t>
      </w:r>
      <w:r>
        <w:rPr>
          <w:rFonts w:cs="Times New Roman"/>
          <w:szCs w:val="24"/>
        </w:rPr>
        <w:t xml:space="preserve"> that a pole is </w:t>
      </w:r>
      <w:r w:rsidR="00BB5036">
        <w:rPr>
          <w:rFonts w:cs="Times New Roman"/>
          <w:szCs w:val="24"/>
        </w:rPr>
        <w:t>assumed</w:t>
      </w:r>
      <w:r>
        <w:rPr>
          <w:rFonts w:cs="Times New Roman"/>
          <w:szCs w:val="24"/>
        </w:rPr>
        <w:t xml:space="preserve"> to have 13.5-feet of useable space is contrary to existing agreements and includes safety space preserved to protect communication workers.  While this does align with the FCC formulas, </w:t>
      </w:r>
      <w:r w:rsidR="00BB5036">
        <w:rPr>
          <w:rFonts w:cs="Times New Roman"/>
          <w:szCs w:val="24"/>
        </w:rPr>
        <w:t>this</w:t>
      </w:r>
      <w:r>
        <w:rPr>
          <w:rFonts w:cs="Times New Roman"/>
          <w:szCs w:val="24"/>
        </w:rPr>
        <w:t xml:space="preserve"> reduction in rates </w:t>
      </w:r>
      <w:r w:rsidR="00BB5036">
        <w:rPr>
          <w:rFonts w:cs="Times New Roman"/>
          <w:szCs w:val="24"/>
        </w:rPr>
        <w:t>will result</w:t>
      </w:r>
      <w:r>
        <w:rPr>
          <w:rFonts w:cs="Times New Roman"/>
          <w:szCs w:val="24"/>
        </w:rPr>
        <w:t xml:space="preserve"> in the conveyance of a subsidy from our customers to the telecommunication, cable and all other companies that will now seek attachment.  This single change drastically reduces annual pole attachment revenue by 26% from TV and </w:t>
      </w:r>
      <w:r w:rsidR="00BB5036">
        <w:rPr>
          <w:rFonts w:cs="Times New Roman"/>
          <w:szCs w:val="24"/>
        </w:rPr>
        <w:t xml:space="preserve">ILEC </w:t>
      </w:r>
      <w:r>
        <w:rPr>
          <w:rFonts w:cs="Times New Roman"/>
          <w:szCs w:val="24"/>
        </w:rPr>
        <w:t xml:space="preserve">phone providers.  </w:t>
      </w:r>
    </w:p>
    <w:p w:rsidR="00F9007C" w:rsidRDefault="00F9007C" w:rsidP="00204C75">
      <w:pPr>
        <w:spacing w:line="360" w:lineRule="auto"/>
        <w:ind w:firstLine="720"/>
        <w:jc w:val="both"/>
        <w:rPr>
          <w:rFonts w:cs="Times New Roman"/>
          <w:szCs w:val="24"/>
        </w:rPr>
      </w:pPr>
      <w:r>
        <w:rPr>
          <w:rFonts w:cs="Times New Roman"/>
          <w:szCs w:val="24"/>
        </w:rPr>
        <w:t xml:space="preserve">The changed pole formula will create an estimated </w:t>
      </w:r>
      <w:r w:rsidRPr="00CB1541">
        <w:rPr>
          <w:rFonts w:cs="Times New Roman"/>
          <w:szCs w:val="24"/>
          <w:u w:val="single"/>
        </w:rPr>
        <w:t>$275,000</w:t>
      </w:r>
      <w:r>
        <w:rPr>
          <w:rFonts w:cs="Times New Roman"/>
          <w:szCs w:val="24"/>
        </w:rPr>
        <w:t xml:space="preserve"> annual loss of revenue based on 2014 rate calculations.  Washington TV providers will see a $135,000 reduction.  Washington phone providers will see a $140,000 reduction.  </w:t>
      </w:r>
    </w:p>
    <w:p w:rsidR="00F9007C" w:rsidRDefault="00F9007C" w:rsidP="00204C75">
      <w:pPr>
        <w:spacing w:line="360" w:lineRule="auto"/>
        <w:ind w:firstLine="720"/>
        <w:jc w:val="both"/>
        <w:rPr>
          <w:rFonts w:cs="Times New Roman"/>
          <w:szCs w:val="24"/>
        </w:rPr>
      </w:pPr>
    </w:p>
    <w:p w:rsidR="004B2CAC" w:rsidRPr="00347087" w:rsidRDefault="004B2CAC" w:rsidP="00782873">
      <w:pPr>
        <w:pStyle w:val="Heading1"/>
        <w:tabs>
          <w:tab w:val="clear" w:pos="720"/>
        </w:tabs>
        <w:spacing w:after="0" w:line="360" w:lineRule="auto"/>
        <w:ind w:left="0" w:firstLine="0"/>
        <w:jc w:val="center"/>
        <w:rPr>
          <w:rFonts w:cs="Times New Roman"/>
          <w:szCs w:val="24"/>
        </w:rPr>
      </w:pPr>
      <w:r>
        <w:rPr>
          <w:rFonts w:cs="Times New Roman"/>
          <w:szCs w:val="24"/>
        </w:rPr>
        <w:t>480-54-03</w:t>
      </w:r>
      <w:r w:rsidRPr="00347087">
        <w:rPr>
          <w:rFonts w:cs="Times New Roman"/>
          <w:szCs w:val="24"/>
        </w:rPr>
        <w:t xml:space="preserve">0 </w:t>
      </w:r>
      <w:r>
        <w:rPr>
          <w:rFonts w:cs="Times New Roman"/>
          <w:szCs w:val="24"/>
        </w:rPr>
        <w:t>ACCESS, MAKE-READY WORK AND TIMELINES</w:t>
      </w:r>
    </w:p>
    <w:p w:rsidR="004B2CAC" w:rsidRDefault="004B2CAC" w:rsidP="00204C75">
      <w:pPr>
        <w:spacing w:before="100" w:beforeAutospacing="1" w:after="100" w:afterAutospacing="1" w:line="240" w:lineRule="auto"/>
        <w:jc w:val="both"/>
        <w:rPr>
          <w:rFonts w:cs="Times New Roman"/>
          <w:b/>
          <w:szCs w:val="24"/>
        </w:rPr>
      </w:pPr>
      <w:r>
        <w:rPr>
          <w:rFonts w:cs="Times New Roman"/>
          <w:b/>
          <w:szCs w:val="24"/>
        </w:rPr>
        <w:t xml:space="preserve">480-54-030(11) Overlashing Safety Issues </w:t>
      </w:r>
    </w:p>
    <w:p w:rsidR="004B2CAC" w:rsidRDefault="00E67D25" w:rsidP="00204C75">
      <w:pPr>
        <w:spacing w:line="360" w:lineRule="auto"/>
        <w:ind w:firstLine="720"/>
        <w:jc w:val="both"/>
        <w:rPr>
          <w:rFonts w:cs="Times New Roman"/>
          <w:szCs w:val="24"/>
        </w:rPr>
      </w:pPr>
      <w:r>
        <w:rPr>
          <w:rFonts w:cs="Times New Roman"/>
          <w:szCs w:val="24"/>
        </w:rPr>
        <w:t>By not requiring an application or detailed design for overlash request</w:t>
      </w:r>
      <w:r w:rsidR="0046359C">
        <w:rPr>
          <w:rFonts w:cs="Times New Roman"/>
          <w:szCs w:val="24"/>
        </w:rPr>
        <w:t>s</w:t>
      </w:r>
      <w:r>
        <w:rPr>
          <w:rFonts w:cs="Times New Roman"/>
          <w:szCs w:val="24"/>
        </w:rPr>
        <w:t xml:space="preserve"> and the accelerated timeline for projects up to 300 poles, additional resources are presumed to be needed.  Each overlash requested will need to field audited by Avista in advance of construction and the jobs need to</w:t>
      </w:r>
      <w:r w:rsidR="00BB5036">
        <w:rPr>
          <w:rFonts w:cs="Times New Roman"/>
          <w:szCs w:val="24"/>
        </w:rPr>
        <w:t xml:space="preserve"> be</w:t>
      </w:r>
      <w:r>
        <w:rPr>
          <w:rFonts w:cs="Times New Roman"/>
          <w:szCs w:val="24"/>
        </w:rPr>
        <w:t xml:space="preserve"> pri</w:t>
      </w:r>
      <w:r w:rsidR="00BB5036">
        <w:rPr>
          <w:rFonts w:cs="Times New Roman"/>
          <w:szCs w:val="24"/>
        </w:rPr>
        <w:t xml:space="preserve">oritized above new pole route </w:t>
      </w:r>
      <w:r>
        <w:rPr>
          <w:rFonts w:cs="Times New Roman"/>
          <w:szCs w:val="24"/>
        </w:rPr>
        <w:t xml:space="preserve">requests.  An estimate of 2000 </w:t>
      </w:r>
      <w:r w:rsidR="00BB5036">
        <w:rPr>
          <w:rFonts w:cs="Times New Roman"/>
          <w:szCs w:val="24"/>
        </w:rPr>
        <w:t xml:space="preserve">overlashed </w:t>
      </w:r>
      <w:r>
        <w:rPr>
          <w:rFonts w:cs="Times New Roman"/>
          <w:szCs w:val="24"/>
        </w:rPr>
        <w:t xml:space="preserve">poles per year to be audited and </w:t>
      </w:r>
      <w:r w:rsidR="0046359C">
        <w:rPr>
          <w:rFonts w:cs="Times New Roman"/>
          <w:szCs w:val="24"/>
        </w:rPr>
        <w:t>enforced for compliance</w:t>
      </w:r>
      <w:r>
        <w:rPr>
          <w:rFonts w:cs="Times New Roman"/>
          <w:szCs w:val="24"/>
        </w:rPr>
        <w:t xml:space="preserve"> would be a new</w:t>
      </w:r>
      <w:r w:rsidR="0046359C">
        <w:rPr>
          <w:rFonts w:cs="Times New Roman"/>
          <w:szCs w:val="24"/>
        </w:rPr>
        <w:t xml:space="preserve"> process for Avista and it is expected that at least one FTE would be required at an added expense of </w:t>
      </w:r>
      <w:r w:rsidR="0046359C" w:rsidRPr="0046359C">
        <w:rPr>
          <w:rFonts w:cs="Times New Roman"/>
          <w:szCs w:val="24"/>
          <w:u w:val="single"/>
        </w:rPr>
        <w:t>$90,000</w:t>
      </w:r>
      <w:r w:rsidR="0046359C">
        <w:rPr>
          <w:rFonts w:cs="Times New Roman"/>
          <w:szCs w:val="24"/>
        </w:rPr>
        <w:t xml:space="preserve"> per year.  This </w:t>
      </w:r>
      <w:r w:rsidR="0046359C">
        <w:rPr>
          <w:rFonts w:cs="Times New Roman"/>
          <w:szCs w:val="24"/>
        </w:rPr>
        <w:lastRenderedPageBreak/>
        <w:t xml:space="preserve">assumes there is not a substantial growth in overlash requests, and in that case the costs could escalate even more.  </w:t>
      </w:r>
    </w:p>
    <w:p w:rsidR="004B2CAC" w:rsidRDefault="004B2CAC" w:rsidP="00204C75">
      <w:pPr>
        <w:spacing w:line="360" w:lineRule="auto"/>
        <w:ind w:firstLine="720"/>
        <w:jc w:val="both"/>
        <w:rPr>
          <w:rFonts w:cs="Times New Roman"/>
          <w:szCs w:val="24"/>
        </w:rPr>
      </w:pPr>
    </w:p>
    <w:p w:rsidR="00141649" w:rsidRPr="00347087" w:rsidRDefault="00141649" w:rsidP="00782873">
      <w:pPr>
        <w:pStyle w:val="Heading1"/>
        <w:tabs>
          <w:tab w:val="clear" w:pos="720"/>
        </w:tabs>
        <w:spacing w:after="0" w:line="360" w:lineRule="auto"/>
        <w:ind w:left="0" w:firstLine="0"/>
        <w:jc w:val="center"/>
        <w:rPr>
          <w:rFonts w:cs="Times New Roman"/>
          <w:szCs w:val="24"/>
        </w:rPr>
      </w:pPr>
      <w:r>
        <w:rPr>
          <w:rFonts w:cs="Times New Roman"/>
          <w:szCs w:val="24"/>
        </w:rPr>
        <w:t>480-54-05</w:t>
      </w:r>
      <w:r w:rsidRPr="00347087">
        <w:rPr>
          <w:rFonts w:cs="Times New Roman"/>
          <w:szCs w:val="24"/>
        </w:rPr>
        <w:t xml:space="preserve">0 </w:t>
      </w:r>
      <w:r>
        <w:rPr>
          <w:rFonts w:cs="Times New Roman"/>
          <w:szCs w:val="24"/>
        </w:rPr>
        <w:t>MODIFICATION COSTS; NOTICE; TEMPORARY STAY</w:t>
      </w:r>
    </w:p>
    <w:p w:rsidR="00141649" w:rsidRPr="00141649" w:rsidRDefault="00141649" w:rsidP="00204C75">
      <w:pPr>
        <w:spacing w:before="100" w:beforeAutospacing="1" w:after="100" w:afterAutospacing="1" w:line="240" w:lineRule="auto"/>
        <w:jc w:val="both"/>
        <w:rPr>
          <w:rFonts w:cs="Times New Roman"/>
          <w:b/>
          <w:szCs w:val="24"/>
        </w:rPr>
      </w:pPr>
      <w:r>
        <w:rPr>
          <w:rFonts w:cs="Times New Roman"/>
          <w:b/>
          <w:szCs w:val="24"/>
        </w:rPr>
        <w:t>480-</w:t>
      </w:r>
      <w:r w:rsidRPr="00141649">
        <w:rPr>
          <w:rFonts w:cs="Times New Roman"/>
          <w:b/>
          <w:szCs w:val="24"/>
        </w:rPr>
        <w:t>54-050(1) Owner Pays for Additional Capacity to Preserve Joint Use Space</w:t>
      </w:r>
    </w:p>
    <w:p w:rsidR="00141649" w:rsidRPr="00141649" w:rsidRDefault="00141649" w:rsidP="00204C75">
      <w:pPr>
        <w:pStyle w:val="Default"/>
        <w:tabs>
          <w:tab w:val="left" w:pos="0"/>
        </w:tabs>
        <w:spacing w:line="360" w:lineRule="auto"/>
        <w:ind w:firstLine="720"/>
        <w:jc w:val="both"/>
      </w:pPr>
      <w:r w:rsidRPr="00141649">
        <w:t>If a communication company occupies space on a pole and that space later needs to be recovered by a pole owner to serve its own customers (</w:t>
      </w:r>
      <w:r w:rsidRPr="00141649">
        <w:rPr>
          <w:i/>
        </w:rPr>
        <w:t xml:space="preserve">e.g., </w:t>
      </w:r>
      <w:r w:rsidRPr="00141649">
        <w:t xml:space="preserve">by installing a transformer), the pole owner </w:t>
      </w:r>
      <w:r>
        <w:t>may now bear</w:t>
      </w:r>
      <w:r w:rsidRPr="00141649">
        <w:t xml:space="preserve"> the expense of replacing the pole even though that expense would not have to be incurred if the communications attacher were not attached to the pole taking up the space it occupies plus the 40-inch Communications Worker Safety Zone.  The cost to replace a pole in such situations is $5,000 or more.  Financially, of course, it makes no sense to allow an attachment on a pole for $10 a year and risk replacing that pole later for $5000 or more.  </w:t>
      </w:r>
      <w:r>
        <w:t xml:space="preserve">Based on a total inventory of 240,000 poles, it is estimated conservatively that </w:t>
      </w:r>
      <w:r w:rsidRPr="00141649">
        <w:t>Avista might replace 100 poles per</w:t>
      </w:r>
      <w:r>
        <w:t xml:space="preserve"> year under these circumstances.  Therefore,</w:t>
      </w:r>
      <w:r w:rsidRPr="00141649">
        <w:t xml:space="preserve"> the </w:t>
      </w:r>
      <w:r>
        <w:t xml:space="preserve">annual </w:t>
      </w:r>
      <w:r w:rsidRPr="00141649">
        <w:t>cost to Avista’s ratepayers would be</w:t>
      </w:r>
      <w:r>
        <w:t xml:space="preserve"> estimated at</w:t>
      </w:r>
      <w:r w:rsidRPr="00141649">
        <w:t xml:space="preserve"> </w:t>
      </w:r>
      <w:r w:rsidRPr="00141649">
        <w:rPr>
          <w:u w:val="single"/>
        </w:rPr>
        <w:t>$500,000</w:t>
      </w:r>
      <w:r w:rsidRPr="00141649">
        <w:t xml:space="preserve"> ($5,000 X 100 = $500,000)</w:t>
      </w:r>
      <w:r>
        <w:t xml:space="preserve">.  </w:t>
      </w:r>
    </w:p>
    <w:p w:rsidR="00141649" w:rsidRPr="00141649" w:rsidRDefault="00141649" w:rsidP="00204C75">
      <w:pPr>
        <w:spacing w:line="360" w:lineRule="auto"/>
        <w:ind w:firstLine="720"/>
        <w:jc w:val="both"/>
        <w:rPr>
          <w:rFonts w:cs="Times New Roman"/>
          <w:szCs w:val="24"/>
        </w:rPr>
      </w:pPr>
    </w:p>
    <w:p w:rsidR="00F23B71" w:rsidRPr="00347087" w:rsidRDefault="00F23B71" w:rsidP="00782873">
      <w:pPr>
        <w:pStyle w:val="Heading1"/>
        <w:tabs>
          <w:tab w:val="clear" w:pos="720"/>
        </w:tabs>
        <w:spacing w:after="0" w:line="360" w:lineRule="auto"/>
        <w:ind w:left="0" w:firstLine="0"/>
        <w:jc w:val="center"/>
        <w:rPr>
          <w:rFonts w:cs="Times New Roman"/>
          <w:szCs w:val="24"/>
        </w:rPr>
      </w:pPr>
      <w:r>
        <w:rPr>
          <w:rFonts w:cs="Times New Roman"/>
          <w:szCs w:val="24"/>
        </w:rPr>
        <w:t>480-54-06</w:t>
      </w:r>
      <w:r w:rsidRPr="00347087">
        <w:rPr>
          <w:rFonts w:cs="Times New Roman"/>
          <w:szCs w:val="24"/>
        </w:rPr>
        <w:t xml:space="preserve">0 </w:t>
      </w:r>
      <w:r>
        <w:rPr>
          <w:rFonts w:cs="Times New Roman"/>
          <w:szCs w:val="24"/>
        </w:rPr>
        <w:t>RATES</w:t>
      </w:r>
    </w:p>
    <w:p w:rsidR="00FD6747" w:rsidRDefault="00FD6747" w:rsidP="00204C75">
      <w:pPr>
        <w:spacing w:before="100" w:beforeAutospacing="1" w:after="100" w:afterAutospacing="1" w:line="240" w:lineRule="auto"/>
        <w:jc w:val="both"/>
        <w:rPr>
          <w:rFonts w:cs="Times New Roman"/>
          <w:b/>
          <w:szCs w:val="24"/>
        </w:rPr>
      </w:pPr>
      <w:r>
        <w:rPr>
          <w:rFonts w:cs="Times New Roman"/>
          <w:b/>
          <w:szCs w:val="24"/>
        </w:rPr>
        <w:t xml:space="preserve">480-54-060(2) Pole Rate Formula Reduces Rates Significantly </w:t>
      </w:r>
    </w:p>
    <w:p w:rsidR="00FD6747" w:rsidRDefault="00FD6747" w:rsidP="00204C75">
      <w:pPr>
        <w:spacing w:line="360" w:lineRule="auto"/>
        <w:ind w:firstLine="720"/>
        <w:jc w:val="both"/>
        <w:rPr>
          <w:rFonts w:cs="Times New Roman"/>
          <w:szCs w:val="24"/>
        </w:rPr>
      </w:pPr>
      <w:r>
        <w:rPr>
          <w:rFonts w:cs="Times New Roman"/>
          <w:szCs w:val="24"/>
        </w:rPr>
        <w:t xml:space="preserve">As mentioned </w:t>
      </w:r>
      <w:r w:rsidR="00F9007C">
        <w:rPr>
          <w:rFonts w:cs="Times New Roman"/>
          <w:szCs w:val="24"/>
        </w:rPr>
        <w:t xml:space="preserve">above </w:t>
      </w:r>
      <w:r>
        <w:rPr>
          <w:rFonts w:cs="Times New Roman"/>
          <w:szCs w:val="24"/>
        </w:rPr>
        <w:t>under 480-54-020(20) Definitions of Usable Space</w:t>
      </w:r>
      <w:r w:rsidR="00F9007C">
        <w:rPr>
          <w:rFonts w:cs="Times New Roman"/>
          <w:szCs w:val="24"/>
        </w:rPr>
        <w:t xml:space="preserve">, Avista expects revenue losses for TV and phone pole attachments to be an estimated $275,000 annually.  </w:t>
      </w:r>
    </w:p>
    <w:p w:rsidR="00FD6747" w:rsidRDefault="00F9007C" w:rsidP="00204C75">
      <w:pPr>
        <w:spacing w:line="360" w:lineRule="auto"/>
        <w:ind w:firstLine="720"/>
        <w:jc w:val="both"/>
        <w:rPr>
          <w:rFonts w:cs="Times New Roman"/>
          <w:szCs w:val="24"/>
        </w:rPr>
      </w:pPr>
      <w:r>
        <w:rPr>
          <w:rFonts w:cs="Times New Roman"/>
          <w:szCs w:val="24"/>
        </w:rPr>
        <w:t xml:space="preserve">In addition, the failure to adopt the FCC pre-2011 Telecom formula will reduce the annual pole attachment revenue by 56% from telecommunication and other providers.  This translates into an estimated revenue reduction of </w:t>
      </w:r>
      <w:r w:rsidRPr="002533FB">
        <w:rPr>
          <w:rFonts w:cs="Times New Roman"/>
          <w:szCs w:val="24"/>
          <w:u w:val="single"/>
        </w:rPr>
        <w:t>$302,000</w:t>
      </w:r>
      <w:r w:rsidR="00BB5036">
        <w:rPr>
          <w:rFonts w:cs="Times New Roman"/>
          <w:szCs w:val="24"/>
        </w:rPr>
        <w:t xml:space="preserve"> based on 2014 rates.  </w:t>
      </w:r>
    </w:p>
    <w:p w:rsidR="002533FB" w:rsidRDefault="002533FB" w:rsidP="00204C75">
      <w:pPr>
        <w:spacing w:line="360" w:lineRule="auto"/>
        <w:ind w:firstLine="720"/>
        <w:jc w:val="both"/>
        <w:rPr>
          <w:rFonts w:cs="Times New Roman"/>
          <w:szCs w:val="24"/>
        </w:rPr>
      </w:pPr>
      <w:r>
        <w:rPr>
          <w:rFonts w:cs="Times New Roman"/>
          <w:szCs w:val="24"/>
        </w:rPr>
        <w:t xml:space="preserve">The formula also changes the factor for the ratio of a bare pole to total pole from 85% (contractual amount) to 95% (FCC amount) when calculating ILEC pole rates.  </w:t>
      </w:r>
      <w:r w:rsidR="00FF7088">
        <w:rPr>
          <w:rFonts w:cs="Times New Roman"/>
          <w:szCs w:val="24"/>
        </w:rPr>
        <w:t xml:space="preserve">This has about a 10% effect on rates </w:t>
      </w:r>
      <w:r w:rsidR="00CB1541">
        <w:rPr>
          <w:rFonts w:cs="Times New Roman"/>
          <w:szCs w:val="24"/>
        </w:rPr>
        <w:t xml:space="preserve">charged by ILECs </w:t>
      </w:r>
      <w:r w:rsidR="00FF7088">
        <w:rPr>
          <w:rFonts w:cs="Times New Roman"/>
          <w:szCs w:val="24"/>
        </w:rPr>
        <w:t xml:space="preserve">and the additional expense to Avista would </w:t>
      </w:r>
      <w:r w:rsidR="00CB1541">
        <w:rPr>
          <w:rFonts w:cs="Times New Roman"/>
          <w:szCs w:val="24"/>
        </w:rPr>
        <w:t>be estimated at</w:t>
      </w:r>
      <w:r w:rsidR="00FF7088">
        <w:rPr>
          <w:rFonts w:cs="Times New Roman"/>
          <w:szCs w:val="24"/>
        </w:rPr>
        <w:t xml:space="preserve"> </w:t>
      </w:r>
      <w:r w:rsidR="00FF7088" w:rsidRPr="00CB1541">
        <w:rPr>
          <w:rFonts w:cs="Times New Roman"/>
          <w:szCs w:val="24"/>
          <w:u w:val="single"/>
        </w:rPr>
        <w:t>$12,000</w:t>
      </w:r>
      <w:r w:rsidR="00FF7088">
        <w:rPr>
          <w:rFonts w:cs="Times New Roman"/>
          <w:szCs w:val="24"/>
        </w:rPr>
        <w:t xml:space="preserve"> annually.  </w:t>
      </w:r>
    </w:p>
    <w:p w:rsidR="00B84812" w:rsidRPr="00F9007C" w:rsidRDefault="00B84812" w:rsidP="00204C75">
      <w:pPr>
        <w:spacing w:line="360" w:lineRule="auto"/>
        <w:ind w:firstLine="720"/>
        <w:jc w:val="both"/>
        <w:rPr>
          <w:rFonts w:cs="Times New Roman"/>
          <w:szCs w:val="24"/>
        </w:rPr>
      </w:pPr>
    </w:p>
    <w:p w:rsidR="00F23B71" w:rsidRDefault="00F23B71" w:rsidP="00204C75">
      <w:pPr>
        <w:spacing w:before="100" w:beforeAutospacing="1" w:after="100" w:afterAutospacing="1" w:line="240" w:lineRule="auto"/>
        <w:jc w:val="both"/>
        <w:rPr>
          <w:rFonts w:cs="Times New Roman"/>
          <w:b/>
          <w:szCs w:val="24"/>
        </w:rPr>
      </w:pPr>
      <w:r>
        <w:rPr>
          <w:rFonts w:cs="Times New Roman"/>
          <w:b/>
          <w:szCs w:val="24"/>
        </w:rPr>
        <w:t xml:space="preserve">480-54-060(3) Duct and Conduit Rate Formula Reduces Rates Significantly </w:t>
      </w:r>
    </w:p>
    <w:p w:rsidR="00F23B71" w:rsidRDefault="00FD6747" w:rsidP="00204C75">
      <w:pPr>
        <w:spacing w:line="360" w:lineRule="auto"/>
        <w:ind w:firstLine="720"/>
        <w:jc w:val="both"/>
        <w:rPr>
          <w:rFonts w:cs="Times New Roman"/>
          <w:szCs w:val="24"/>
        </w:rPr>
      </w:pPr>
      <w:r>
        <w:rPr>
          <w:rFonts w:cs="Times New Roman"/>
          <w:szCs w:val="24"/>
        </w:rPr>
        <w:lastRenderedPageBreak/>
        <w:t xml:space="preserve">Avista’s flat rate </w:t>
      </w:r>
      <w:r w:rsidR="00F23B71">
        <w:rPr>
          <w:rFonts w:cs="Times New Roman"/>
          <w:szCs w:val="24"/>
        </w:rPr>
        <w:t>for duct rental has remained unchanged for 1</w:t>
      </w:r>
      <w:r w:rsidR="00FC0D38">
        <w:rPr>
          <w:rFonts w:cs="Times New Roman"/>
          <w:szCs w:val="24"/>
        </w:rPr>
        <w:t>5</w:t>
      </w:r>
      <w:r w:rsidR="00F23B71">
        <w:rPr>
          <w:rFonts w:cs="Times New Roman"/>
          <w:szCs w:val="24"/>
        </w:rPr>
        <w:t xml:space="preserve"> years and </w:t>
      </w:r>
      <w:r w:rsidR="00FC0D38">
        <w:rPr>
          <w:rFonts w:cs="Times New Roman"/>
          <w:szCs w:val="24"/>
        </w:rPr>
        <w:t xml:space="preserve">our program has been mutually beneficial to all parties, including the customers served in the downtown Spokane Network.  </w:t>
      </w:r>
      <w:r w:rsidR="00F23B71">
        <w:rPr>
          <w:rFonts w:cs="Times New Roman"/>
          <w:szCs w:val="24"/>
        </w:rPr>
        <w:t xml:space="preserve"> </w:t>
      </w:r>
      <w:r w:rsidR="00FC0D38">
        <w:rPr>
          <w:rFonts w:cs="Times New Roman"/>
          <w:szCs w:val="24"/>
        </w:rPr>
        <w:t xml:space="preserve">The </w:t>
      </w:r>
      <w:r>
        <w:rPr>
          <w:rFonts w:cs="Times New Roman"/>
          <w:szCs w:val="24"/>
        </w:rPr>
        <w:t xml:space="preserve">components of the </w:t>
      </w:r>
      <w:r w:rsidR="00FC0D38">
        <w:rPr>
          <w:rFonts w:cs="Times New Roman"/>
          <w:szCs w:val="24"/>
        </w:rPr>
        <w:t xml:space="preserve">new proposed formula </w:t>
      </w:r>
      <w:r>
        <w:rPr>
          <w:rFonts w:cs="Times New Roman"/>
          <w:szCs w:val="24"/>
        </w:rPr>
        <w:t xml:space="preserve">have not been developed or calculated, but </w:t>
      </w:r>
      <w:r w:rsidR="00F9007C">
        <w:rPr>
          <w:rFonts w:cs="Times New Roman"/>
          <w:szCs w:val="24"/>
        </w:rPr>
        <w:t>early estimates foresee</w:t>
      </w:r>
      <w:r>
        <w:rPr>
          <w:rFonts w:cs="Times New Roman"/>
          <w:szCs w:val="24"/>
        </w:rPr>
        <w:t xml:space="preserve"> that Avista </w:t>
      </w:r>
      <w:r w:rsidR="00F9007C">
        <w:rPr>
          <w:rFonts w:cs="Times New Roman"/>
          <w:szCs w:val="24"/>
        </w:rPr>
        <w:t>may</w:t>
      </w:r>
      <w:r>
        <w:rPr>
          <w:rFonts w:cs="Times New Roman"/>
          <w:szCs w:val="24"/>
        </w:rPr>
        <w:t xml:space="preserve"> see a </w:t>
      </w:r>
      <w:r w:rsidR="00CB1541">
        <w:rPr>
          <w:rFonts w:cs="Times New Roman"/>
          <w:szCs w:val="24"/>
          <w:u w:val="single"/>
        </w:rPr>
        <w:t>$10</w:t>
      </w:r>
      <w:r w:rsidRPr="00CB1541">
        <w:rPr>
          <w:rFonts w:cs="Times New Roman"/>
          <w:szCs w:val="24"/>
          <w:u w:val="single"/>
        </w:rPr>
        <w:t>0,000</w:t>
      </w:r>
      <w:r>
        <w:rPr>
          <w:rFonts w:cs="Times New Roman"/>
          <w:szCs w:val="24"/>
        </w:rPr>
        <w:t xml:space="preserve"> annual loss of </w:t>
      </w:r>
      <w:r w:rsidR="00CB1541">
        <w:rPr>
          <w:rFonts w:cs="Times New Roman"/>
          <w:szCs w:val="24"/>
        </w:rPr>
        <w:t xml:space="preserve">duct rental revenue based on the total </w:t>
      </w:r>
      <w:r w:rsidR="00BB5036">
        <w:rPr>
          <w:rFonts w:cs="Times New Roman"/>
          <w:szCs w:val="24"/>
        </w:rPr>
        <w:t>2014</w:t>
      </w:r>
      <w:r w:rsidR="00CB1541">
        <w:rPr>
          <w:rFonts w:cs="Times New Roman"/>
          <w:szCs w:val="24"/>
        </w:rPr>
        <w:t xml:space="preserve"> </w:t>
      </w:r>
      <w:r w:rsidR="00BB5036">
        <w:rPr>
          <w:rFonts w:cs="Times New Roman"/>
          <w:szCs w:val="24"/>
        </w:rPr>
        <w:t xml:space="preserve">duct rental </w:t>
      </w:r>
      <w:r w:rsidR="00CB1541">
        <w:rPr>
          <w:rFonts w:cs="Times New Roman"/>
          <w:szCs w:val="24"/>
        </w:rPr>
        <w:t xml:space="preserve">revenue of $214,000.  </w:t>
      </w:r>
    </w:p>
    <w:p w:rsidR="00F23B71" w:rsidRDefault="00F23B71" w:rsidP="00204C75">
      <w:pPr>
        <w:spacing w:line="360" w:lineRule="auto"/>
        <w:ind w:firstLine="720"/>
        <w:jc w:val="both"/>
        <w:rPr>
          <w:rFonts w:cs="Times New Roman"/>
          <w:szCs w:val="24"/>
        </w:rPr>
      </w:pPr>
    </w:p>
    <w:p w:rsidR="00141649" w:rsidRPr="00347087" w:rsidRDefault="00141649" w:rsidP="00782873">
      <w:pPr>
        <w:pStyle w:val="Heading1"/>
        <w:tabs>
          <w:tab w:val="clear" w:pos="720"/>
        </w:tabs>
        <w:spacing w:after="0" w:line="360" w:lineRule="auto"/>
        <w:ind w:left="0" w:firstLine="0"/>
        <w:jc w:val="center"/>
        <w:rPr>
          <w:rFonts w:cs="Times New Roman"/>
          <w:szCs w:val="24"/>
        </w:rPr>
      </w:pPr>
      <w:r>
        <w:rPr>
          <w:rFonts w:cs="Times New Roman"/>
          <w:szCs w:val="24"/>
        </w:rPr>
        <w:t>480-54-07</w:t>
      </w:r>
      <w:r w:rsidRPr="00347087">
        <w:rPr>
          <w:rFonts w:cs="Times New Roman"/>
          <w:szCs w:val="24"/>
        </w:rPr>
        <w:t xml:space="preserve">0 </w:t>
      </w:r>
      <w:r w:rsidR="005F795A">
        <w:rPr>
          <w:rFonts w:cs="Times New Roman"/>
          <w:szCs w:val="24"/>
        </w:rPr>
        <w:t>COMPLAINT</w:t>
      </w:r>
    </w:p>
    <w:p w:rsidR="00141649" w:rsidRDefault="005F795A" w:rsidP="00204C75">
      <w:pPr>
        <w:spacing w:before="100" w:beforeAutospacing="1" w:after="100" w:afterAutospacing="1" w:line="240" w:lineRule="auto"/>
        <w:jc w:val="both"/>
        <w:rPr>
          <w:rFonts w:cs="Times New Roman"/>
          <w:b/>
          <w:szCs w:val="24"/>
        </w:rPr>
      </w:pPr>
      <w:r>
        <w:rPr>
          <w:rFonts w:cs="Times New Roman"/>
          <w:b/>
          <w:szCs w:val="24"/>
        </w:rPr>
        <w:t>480-54-07</w:t>
      </w:r>
      <w:r w:rsidR="00141649">
        <w:rPr>
          <w:rFonts w:cs="Times New Roman"/>
          <w:b/>
          <w:szCs w:val="24"/>
        </w:rPr>
        <w:t>0</w:t>
      </w:r>
      <w:r>
        <w:rPr>
          <w:rFonts w:cs="Times New Roman"/>
          <w:b/>
          <w:szCs w:val="24"/>
        </w:rPr>
        <w:t xml:space="preserve"> Excluding Sanctions Will Have a Detrimental Effect</w:t>
      </w:r>
    </w:p>
    <w:p w:rsidR="005F795A" w:rsidRDefault="005F795A" w:rsidP="00204C75">
      <w:pPr>
        <w:pStyle w:val="NoSpacing"/>
        <w:spacing w:line="360" w:lineRule="auto"/>
        <w:ind w:firstLine="720"/>
        <w:jc w:val="both"/>
      </w:pPr>
      <w:r>
        <w:t>Staff notes that the Commission cannot authorize damages or delegate its authority to impose penalties, and in its</w:t>
      </w:r>
      <w:r w:rsidR="00BB5036">
        <w:t xml:space="preserve"> previous</w:t>
      </w:r>
      <w:r w:rsidR="00E969C6">
        <w:t xml:space="preserve"> r</w:t>
      </w:r>
      <w:r>
        <w:t>ecommendations associated with Draft Rule 480-54-070, Staff has stated it would be bad public policy to delegate penalty authority even if it were lawful.</w:t>
      </w:r>
    </w:p>
    <w:p w:rsidR="005F795A" w:rsidRDefault="005F795A" w:rsidP="00204C75">
      <w:pPr>
        <w:pStyle w:val="NoSpacing"/>
        <w:spacing w:line="360" w:lineRule="auto"/>
        <w:ind w:firstLine="720"/>
        <w:jc w:val="both"/>
      </w:pPr>
      <w:r>
        <w:t>The problem with these conclusions is that it leaves utility pole owners defenseless against these violations.  Without any risk of penalty, licensees lack the incentive to bear the full cost and expense of constructing</w:t>
      </w:r>
      <w:r w:rsidR="0004778A">
        <w:t xml:space="preserve"> and maintaining</w:t>
      </w:r>
      <w:r>
        <w:t xml:space="preserve"> their facilities in a safe and reliable man</w:t>
      </w:r>
      <w:r w:rsidR="0004778A">
        <w:t xml:space="preserve">ner.  </w:t>
      </w:r>
    </w:p>
    <w:p w:rsidR="005F795A" w:rsidRPr="005F795A" w:rsidRDefault="005F795A" w:rsidP="00204C75">
      <w:pPr>
        <w:pStyle w:val="Default"/>
        <w:tabs>
          <w:tab w:val="left" w:pos="0"/>
        </w:tabs>
        <w:spacing w:line="360" w:lineRule="auto"/>
        <w:ind w:firstLine="720"/>
        <w:jc w:val="both"/>
      </w:pPr>
      <w:r w:rsidRPr="005F795A">
        <w:t xml:space="preserve">One such component is the failure to transfer communication facilities from old poles to new poles when they are replaced.  Avista </w:t>
      </w:r>
      <w:r w:rsidR="0004778A">
        <w:t>will continue to spend</w:t>
      </w:r>
      <w:r w:rsidRPr="005F795A">
        <w:t xml:space="preserve"> a great deal of man hours fielding, identifying and re-notifying communication companies to make pole transfers.  We also spend time with city inspectors who may hold work permits open until the job is done because asphalt and concrete repairs are often delayed.  Return visits to the poles are often required because of failures to timely transfer.  </w:t>
      </w:r>
      <w:r>
        <w:t>Based on the assumption</w:t>
      </w:r>
      <w:r w:rsidRPr="005F795A">
        <w:t xml:space="preserve"> that 1000 hours of man hour time per year is devoted to managing these delinquent communications company transfers, then the cost to Avista’s ratepayers would be </w:t>
      </w:r>
      <w:r w:rsidRPr="005F795A">
        <w:rPr>
          <w:u w:val="single"/>
        </w:rPr>
        <w:t>$60,000</w:t>
      </w:r>
      <w:r w:rsidRPr="005F795A">
        <w:t xml:space="preserve"> per year (1000 hours X $60/hour = $60,000). </w:t>
      </w:r>
    </w:p>
    <w:p w:rsidR="00141649" w:rsidRDefault="00141649" w:rsidP="002C77F5">
      <w:pPr>
        <w:spacing w:line="360" w:lineRule="auto"/>
        <w:ind w:firstLine="720"/>
        <w:rPr>
          <w:rFonts w:cs="Times New Roman"/>
          <w:szCs w:val="24"/>
        </w:rPr>
      </w:pPr>
    </w:p>
    <w:p w:rsidR="00782873" w:rsidRDefault="00782873">
      <w:pPr>
        <w:rPr>
          <w:rFonts w:eastAsiaTheme="majorEastAsia" w:cs="Times New Roman"/>
          <w:b/>
          <w:bCs/>
          <w:kern w:val="32"/>
          <w:szCs w:val="24"/>
        </w:rPr>
      </w:pPr>
      <w:r>
        <w:rPr>
          <w:rFonts w:cs="Times New Roman"/>
          <w:szCs w:val="24"/>
        </w:rPr>
        <w:br w:type="page"/>
      </w:r>
    </w:p>
    <w:p w:rsidR="00E551F9" w:rsidRPr="00347087" w:rsidRDefault="00E551F9" w:rsidP="00E551F9">
      <w:pPr>
        <w:pStyle w:val="Heading1"/>
        <w:jc w:val="center"/>
        <w:rPr>
          <w:rFonts w:cs="Times New Roman"/>
          <w:szCs w:val="24"/>
        </w:rPr>
      </w:pPr>
      <w:r>
        <w:rPr>
          <w:rFonts w:cs="Times New Roman"/>
          <w:szCs w:val="24"/>
        </w:rPr>
        <w:t>SUMMARY</w:t>
      </w:r>
    </w:p>
    <w:p w:rsidR="00E551F9" w:rsidRDefault="00E551F9" w:rsidP="00204C75">
      <w:pPr>
        <w:pStyle w:val="Default"/>
        <w:tabs>
          <w:tab w:val="left" w:pos="0"/>
        </w:tabs>
        <w:spacing w:line="360" w:lineRule="auto"/>
        <w:ind w:firstLine="720"/>
        <w:jc w:val="both"/>
        <w:rPr>
          <w:sz w:val="23"/>
          <w:szCs w:val="23"/>
        </w:rPr>
      </w:pPr>
      <w:r>
        <w:rPr>
          <w:sz w:val="23"/>
          <w:szCs w:val="23"/>
        </w:rPr>
        <w:t xml:space="preserve">Based on the estimates noted above, the </w:t>
      </w:r>
      <w:r w:rsidR="0026289F">
        <w:rPr>
          <w:sz w:val="23"/>
          <w:szCs w:val="23"/>
        </w:rPr>
        <w:t xml:space="preserve">annual </w:t>
      </w:r>
      <w:r>
        <w:rPr>
          <w:sz w:val="23"/>
          <w:szCs w:val="23"/>
        </w:rPr>
        <w:t>additional costs and expense</w:t>
      </w:r>
      <w:r w:rsidR="0026289F">
        <w:rPr>
          <w:sz w:val="23"/>
          <w:szCs w:val="23"/>
        </w:rPr>
        <w:t>s</w:t>
      </w:r>
      <w:r>
        <w:rPr>
          <w:sz w:val="23"/>
          <w:szCs w:val="23"/>
        </w:rPr>
        <w:t xml:space="preserve"> to Avista’s ratepayers</w:t>
      </w:r>
      <w:r w:rsidR="00BD1B20">
        <w:rPr>
          <w:sz w:val="23"/>
          <w:szCs w:val="23"/>
        </w:rPr>
        <w:t>,</w:t>
      </w:r>
      <w:r>
        <w:rPr>
          <w:sz w:val="23"/>
          <w:szCs w:val="23"/>
        </w:rPr>
        <w:t xml:space="preserve"> due solely to communications attachments</w:t>
      </w:r>
      <w:r w:rsidR="00BD1B20">
        <w:rPr>
          <w:sz w:val="23"/>
          <w:szCs w:val="23"/>
        </w:rPr>
        <w:t>,</w:t>
      </w:r>
      <w:r>
        <w:rPr>
          <w:sz w:val="23"/>
          <w:szCs w:val="23"/>
        </w:rPr>
        <w:t xml:space="preserve"> </w:t>
      </w:r>
      <w:r w:rsidR="0026289F">
        <w:rPr>
          <w:sz w:val="23"/>
          <w:szCs w:val="23"/>
        </w:rPr>
        <w:t>are</w:t>
      </w:r>
      <w:r>
        <w:rPr>
          <w:sz w:val="23"/>
          <w:szCs w:val="23"/>
        </w:rPr>
        <w:t xml:space="preserve"> assessed as follows:</w:t>
      </w:r>
    </w:p>
    <w:tbl>
      <w:tblPr>
        <w:tblpPr w:leftFromText="180" w:rightFromText="180" w:vertAnchor="text" w:horzAnchor="margin" w:tblpXSpec="center" w:tblpY="282"/>
        <w:tblW w:w="6796" w:type="dxa"/>
        <w:tblLook w:val="04A0"/>
      </w:tblPr>
      <w:tblGrid>
        <w:gridCol w:w="4428"/>
        <w:gridCol w:w="2368"/>
      </w:tblGrid>
      <w:tr w:rsidR="00782873" w:rsidRPr="00782873" w:rsidTr="00782873">
        <w:trPr>
          <w:trHeight w:val="315"/>
        </w:trPr>
        <w:tc>
          <w:tcPr>
            <w:tcW w:w="4428" w:type="dxa"/>
            <w:tcBorders>
              <w:top w:val="single" w:sz="4" w:space="0" w:color="auto"/>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Rates Charged by ILEC phone companies</w:t>
            </w:r>
          </w:p>
        </w:tc>
        <w:tc>
          <w:tcPr>
            <w:tcW w:w="2368" w:type="dxa"/>
            <w:tcBorders>
              <w:top w:val="single" w:sz="4" w:space="0" w:color="auto"/>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20,000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Useable Space Definition Charge</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275,000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proofErr w:type="spellStart"/>
            <w:r w:rsidRPr="00782873">
              <w:rPr>
                <w:rFonts w:eastAsia="Times New Roman" w:cs="Times New Roman"/>
                <w:color w:val="000000"/>
                <w:szCs w:val="24"/>
              </w:rPr>
              <w:t>Overlashing</w:t>
            </w:r>
            <w:proofErr w:type="spellEnd"/>
            <w:r w:rsidRPr="00782873">
              <w:rPr>
                <w:rFonts w:eastAsia="Times New Roman" w:cs="Times New Roman"/>
                <w:color w:val="000000"/>
                <w:szCs w:val="24"/>
              </w:rPr>
              <w:t xml:space="preserve"> Safe</w:t>
            </w:r>
            <w:r>
              <w:rPr>
                <w:rFonts w:eastAsia="Times New Roman" w:cs="Times New Roman"/>
                <w:color w:val="000000"/>
                <w:szCs w:val="24"/>
              </w:rPr>
              <w:t>t</w:t>
            </w:r>
            <w:r w:rsidRPr="00782873">
              <w:rPr>
                <w:rFonts w:eastAsia="Times New Roman" w:cs="Times New Roman"/>
                <w:color w:val="000000"/>
                <w:szCs w:val="24"/>
              </w:rPr>
              <w:t>y Audits</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90,000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Additional Pole Capacity</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500,000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Telecom Rate Reduction</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302,000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Bare Pole Ratio</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12,000 </w:t>
            </w:r>
          </w:p>
        </w:tc>
      </w:tr>
      <w:tr w:rsidR="00782873" w:rsidRPr="00782873" w:rsidTr="00782873">
        <w:trPr>
          <w:trHeight w:val="315"/>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Duct Rate Reduction</w:t>
            </w:r>
          </w:p>
        </w:tc>
        <w:tc>
          <w:tcPr>
            <w:tcW w:w="2368" w:type="dxa"/>
            <w:tcBorders>
              <w:top w:val="nil"/>
              <w:left w:val="nil"/>
              <w:bottom w:val="nil"/>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100,000 </w:t>
            </w:r>
          </w:p>
        </w:tc>
      </w:tr>
      <w:tr w:rsidR="00782873" w:rsidRPr="00782873" w:rsidTr="00782873">
        <w:trPr>
          <w:trHeight w:val="330"/>
        </w:trPr>
        <w:tc>
          <w:tcPr>
            <w:tcW w:w="4428" w:type="dxa"/>
            <w:tcBorders>
              <w:top w:val="nil"/>
              <w:left w:val="single" w:sz="4" w:space="0" w:color="auto"/>
              <w:bottom w:val="nil"/>
              <w:right w:val="nil"/>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Pole Transfers</w:t>
            </w:r>
          </w:p>
        </w:tc>
        <w:tc>
          <w:tcPr>
            <w:tcW w:w="2368" w:type="dxa"/>
            <w:tcBorders>
              <w:top w:val="nil"/>
              <w:left w:val="nil"/>
              <w:bottom w:val="double" w:sz="6" w:space="0" w:color="auto"/>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color w:val="000000"/>
                <w:szCs w:val="24"/>
              </w:rPr>
            </w:pPr>
            <w:r w:rsidRPr="00782873">
              <w:rPr>
                <w:rFonts w:eastAsia="Times New Roman" w:cs="Times New Roman"/>
                <w:color w:val="000000"/>
                <w:szCs w:val="24"/>
              </w:rPr>
              <w:t xml:space="preserve"> $          60,000 </w:t>
            </w:r>
          </w:p>
        </w:tc>
      </w:tr>
      <w:tr w:rsidR="00782873" w:rsidRPr="00782873" w:rsidTr="00782873">
        <w:trPr>
          <w:trHeight w:val="330"/>
        </w:trPr>
        <w:tc>
          <w:tcPr>
            <w:tcW w:w="4428" w:type="dxa"/>
            <w:tcBorders>
              <w:top w:val="nil"/>
              <w:left w:val="single" w:sz="4" w:space="0" w:color="auto"/>
              <w:bottom w:val="single" w:sz="4" w:space="0" w:color="auto"/>
              <w:right w:val="nil"/>
            </w:tcBorders>
            <w:shd w:val="clear" w:color="auto" w:fill="auto"/>
            <w:noWrap/>
            <w:vAlign w:val="bottom"/>
            <w:hideMark/>
          </w:tcPr>
          <w:p w:rsidR="00782873" w:rsidRPr="00782873" w:rsidRDefault="00782873" w:rsidP="00782873">
            <w:pPr>
              <w:spacing w:line="240" w:lineRule="auto"/>
              <w:rPr>
                <w:rFonts w:eastAsia="Times New Roman" w:cs="Times New Roman"/>
                <w:b/>
                <w:bCs/>
                <w:color w:val="000000"/>
                <w:szCs w:val="24"/>
              </w:rPr>
            </w:pPr>
            <w:r w:rsidRPr="00782873">
              <w:rPr>
                <w:rFonts w:eastAsia="Times New Roman" w:cs="Times New Roman"/>
                <w:b/>
                <w:bCs/>
                <w:color w:val="000000"/>
                <w:szCs w:val="24"/>
              </w:rPr>
              <w:t>Total Per Year</w:t>
            </w:r>
          </w:p>
        </w:tc>
        <w:tc>
          <w:tcPr>
            <w:tcW w:w="2368" w:type="dxa"/>
            <w:tcBorders>
              <w:top w:val="nil"/>
              <w:left w:val="nil"/>
              <w:bottom w:val="single" w:sz="4" w:space="0" w:color="auto"/>
              <w:right w:val="single" w:sz="4" w:space="0" w:color="auto"/>
            </w:tcBorders>
            <w:shd w:val="clear" w:color="auto" w:fill="auto"/>
            <w:noWrap/>
            <w:vAlign w:val="bottom"/>
            <w:hideMark/>
          </w:tcPr>
          <w:p w:rsidR="00782873" w:rsidRPr="00782873" w:rsidRDefault="00782873" w:rsidP="00782873">
            <w:pPr>
              <w:spacing w:line="240" w:lineRule="auto"/>
              <w:rPr>
                <w:rFonts w:eastAsia="Times New Roman" w:cs="Times New Roman"/>
                <w:b/>
                <w:bCs/>
                <w:color w:val="000000"/>
                <w:szCs w:val="24"/>
              </w:rPr>
            </w:pPr>
            <w:r w:rsidRPr="00782873">
              <w:rPr>
                <w:rFonts w:eastAsia="Times New Roman" w:cs="Times New Roman"/>
                <w:b/>
                <w:bCs/>
                <w:color w:val="000000"/>
                <w:szCs w:val="24"/>
              </w:rPr>
              <w:t xml:space="preserve"> $     1,359,000 </w:t>
            </w:r>
          </w:p>
        </w:tc>
      </w:tr>
    </w:tbl>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782873" w:rsidRDefault="00782873" w:rsidP="00204C75">
      <w:pPr>
        <w:pStyle w:val="Default"/>
        <w:tabs>
          <w:tab w:val="left" w:pos="0"/>
        </w:tabs>
        <w:spacing w:line="360" w:lineRule="auto"/>
        <w:ind w:firstLine="720"/>
        <w:jc w:val="both"/>
        <w:rPr>
          <w:sz w:val="23"/>
          <w:szCs w:val="23"/>
        </w:rPr>
      </w:pPr>
    </w:p>
    <w:p w:rsidR="004E649F" w:rsidRPr="00347087" w:rsidRDefault="004E649F" w:rsidP="00782873">
      <w:pPr>
        <w:spacing w:line="360" w:lineRule="auto"/>
        <w:rPr>
          <w:rFonts w:cs="Times New Roman"/>
          <w:szCs w:val="24"/>
        </w:rPr>
      </w:pPr>
    </w:p>
    <w:p w:rsidR="00245F80" w:rsidRPr="00347087" w:rsidRDefault="00245F80" w:rsidP="00204C75">
      <w:pPr>
        <w:pStyle w:val="Heading1"/>
        <w:jc w:val="center"/>
        <w:rPr>
          <w:rFonts w:cs="Times New Roman"/>
          <w:szCs w:val="24"/>
        </w:rPr>
      </w:pPr>
      <w:r w:rsidRPr="00347087">
        <w:rPr>
          <w:rFonts w:cs="Times New Roman"/>
          <w:szCs w:val="24"/>
        </w:rPr>
        <w:t>CONCLUSION</w:t>
      </w:r>
    </w:p>
    <w:p w:rsidR="00345AD6" w:rsidRDefault="00345AD6" w:rsidP="00204C75">
      <w:pPr>
        <w:spacing w:line="360" w:lineRule="auto"/>
        <w:ind w:firstLine="720"/>
        <w:jc w:val="both"/>
        <w:rPr>
          <w:rFonts w:cs="Times New Roman"/>
          <w:szCs w:val="24"/>
        </w:rPr>
      </w:pPr>
      <w:r>
        <w:rPr>
          <w:rFonts w:cs="Times New Roman"/>
          <w:szCs w:val="24"/>
        </w:rPr>
        <w:t xml:space="preserve">What is noted in this document is not all inclusive and over time, </w:t>
      </w:r>
      <w:r w:rsidR="00BD1B20">
        <w:rPr>
          <w:rFonts w:cs="Times New Roman"/>
          <w:szCs w:val="24"/>
        </w:rPr>
        <w:t>the Company</w:t>
      </w:r>
      <w:r>
        <w:rPr>
          <w:rFonts w:cs="Times New Roman"/>
          <w:szCs w:val="24"/>
        </w:rPr>
        <w:t xml:space="preserve"> may find there are additional costs that cannot be anticipated at this point.  </w:t>
      </w:r>
    </w:p>
    <w:p w:rsidR="00F45919" w:rsidRPr="00347087" w:rsidRDefault="00F45919" w:rsidP="00204C75">
      <w:pPr>
        <w:spacing w:line="360" w:lineRule="auto"/>
        <w:ind w:firstLine="720"/>
        <w:jc w:val="both"/>
        <w:rPr>
          <w:rFonts w:cs="Times New Roman"/>
          <w:szCs w:val="24"/>
        </w:rPr>
      </w:pPr>
      <w:r w:rsidRPr="00347087">
        <w:rPr>
          <w:rFonts w:cs="Times New Roman"/>
          <w:szCs w:val="24"/>
        </w:rPr>
        <w:t xml:space="preserve">Avista </w:t>
      </w:r>
      <w:r w:rsidR="000E0108" w:rsidRPr="00347087">
        <w:rPr>
          <w:rFonts w:cs="Times New Roman"/>
          <w:szCs w:val="24"/>
        </w:rPr>
        <w:t xml:space="preserve">again </w:t>
      </w:r>
      <w:r w:rsidRPr="00347087">
        <w:rPr>
          <w:rFonts w:cs="Times New Roman"/>
          <w:szCs w:val="24"/>
        </w:rPr>
        <w:t xml:space="preserve">appreciates the opportunity to provide these comments, and we look forward to participating in </w:t>
      </w:r>
      <w:r w:rsidR="00794224" w:rsidRPr="00347087">
        <w:rPr>
          <w:rFonts w:cs="Times New Roman"/>
          <w:szCs w:val="24"/>
        </w:rPr>
        <w:t>any future workshops or discussions</w:t>
      </w:r>
      <w:r w:rsidRPr="00347087">
        <w:rPr>
          <w:rFonts w:cs="Times New Roman"/>
          <w:szCs w:val="24"/>
        </w:rPr>
        <w:t>.</w:t>
      </w:r>
      <w:r w:rsidR="00DA1C41" w:rsidRPr="00347087">
        <w:rPr>
          <w:rFonts w:cs="Times New Roman"/>
          <w:szCs w:val="24"/>
        </w:rPr>
        <w:t xml:space="preserve"> </w:t>
      </w:r>
      <w:r w:rsidR="00245F80" w:rsidRPr="00347087">
        <w:rPr>
          <w:rFonts w:cs="Times New Roman"/>
          <w:szCs w:val="24"/>
        </w:rPr>
        <w:t xml:space="preserve"> </w:t>
      </w:r>
      <w:r w:rsidRPr="00347087">
        <w:rPr>
          <w:rFonts w:cs="Times New Roman"/>
          <w:szCs w:val="24"/>
        </w:rPr>
        <w:t xml:space="preserve">If you have any questions regarding these comments, please contact </w:t>
      </w:r>
      <w:r w:rsidR="00E969C6">
        <w:rPr>
          <w:rFonts w:cs="Times New Roman"/>
          <w:szCs w:val="24"/>
        </w:rPr>
        <w:t xml:space="preserve">Frank Binder at 509-495-4270 or at </w:t>
      </w:r>
      <w:hyperlink r:id="rId11" w:history="1">
        <w:r w:rsidR="00E969C6" w:rsidRPr="002A4255">
          <w:rPr>
            <w:rStyle w:val="Hyperlink"/>
            <w:rFonts w:cs="Times New Roman"/>
            <w:szCs w:val="24"/>
          </w:rPr>
          <w:t>frank.binder@avistacorp.com</w:t>
        </w:r>
      </w:hyperlink>
      <w:r w:rsidR="00E969C6">
        <w:rPr>
          <w:rFonts w:cs="Times New Roman"/>
          <w:szCs w:val="24"/>
        </w:rPr>
        <w:t xml:space="preserve"> or myself</w:t>
      </w:r>
      <w:r w:rsidRPr="00347087">
        <w:rPr>
          <w:rFonts w:cs="Times New Roman"/>
          <w:szCs w:val="24"/>
        </w:rPr>
        <w:t xml:space="preserve"> </w:t>
      </w:r>
      <w:r w:rsidR="001B29A5" w:rsidRPr="00347087">
        <w:rPr>
          <w:rFonts w:cs="Times New Roman"/>
          <w:szCs w:val="24"/>
        </w:rPr>
        <w:t>at 509-495-4975</w:t>
      </w:r>
      <w:r w:rsidR="00DA1C41" w:rsidRPr="00347087">
        <w:rPr>
          <w:rFonts w:cs="Times New Roman"/>
          <w:szCs w:val="24"/>
        </w:rPr>
        <w:t xml:space="preserve"> or at </w:t>
      </w:r>
      <w:hyperlink r:id="rId12" w:history="1">
        <w:r w:rsidR="00DA1C41" w:rsidRPr="00347087">
          <w:rPr>
            <w:rStyle w:val="Hyperlink"/>
            <w:rFonts w:cs="Times New Roman"/>
            <w:szCs w:val="24"/>
          </w:rPr>
          <w:t>linda.gervais@avistacorp.com</w:t>
        </w:r>
      </w:hyperlink>
      <w:r w:rsidR="00DA1C41" w:rsidRPr="00347087">
        <w:rPr>
          <w:rFonts w:cs="Times New Roman"/>
          <w:szCs w:val="24"/>
        </w:rPr>
        <w:t>.</w:t>
      </w:r>
    </w:p>
    <w:p w:rsidR="004E58C3" w:rsidRPr="00347087" w:rsidRDefault="004E58C3" w:rsidP="00723C99">
      <w:pPr>
        <w:pStyle w:val="NoSpacing"/>
        <w:spacing w:line="360" w:lineRule="auto"/>
        <w:ind w:right="-270"/>
        <w:jc w:val="both"/>
        <w:rPr>
          <w:rFonts w:cs="Times New Roman"/>
          <w:szCs w:val="24"/>
        </w:rPr>
      </w:pPr>
    </w:p>
    <w:p w:rsidR="00337F64" w:rsidRPr="00347087" w:rsidRDefault="00337F64" w:rsidP="00337F64">
      <w:pPr>
        <w:jc w:val="both"/>
        <w:rPr>
          <w:rFonts w:cs="Times New Roman"/>
          <w:szCs w:val="24"/>
        </w:rPr>
      </w:pPr>
      <w:r w:rsidRPr="00347087">
        <w:rPr>
          <w:rFonts w:cs="Times New Roman"/>
          <w:szCs w:val="24"/>
        </w:rPr>
        <w:t>Sincerely,</w:t>
      </w:r>
    </w:p>
    <w:p w:rsidR="00337F64" w:rsidRPr="00347087" w:rsidRDefault="00337F64" w:rsidP="00337F64">
      <w:pPr>
        <w:jc w:val="both"/>
        <w:rPr>
          <w:rFonts w:cs="Times New Roman"/>
          <w:szCs w:val="24"/>
        </w:rPr>
      </w:pPr>
    </w:p>
    <w:p w:rsidR="00337F64" w:rsidRPr="00204C75" w:rsidRDefault="00337F64" w:rsidP="00337F64">
      <w:pPr>
        <w:jc w:val="both"/>
        <w:rPr>
          <w:rFonts w:ascii="Lucida Handwriting" w:hAnsi="Lucida Handwriting" w:cs="Times New Roman"/>
          <w:noProof/>
          <w:szCs w:val="24"/>
        </w:rPr>
      </w:pPr>
      <w:r w:rsidRPr="00204C75">
        <w:rPr>
          <w:rFonts w:ascii="Lucida Handwriting" w:hAnsi="Lucida Handwriting" w:cs="Times New Roman"/>
          <w:noProof/>
          <w:szCs w:val="24"/>
        </w:rPr>
        <w:t>/s/Linda Gervais/</w:t>
      </w:r>
    </w:p>
    <w:p w:rsidR="00337F64" w:rsidRPr="00347087" w:rsidRDefault="00337F64" w:rsidP="00337F64">
      <w:pPr>
        <w:jc w:val="both"/>
        <w:rPr>
          <w:rFonts w:cs="Times New Roman"/>
          <w:szCs w:val="24"/>
        </w:rPr>
      </w:pPr>
    </w:p>
    <w:p w:rsidR="00337F64" w:rsidRPr="00347087" w:rsidRDefault="00337F64" w:rsidP="00337F64">
      <w:pPr>
        <w:jc w:val="both"/>
        <w:rPr>
          <w:rFonts w:cs="Times New Roman"/>
          <w:szCs w:val="24"/>
        </w:rPr>
      </w:pPr>
      <w:r w:rsidRPr="00347087">
        <w:rPr>
          <w:rFonts w:cs="Times New Roman"/>
          <w:szCs w:val="24"/>
        </w:rPr>
        <w:t>Manager, Regulatory Policy</w:t>
      </w:r>
    </w:p>
    <w:p w:rsidR="00337F64" w:rsidRPr="00347087" w:rsidRDefault="00337F64" w:rsidP="00337F64">
      <w:pPr>
        <w:jc w:val="both"/>
        <w:rPr>
          <w:rFonts w:cs="Times New Roman"/>
          <w:szCs w:val="24"/>
          <w:lang w:val="fr-FR"/>
        </w:rPr>
      </w:pPr>
      <w:r w:rsidRPr="00347087">
        <w:rPr>
          <w:rFonts w:cs="Times New Roman"/>
          <w:szCs w:val="24"/>
          <w:lang w:val="fr-FR"/>
        </w:rPr>
        <w:t>Avista Utilities</w:t>
      </w:r>
    </w:p>
    <w:p w:rsidR="00337F64" w:rsidRPr="00347087" w:rsidRDefault="009B1678" w:rsidP="00337F64">
      <w:pPr>
        <w:jc w:val="both"/>
        <w:rPr>
          <w:rFonts w:cs="Times New Roman"/>
          <w:szCs w:val="24"/>
          <w:lang w:val="fr-FR"/>
        </w:rPr>
      </w:pPr>
      <w:hyperlink r:id="rId13" w:history="1">
        <w:r w:rsidR="00337F64" w:rsidRPr="00347087">
          <w:rPr>
            <w:rStyle w:val="Hyperlink"/>
            <w:rFonts w:cs="Times New Roman"/>
            <w:szCs w:val="24"/>
            <w:lang w:val="fr-FR"/>
          </w:rPr>
          <w:t>linda.gervais@avistacorp.com</w:t>
        </w:r>
      </w:hyperlink>
    </w:p>
    <w:p w:rsidR="002C15E5" w:rsidRPr="00347087" w:rsidRDefault="001704E6" w:rsidP="001704E6">
      <w:pPr>
        <w:jc w:val="both"/>
        <w:rPr>
          <w:rFonts w:cs="Times New Roman"/>
          <w:szCs w:val="24"/>
          <w:lang w:val="fr-FR"/>
        </w:rPr>
      </w:pPr>
      <w:r w:rsidRPr="00347087">
        <w:rPr>
          <w:rFonts w:cs="Times New Roman"/>
          <w:szCs w:val="24"/>
          <w:lang w:val="fr-FR"/>
        </w:rPr>
        <w:t>509-495-4975</w:t>
      </w:r>
      <w:bookmarkStart w:id="0" w:name="_GoBack"/>
      <w:bookmarkEnd w:id="0"/>
    </w:p>
    <w:sectPr w:rsidR="002C15E5" w:rsidRPr="00347087" w:rsidSect="009E77D8">
      <w:footerReference w:type="default" r:id="rId14"/>
      <w:headerReference w:type="first" r:id="rId15"/>
      <w:pgSz w:w="12240" w:h="15840"/>
      <w:pgMar w:top="1440" w:right="1440" w:bottom="1440" w:left="1440" w:header="360" w:footer="226"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12" w:rsidRDefault="00B84812" w:rsidP="002A1126">
      <w:r>
        <w:separator/>
      </w:r>
    </w:p>
  </w:endnote>
  <w:endnote w:type="continuationSeparator" w:id="0">
    <w:p w:rsidR="00B84812" w:rsidRDefault="00B84812"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12" w:rsidRDefault="00B84812" w:rsidP="00F54081">
    <w:pPr>
      <w:jc w:val="center"/>
    </w:pPr>
    <w:sdt>
      <w:sdtPr>
        <w:id w:val="254450023"/>
        <w:docPartObj>
          <w:docPartGallery w:val="Page Numbers (Top of Page)"/>
          <w:docPartUnique/>
        </w:docPartObj>
      </w:sdtPr>
      <w:sdtContent>
        <w:r w:rsidRPr="00F54081">
          <w:rPr>
            <w:rFonts w:cs="Times New Roman"/>
          </w:rPr>
          <w:t xml:space="preserve">Page </w:t>
        </w:r>
        <w:r w:rsidRPr="00F54081">
          <w:rPr>
            <w:rFonts w:cs="Times New Roman"/>
          </w:rPr>
          <w:fldChar w:fldCharType="begin"/>
        </w:r>
        <w:r w:rsidRPr="00F54081">
          <w:rPr>
            <w:rFonts w:cs="Times New Roman"/>
          </w:rPr>
          <w:instrText xml:space="preserve"> PAGE </w:instrText>
        </w:r>
        <w:r w:rsidRPr="00F54081">
          <w:rPr>
            <w:rFonts w:cs="Times New Roman"/>
          </w:rPr>
          <w:fldChar w:fldCharType="separate"/>
        </w:r>
        <w:r w:rsidR="00BD1B20">
          <w:rPr>
            <w:rFonts w:cs="Times New Roman"/>
            <w:noProof/>
          </w:rPr>
          <w:t>3</w:t>
        </w:r>
        <w:r w:rsidRPr="00F54081">
          <w:rPr>
            <w:rFonts w:cs="Times New Roman"/>
          </w:rPr>
          <w:fldChar w:fldCharType="end"/>
        </w:r>
        <w:r w:rsidRPr="00F54081">
          <w:rPr>
            <w:rFonts w:cs="Times New Roman"/>
          </w:rPr>
          <w:t xml:space="preserve"> of </w:t>
        </w:r>
        <w:r w:rsidRPr="00F54081">
          <w:rPr>
            <w:rFonts w:cs="Times New Roman"/>
          </w:rPr>
          <w:fldChar w:fldCharType="begin"/>
        </w:r>
        <w:r w:rsidRPr="00F54081">
          <w:rPr>
            <w:rFonts w:cs="Times New Roman"/>
          </w:rPr>
          <w:instrText xml:space="preserve"> NUMPAGES  </w:instrText>
        </w:r>
        <w:r w:rsidRPr="00F54081">
          <w:rPr>
            <w:rFonts w:cs="Times New Roman"/>
          </w:rPr>
          <w:fldChar w:fldCharType="separate"/>
        </w:r>
        <w:r w:rsidR="00BD1B20">
          <w:rPr>
            <w:rFonts w:cs="Times New Roman"/>
            <w:noProof/>
          </w:rPr>
          <w:t>5</w:t>
        </w:r>
        <w:r w:rsidRPr="00F54081">
          <w:rPr>
            <w:rFonts w:cs="Times New Roman"/>
          </w:rPr>
          <w:fldChar w:fldCharType="end"/>
        </w:r>
      </w:sdtContent>
    </w:sdt>
  </w:p>
  <w:p w:rsidR="00B84812" w:rsidRDefault="00B84812">
    <w:pPr>
      <w:pStyle w:val="Footer"/>
      <w:pBdr>
        <w:top w:val="single" w:sz="4" w:space="1" w:color="D9D9D9" w:themeColor="background1" w:themeShade="D9"/>
      </w:pBdr>
      <w:jc w:val="right"/>
    </w:pPr>
  </w:p>
  <w:p w:rsidR="00B84812" w:rsidRDefault="00B84812"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12" w:rsidRDefault="00B84812" w:rsidP="002A1126">
      <w:r>
        <w:separator/>
      </w:r>
    </w:p>
  </w:footnote>
  <w:footnote w:type="continuationSeparator" w:id="0">
    <w:p w:rsidR="00B84812" w:rsidRDefault="00B84812"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12" w:rsidRDefault="00B84812"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4FFD"/>
    <w:multiLevelType w:val="hybridMultilevel"/>
    <w:tmpl w:val="A61031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97579"/>
    <w:multiLevelType w:val="multilevel"/>
    <w:tmpl w:val="FA7E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FF1AFE"/>
    <w:multiLevelType w:val="hybridMultilevel"/>
    <w:tmpl w:val="76F4D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77789C"/>
    <w:multiLevelType w:val="multilevel"/>
    <w:tmpl w:val="FD2E93D8"/>
    <w:lvl w:ilvl="0">
      <w:start w:val="1"/>
      <w:numFmt w:val="upperRoman"/>
      <w:pStyle w:val="Heading1"/>
      <w:lvlText w:val="%1."/>
      <w:lvlJc w:val="left"/>
      <w:pPr>
        <w:tabs>
          <w:tab w:val="num" w:pos="9000"/>
        </w:tabs>
        <w:ind w:left="9000" w:hanging="720"/>
      </w:pPr>
      <w:rPr>
        <w:rFonts w:hint="default"/>
        <w:b/>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5">
    <w:nsid w:val="23301C46"/>
    <w:multiLevelType w:val="hybridMultilevel"/>
    <w:tmpl w:val="D3E6C6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551E3D"/>
    <w:multiLevelType w:val="hybridMultilevel"/>
    <w:tmpl w:val="0D084B58"/>
    <w:lvl w:ilvl="0" w:tplc="12780584">
      <w:start w:val="2"/>
      <w:numFmt w:val="bullet"/>
      <w:lvlText w:val=""/>
      <w:lvlJc w:val="left"/>
      <w:pPr>
        <w:ind w:left="1800" w:hanging="360"/>
      </w:pPr>
      <w:rPr>
        <w:rFonts w:ascii="Wingdings" w:eastAsiaTheme="minorHAnsi" w:hAnsi="Wingdings"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BD7119A"/>
    <w:multiLevelType w:val="hybridMultilevel"/>
    <w:tmpl w:val="DDA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021B5"/>
    <w:multiLevelType w:val="multilevel"/>
    <w:tmpl w:val="BA50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8BE51F6"/>
    <w:multiLevelType w:val="multilevel"/>
    <w:tmpl w:val="1A92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2">
    <w:nsid w:val="7E1831E5"/>
    <w:multiLevelType w:val="multilevel"/>
    <w:tmpl w:val="933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9"/>
  </w:num>
  <w:num w:numId="8">
    <w:abstractNumId w:val="5"/>
  </w:num>
  <w:num w:numId="9">
    <w:abstractNumId w:val="0"/>
  </w:num>
  <w:num w:numId="10">
    <w:abstractNumId w:val="3"/>
  </w:num>
  <w:num w:numId="11">
    <w:abstractNumId w:val="12"/>
  </w:num>
  <w:num w:numId="12">
    <w:abstractNumId w:val="2"/>
  </w:num>
  <w:num w:numId="13">
    <w:abstractNumId w:val="8"/>
  </w:num>
  <w:num w:numId="14">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1857"/>
  </w:hdrShapeDefaults>
  <w:footnotePr>
    <w:footnote w:id="-1"/>
    <w:footnote w:id="0"/>
  </w:footnotePr>
  <w:endnotePr>
    <w:endnote w:id="-1"/>
    <w:endnote w:id="0"/>
  </w:endnotePr>
  <w:compat/>
  <w:rsids>
    <w:rsidRoot w:val="003D0502"/>
    <w:rsid w:val="0000140D"/>
    <w:rsid w:val="00002172"/>
    <w:rsid w:val="00003A85"/>
    <w:rsid w:val="0000448F"/>
    <w:rsid w:val="00006A8B"/>
    <w:rsid w:val="000127CB"/>
    <w:rsid w:val="000136C6"/>
    <w:rsid w:val="00014093"/>
    <w:rsid w:val="00014413"/>
    <w:rsid w:val="00016B93"/>
    <w:rsid w:val="0001784C"/>
    <w:rsid w:val="000200ED"/>
    <w:rsid w:val="00023E84"/>
    <w:rsid w:val="00024981"/>
    <w:rsid w:val="00024D47"/>
    <w:rsid w:val="00025F13"/>
    <w:rsid w:val="00030958"/>
    <w:rsid w:val="00030D19"/>
    <w:rsid w:val="00032454"/>
    <w:rsid w:val="000324D5"/>
    <w:rsid w:val="00032FC3"/>
    <w:rsid w:val="00033422"/>
    <w:rsid w:val="000369B1"/>
    <w:rsid w:val="000372D7"/>
    <w:rsid w:val="000403E5"/>
    <w:rsid w:val="000408AE"/>
    <w:rsid w:val="00041082"/>
    <w:rsid w:val="0004136D"/>
    <w:rsid w:val="00041544"/>
    <w:rsid w:val="00045677"/>
    <w:rsid w:val="0004778A"/>
    <w:rsid w:val="000478DB"/>
    <w:rsid w:val="00050D45"/>
    <w:rsid w:val="000547D1"/>
    <w:rsid w:val="000563FC"/>
    <w:rsid w:val="000600BF"/>
    <w:rsid w:val="00060E3E"/>
    <w:rsid w:val="00061332"/>
    <w:rsid w:val="000627E7"/>
    <w:rsid w:val="00063416"/>
    <w:rsid w:val="00070EC8"/>
    <w:rsid w:val="00073AB0"/>
    <w:rsid w:val="00076745"/>
    <w:rsid w:val="00080506"/>
    <w:rsid w:val="0008076B"/>
    <w:rsid w:val="00085244"/>
    <w:rsid w:val="00094F8C"/>
    <w:rsid w:val="000959FD"/>
    <w:rsid w:val="00096B9F"/>
    <w:rsid w:val="000A0E80"/>
    <w:rsid w:val="000A2752"/>
    <w:rsid w:val="000A4D07"/>
    <w:rsid w:val="000B3340"/>
    <w:rsid w:val="000B4ABF"/>
    <w:rsid w:val="000B6054"/>
    <w:rsid w:val="000C013E"/>
    <w:rsid w:val="000C02F5"/>
    <w:rsid w:val="000C113A"/>
    <w:rsid w:val="000C246C"/>
    <w:rsid w:val="000C6E91"/>
    <w:rsid w:val="000D42C2"/>
    <w:rsid w:val="000D5CF8"/>
    <w:rsid w:val="000D7B51"/>
    <w:rsid w:val="000E0108"/>
    <w:rsid w:val="000E07C5"/>
    <w:rsid w:val="000E3BC1"/>
    <w:rsid w:val="000E57AB"/>
    <w:rsid w:val="000F4873"/>
    <w:rsid w:val="000F6593"/>
    <w:rsid w:val="00100CC6"/>
    <w:rsid w:val="001025A2"/>
    <w:rsid w:val="001105A9"/>
    <w:rsid w:val="00112AA2"/>
    <w:rsid w:val="00112FA1"/>
    <w:rsid w:val="00114294"/>
    <w:rsid w:val="001143EF"/>
    <w:rsid w:val="00114E77"/>
    <w:rsid w:val="0012146D"/>
    <w:rsid w:val="00121794"/>
    <w:rsid w:val="00121921"/>
    <w:rsid w:val="00121CE1"/>
    <w:rsid w:val="00122A8E"/>
    <w:rsid w:val="00124023"/>
    <w:rsid w:val="00126219"/>
    <w:rsid w:val="00130FB2"/>
    <w:rsid w:val="0013232A"/>
    <w:rsid w:val="001323AC"/>
    <w:rsid w:val="0013289B"/>
    <w:rsid w:val="0013313A"/>
    <w:rsid w:val="00134D33"/>
    <w:rsid w:val="001350B8"/>
    <w:rsid w:val="00135994"/>
    <w:rsid w:val="00141649"/>
    <w:rsid w:val="00141C59"/>
    <w:rsid w:val="00142494"/>
    <w:rsid w:val="00144D07"/>
    <w:rsid w:val="00151379"/>
    <w:rsid w:val="00152650"/>
    <w:rsid w:val="00156362"/>
    <w:rsid w:val="00161957"/>
    <w:rsid w:val="00163852"/>
    <w:rsid w:val="00164AF1"/>
    <w:rsid w:val="001704E6"/>
    <w:rsid w:val="00172CB2"/>
    <w:rsid w:val="00175151"/>
    <w:rsid w:val="00181A2B"/>
    <w:rsid w:val="00185E9D"/>
    <w:rsid w:val="001861EC"/>
    <w:rsid w:val="00187F9A"/>
    <w:rsid w:val="001904A7"/>
    <w:rsid w:val="00190A52"/>
    <w:rsid w:val="00192EAB"/>
    <w:rsid w:val="00194BB7"/>
    <w:rsid w:val="001959AF"/>
    <w:rsid w:val="0019753A"/>
    <w:rsid w:val="001A1A18"/>
    <w:rsid w:val="001A3D78"/>
    <w:rsid w:val="001A7D0D"/>
    <w:rsid w:val="001B29A5"/>
    <w:rsid w:val="001B345F"/>
    <w:rsid w:val="001B459E"/>
    <w:rsid w:val="001B7697"/>
    <w:rsid w:val="001B76E4"/>
    <w:rsid w:val="001C7F24"/>
    <w:rsid w:val="001D0948"/>
    <w:rsid w:val="001D1081"/>
    <w:rsid w:val="001D1692"/>
    <w:rsid w:val="001D1B3F"/>
    <w:rsid w:val="001D1FF9"/>
    <w:rsid w:val="001D2978"/>
    <w:rsid w:val="001D31D8"/>
    <w:rsid w:val="001D36A4"/>
    <w:rsid w:val="001E28E1"/>
    <w:rsid w:val="001E2AB9"/>
    <w:rsid w:val="001E3B0A"/>
    <w:rsid w:val="001E7D9B"/>
    <w:rsid w:val="001F0CEA"/>
    <w:rsid w:val="001F0D12"/>
    <w:rsid w:val="001F18E0"/>
    <w:rsid w:val="001F2052"/>
    <w:rsid w:val="001F283F"/>
    <w:rsid w:val="001F2E3F"/>
    <w:rsid w:val="001F42C5"/>
    <w:rsid w:val="001F51DD"/>
    <w:rsid w:val="00203318"/>
    <w:rsid w:val="00203604"/>
    <w:rsid w:val="00204891"/>
    <w:rsid w:val="00204C75"/>
    <w:rsid w:val="0020757C"/>
    <w:rsid w:val="00212AE5"/>
    <w:rsid w:val="00220F45"/>
    <w:rsid w:val="002266B5"/>
    <w:rsid w:val="00226C7D"/>
    <w:rsid w:val="00226ECB"/>
    <w:rsid w:val="00227269"/>
    <w:rsid w:val="0023063C"/>
    <w:rsid w:val="00233E76"/>
    <w:rsid w:val="00237605"/>
    <w:rsid w:val="0023779F"/>
    <w:rsid w:val="002412B7"/>
    <w:rsid w:val="00242B23"/>
    <w:rsid w:val="00245F80"/>
    <w:rsid w:val="00247995"/>
    <w:rsid w:val="00250FBC"/>
    <w:rsid w:val="00251EE8"/>
    <w:rsid w:val="002533FB"/>
    <w:rsid w:val="00253AFD"/>
    <w:rsid w:val="00257155"/>
    <w:rsid w:val="0026289F"/>
    <w:rsid w:val="002664BF"/>
    <w:rsid w:val="002671D5"/>
    <w:rsid w:val="00267D61"/>
    <w:rsid w:val="00267FA3"/>
    <w:rsid w:val="00270415"/>
    <w:rsid w:val="002739EC"/>
    <w:rsid w:val="00275A9F"/>
    <w:rsid w:val="00277A78"/>
    <w:rsid w:val="002823D9"/>
    <w:rsid w:val="00282AB5"/>
    <w:rsid w:val="0028390B"/>
    <w:rsid w:val="00283B9C"/>
    <w:rsid w:val="00286CB8"/>
    <w:rsid w:val="0028789C"/>
    <w:rsid w:val="00287DF2"/>
    <w:rsid w:val="0029090A"/>
    <w:rsid w:val="00292195"/>
    <w:rsid w:val="00294142"/>
    <w:rsid w:val="00294995"/>
    <w:rsid w:val="00294AA4"/>
    <w:rsid w:val="002962EC"/>
    <w:rsid w:val="002969E9"/>
    <w:rsid w:val="00297720"/>
    <w:rsid w:val="002A02FE"/>
    <w:rsid w:val="002A1126"/>
    <w:rsid w:val="002A409F"/>
    <w:rsid w:val="002A5E17"/>
    <w:rsid w:val="002B0234"/>
    <w:rsid w:val="002B11CA"/>
    <w:rsid w:val="002B13FA"/>
    <w:rsid w:val="002B17F0"/>
    <w:rsid w:val="002B206D"/>
    <w:rsid w:val="002B263C"/>
    <w:rsid w:val="002B3839"/>
    <w:rsid w:val="002B5170"/>
    <w:rsid w:val="002B5B9F"/>
    <w:rsid w:val="002B69C1"/>
    <w:rsid w:val="002C15E5"/>
    <w:rsid w:val="002C1955"/>
    <w:rsid w:val="002C2722"/>
    <w:rsid w:val="002C77F5"/>
    <w:rsid w:val="002D030F"/>
    <w:rsid w:val="002D0345"/>
    <w:rsid w:val="002D290B"/>
    <w:rsid w:val="002D2DBD"/>
    <w:rsid w:val="002D3798"/>
    <w:rsid w:val="002D6F35"/>
    <w:rsid w:val="002D74D3"/>
    <w:rsid w:val="002E1BC8"/>
    <w:rsid w:val="002E459F"/>
    <w:rsid w:val="002E54CA"/>
    <w:rsid w:val="002E59FE"/>
    <w:rsid w:val="002F080F"/>
    <w:rsid w:val="002F24F9"/>
    <w:rsid w:val="002F3B88"/>
    <w:rsid w:val="002F48BD"/>
    <w:rsid w:val="002F4C75"/>
    <w:rsid w:val="002F64C8"/>
    <w:rsid w:val="00303118"/>
    <w:rsid w:val="003058B6"/>
    <w:rsid w:val="00310CFD"/>
    <w:rsid w:val="0031408E"/>
    <w:rsid w:val="00314215"/>
    <w:rsid w:val="0031505D"/>
    <w:rsid w:val="003159E8"/>
    <w:rsid w:val="00320034"/>
    <w:rsid w:val="00321535"/>
    <w:rsid w:val="00325BE6"/>
    <w:rsid w:val="00330E1F"/>
    <w:rsid w:val="00330F93"/>
    <w:rsid w:val="00333B70"/>
    <w:rsid w:val="00336800"/>
    <w:rsid w:val="00336A40"/>
    <w:rsid w:val="00337F64"/>
    <w:rsid w:val="003429C8"/>
    <w:rsid w:val="003444EC"/>
    <w:rsid w:val="00344DC2"/>
    <w:rsid w:val="00345AD6"/>
    <w:rsid w:val="00347087"/>
    <w:rsid w:val="00347DDB"/>
    <w:rsid w:val="00350AA8"/>
    <w:rsid w:val="0035200A"/>
    <w:rsid w:val="00355D8A"/>
    <w:rsid w:val="00355E5A"/>
    <w:rsid w:val="00357E81"/>
    <w:rsid w:val="00360693"/>
    <w:rsid w:val="003636EE"/>
    <w:rsid w:val="00367A25"/>
    <w:rsid w:val="003714C8"/>
    <w:rsid w:val="003744E3"/>
    <w:rsid w:val="00380855"/>
    <w:rsid w:val="003811A1"/>
    <w:rsid w:val="00383D75"/>
    <w:rsid w:val="003850DC"/>
    <w:rsid w:val="0038594B"/>
    <w:rsid w:val="00385A19"/>
    <w:rsid w:val="00387BA9"/>
    <w:rsid w:val="0039145C"/>
    <w:rsid w:val="003930D3"/>
    <w:rsid w:val="00393131"/>
    <w:rsid w:val="003A0993"/>
    <w:rsid w:val="003A1EE2"/>
    <w:rsid w:val="003A231D"/>
    <w:rsid w:val="003A4F8B"/>
    <w:rsid w:val="003B6193"/>
    <w:rsid w:val="003B76FF"/>
    <w:rsid w:val="003C02B7"/>
    <w:rsid w:val="003C0858"/>
    <w:rsid w:val="003C086B"/>
    <w:rsid w:val="003C1468"/>
    <w:rsid w:val="003C609F"/>
    <w:rsid w:val="003C76C8"/>
    <w:rsid w:val="003D0502"/>
    <w:rsid w:val="003D0E8D"/>
    <w:rsid w:val="003D372D"/>
    <w:rsid w:val="003D6FAC"/>
    <w:rsid w:val="003E2D55"/>
    <w:rsid w:val="003E4633"/>
    <w:rsid w:val="003F08C5"/>
    <w:rsid w:val="003F19ED"/>
    <w:rsid w:val="003F3EB7"/>
    <w:rsid w:val="00403CD6"/>
    <w:rsid w:val="0040575E"/>
    <w:rsid w:val="00405CBA"/>
    <w:rsid w:val="004062F5"/>
    <w:rsid w:val="004100C6"/>
    <w:rsid w:val="0041076A"/>
    <w:rsid w:val="00411D1A"/>
    <w:rsid w:val="00412FFF"/>
    <w:rsid w:val="004147A8"/>
    <w:rsid w:val="00414A14"/>
    <w:rsid w:val="00421E87"/>
    <w:rsid w:val="00424078"/>
    <w:rsid w:val="004248E3"/>
    <w:rsid w:val="00424AA1"/>
    <w:rsid w:val="00424BF9"/>
    <w:rsid w:val="00424FF1"/>
    <w:rsid w:val="0042614B"/>
    <w:rsid w:val="00427E90"/>
    <w:rsid w:val="0043796C"/>
    <w:rsid w:val="00443684"/>
    <w:rsid w:val="0044421D"/>
    <w:rsid w:val="00445460"/>
    <w:rsid w:val="00451AC7"/>
    <w:rsid w:val="004615AE"/>
    <w:rsid w:val="00462FA8"/>
    <w:rsid w:val="0046359C"/>
    <w:rsid w:val="004635FD"/>
    <w:rsid w:val="00465E11"/>
    <w:rsid w:val="00465F5B"/>
    <w:rsid w:val="00466830"/>
    <w:rsid w:val="00470D19"/>
    <w:rsid w:val="0047264E"/>
    <w:rsid w:val="00474773"/>
    <w:rsid w:val="00476826"/>
    <w:rsid w:val="004812A6"/>
    <w:rsid w:val="004814A4"/>
    <w:rsid w:val="004852B8"/>
    <w:rsid w:val="00485E4F"/>
    <w:rsid w:val="00490D9B"/>
    <w:rsid w:val="00492A35"/>
    <w:rsid w:val="00495D55"/>
    <w:rsid w:val="00497CB9"/>
    <w:rsid w:val="004A08A5"/>
    <w:rsid w:val="004A0963"/>
    <w:rsid w:val="004A2515"/>
    <w:rsid w:val="004A5612"/>
    <w:rsid w:val="004A5DE1"/>
    <w:rsid w:val="004A5F28"/>
    <w:rsid w:val="004A6346"/>
    <w:rsid w:val="004B2CAC"/>
    <w:rsid w:val="004B5927"/>
    <w:rsid w:val="004C010A"/>
    <w:rsid w:val="004C0799"/>
    <w:rsid w:val="004C091A"/>
    <w:rsid w:val="004C6AB0"/>
    <w:rsid w:val="004C7037"/>
    <w:rsid w:val="004D05F8"/>
    <w:rsid w:val="004D08E3"/>
    <w:rsid w:val="004D0E2E"/>
    <w:rsid w:val="004D4873"/>
    <w:rsid w:val="004D58CB"/>
    <w:rsid w:val="004D6327"/>
    <w:rsid w:val="004E559F"/>
    <w:rsid w:val="004E58C3"/>
    <w:rsid w:val="004E5D26"/>
    <w:rsid w:val="004E649F"/>
    <w:rsid w:val="004F16E6"/>
    <w:rsid w:val="004F6854"/>
    <w:rsid w:val="004F6B5A"/>
    <w:rsid w:val="005011E0"/>
    <w:rsid w:val="00502351"/>
    <w:rsid w:val="00502732"/>
    <w:rsid w:val="005032A9"/>
    <w:rsid w:val="00504647"/>
    <w:rsid w:val="005073A8"/>
    <w:rsid w:val="005143F4"/>
    <w:rsid w:val="00515B74"/>
    <w:rsid w:val="0051653A"/>
    <w:rsid w:val="0051728C"/>
    <w:rsid w:val="00517EC9"/>
    <w:rsid w:val="0052036B"/>
    <w:rsid w:val="005212B2"/>
    <w:rsid w:val="005217F6"/>
    <w:rsid w:val="005243F0"/>
    <w:rsid w:val="005259AF"/>
    <w:rsid w:val="0053159B"/>
    <w:rsid w:val="00532169"/>
    <w:rsid w:val="005323DB"/>
    <w:rsid w:val="005332FE"/>
    <w:rsid w:val="005339DF"/>
    <w:rsid w:val="005342EC"/>
    <w:rsid w:val="00534672"/>
    <w:rsid w:val="005352E1"/>
    <w:rsid w:val="00540291"/>
    <w:rsid w:val="005441E7"/>
    <w:rsid w:val="00550E45"/>
    <w:rsid w:val="00551CC7"/>
    <w:rsid w:val="00554933"/>
    <w:rsid w:val="00557D8C"/>
    <w:rsid w:val="00563676"/>
    <w:rsid w:val="005638B0"/>
    <w:rsid w:val="0056405E"/>
    <w:rsid w:val="00564FAC"/>
    <w:rsid w:val="00566364"/>
    <w:rsid w:val="00567DF9"/>
    <w:rsid w:val="0057077A"/>
    <w:rsid w:val="00570C55"/>
    <w:rsid w:val="0057347E"/>
    <w:rsid w:val="00573AF2"/>
    <w:rsid w:val="005816DF"/>
    <w:rsid w:val="005846EF"/>
    <w:rsid w:val="00585112"/>
    <w:rsid w:val="005879DF"/>
    <w:rsid w:val="00590513"/>
    <w:rsid w:val="00590D6B"/>
    <w:rsid w:val="00593876"/>
    <w:rsid w:val="00594DCA"/>
    <w:rsid w:val="00595CA7"/>
    <w:rsid w:val="0059730C"/>
    <w:rsid w:val="0059764A"/>
    <w:rsid w:val="005A27E5"/>
    <w:rsid w:val="005A3B15"/>
    <w:rsid w:val="005A46CD"/>
    <w:rsid w:val="005A6447"/>
    <w:rsid w:val="005A646E"/>
    <w:rsid w:val="005B195F"/>
    <w:rsid w:val="005B40C0"/>
    <w:rsid w:val="005B5CF9"/>
    <w:rsid w:val="005B6D07"/>
    <w:rsid w:val="005B7FEE"/>
    <w:rsid w:val="005C08CC"/>
    <w:rsid w:val="005C68D0"/>
    <w:rsid w:val="005D25DA"/>
    <w:rsid w:val="005D2E4D"/>
    <w:rsid w:val="005D39B8"/>
    <w:rsid w:val="005D743B"/>
    <w:rsid w:val="005E28BB"/>
    <w:rsid w:val="005E29D7"/>
    <w:rsid w:val="005E44E7"/>
    <w:rsid w:val="005E4BC2"/>
    <w:rsid w:val="005E5E43"/>
    <w:rsid w:val="005E648A"/>
    <w:rsid w:val="005E6BE6"/>
    <w:rsid w:val="005E7BA4"/>
    <w:rsid w:val="005E7F17"/>
    <w:rsid w:val="005F15B2"/>
    <w:rsid w:val="005F2425"/>
    <w:rsid w:val="005F5108"/>
    <w:rsid w:val="005F69D4"/>
    <w:rsid w:val="005F795A"/>
    <w:rsid w:val="00600F36"/>
    <w:rsid w:val="00601F81"/>
    <w:rsid w:val="006047C1"/>
    <w:rsid w:val="00605FE9"/>
    <w:rsid w:val="0061071C"/>
    <w:rsid w:val="00611766"/>
    <w:rsid w:val="006137BA"/>
    <w:rsid w:val="0062364A"/>
    <w:rsid w:val="00623F05"/>
    <w:rsid w:val="00630EEB"/>
    <w:rsid w:val="00632713"/>
    <w:rsid w:val="00636AEF"/>
    <w:rsid w:val="00636E8B"/>
    <w:rsid w:val="00636FFE"/>
    <w:rsid w:val="006371EA"/>
    <w:rsid w:val="006414AA"/>
    <w:rsid w:val="00641915"/>
    <w:rsid w:val="006433B2"/>
    <w:rsid w:val="00646E9E"/>
    <w:rsid w:val="00650C86"/>
    <w:rsid w:val="00651A83"/>
    <w:rsid w:val="0065213E"/>
    <w:rsid w:val="006533F6"/>
    <w:rsid w:val="0065480D"/>
    <w:rsid w:val="00656E4F"/>
    <w:rsid w:val="00657626"/>
    <w:rsid w:val="006609CB"/>
    <w:rsid w:val="00664523"/>
    <w:rsid w:val="00667919"/>
    <w:rsid w:val="006711F9"/>
    <w:rsid w:val="006722CD"/>
    <w:rsid w:val="00672EEE"/>
    <w:rsid w:val="0067498C"/>
    <w:rsid w:val="00680A71"/>
    <w:rsid w:val="00681DCD"/>
    <w:rsid w:val="0068432E"/>
    <w:rsid w:val="00693DF9"/>
    <w:rsid w:val="00694FC3"/>
    <w:rsid w:val="00695A31"/>
    <w:rsid w:val="006A2183"/>
    <w:rsid w:val="006A3FDF"/>
    <w:rsid w:val="006A5880"/>
    <w:rsid w:val="006A62AE"/>
    <w:rsid w:val="006A6C0D"/>
    <w:rsid w:val="006A7BB3"/>
    <w:rsid w:val="006B1700"/>
    <w:rsid w:val="006B1CFD"/>
    <w:rsid w:val="006B2BAB"/>
    <w:rsid w:val="006B353D"/>
    <w:rsid w:val="006B36EC"/>
    <w:rsid w:val="006B71E1"/>
    <w:rsid w:val="006C18F4"/>
    <w:rsid w:val="006C1B0C"/>
    <w:rsid w:val="006C2313"/>
    <w:rsid w:val="006C5B10"/>
    <w:rsid w:val="006D11DC"/>
    <w:rsid w:val="006D5A27"/>
    <w:rsid w:val="006E1484"/>
    <w:rsid w:val="006E1862"/>
    <w:rsid w:val="006E36D1"/>
    <w:rsid w:val="006E5D26"/>
    <w:rsid w:val="006F4438"/>
    <w:rsid w:val="006F56CA"/>
    <w:rsid w:val="007002EB"/>
    <w:rsid w:val="00701DFB"/>
    <w:rsid w:val="007034F2"/>
    <w:rsid w:val="007061EC"/>
    <w:rsid w:val="00706C17"/>
    <w:rsid w:val="007103B9"/>
    <w:rsid w:val="00711287"/>
    <w:rsid w:val="00712959"/>
    <w:rsid w:val="00713AD1"/>
    <w:rsid w:val="0071533A"/>
    <w:rsid w:val="0071594D"/>
    <w:rsid w:val="00716FD3"/>
    <w:rsid w:val="00717536"/>
    <w:rsid w:val="00721C5C"/>
    <w:rsid w:val="007225D9"/>
    <w:rsid w:val="00723C99"/>
    <w:rsid w:val="00724B90"/>
    <w:rsid w:val="00725B91"/>
    <w:rsid w:val="007270B1"/>
    <w:rsid w:val="0072753B"/>
    <w:rsid w:val="00727540"/>
    <w:rsid w:val="007317C5"/>
    <w:rsid w:val="00733956"/>
    <w:rsid w:val="00733D31"/>
    <w:rsid w:val="007342D0"/>
    <w:rsid w:val="007370B7"/>
    <w:rsid w:val="00737502"/>
    <w:rsid w:val="0074320A"/>
    <w:rsid w:val="007448E4"/>
    <w:rsid w:val="007508CB"/>
    <w:rsid w:val="00752DEB"/>
    <w:rsid w:val="0075428B"/>
    <w:rsid w:val="00755728"/>
    <w:rsid w:val="00756E6E"/>
    <w:rsid w:val="007723F5"/>
    <w:rsid w:val="00775A1E"/>
    <w:rsid w:val="00780702"/>
    <w:rsid w:val="00781886"/>
    <w:rsid w:val="00781946"/>
    <w:rsid w:val="00782873"/>
    <w:rsid w:val="00783012"/>
    <w:rsid w:val="00783A79"/>
    <w:rsid w:val="00783D61"/>
    <w:rsid w:val="007857FE"/>
    <w:rsid w:val="00785D3B"/>
    <w:rsid w:val="00785D46"/>
    <w:rsid w:val="00787072"/>
    <w:rsid w:val="00792FB5"/>
    <w:rsid w:val="00794224"/>
    <w:rsid w:val="0079467E"/>
    <w:rsid w:val="007A0D7A"/>
    <w:rsid w:val="007A2872"/>
    <w:rsid w:val="007B4885"/>
    <w:rsid w:val="007B51B8"/>
    <w:rsid w:val="007B6B7C"/>
    <w:rsid w:val="007B6C4A"/>
    <w:rsid w:val="007B73D2"/>
    <w:rsid w:val="007C0661"/>
    <w:rsid w:val="007C4FE9"/>
    <w:rsid w:val="007D0415"/>
    <w:rsid w:val="007D0B52"/>
    <w:rsid w:val="007D2984"/>
    <w:rsid w:val="007D7773"/>
    <w:rsid w:val="007E0655"/>
    <w:rsid w:val="007E17D9"/>
    <w:rsid w:val="007E66A6"/>
    <w:rsid w:val="007E6FED"/>
    <w:rsid w:val="007F0B65"/>
    <w:rsid w:val="007F0B67"/>
    <w:rsid w:val="007F1944"/>
    <w:rsid w:val="007F1F99"/>
    <w:rsid w:val="007F6685"/>
    <w:rsid w:val="007F728C"/>
    <w:rsid w:val="00801F8E"/>
    <w:rsid w:val="008056F5"/>
    <w:rsid w:val="00806ECB"/>
    <w:rsid w:val="00807809"/>
    <w:rsid w:val="008104FD"/>
    <w:rsid w:val="00810643"/>
    <w:rsid w:val="0081465F"/>
    <w:rsid w:val="008158AE"/>
    <w:rsid w:val="0081705D"/>
    <w:rsid w:val="0081715B"/>
    <w:rsid w:val="00820FCA"/>
    <w:rsid w:val="008222BB"/>
    <w:rsid w:val="00822318"/>
    <w:rsid w:val="0082558C"/>
    <w:rsid w:val="00830FC6"/>
    <w:rsid w:val="00831F1A"/>
    <w:rsid w:val="008324FD"/>
    <w:rsid w:val="0083380C"/>
    <w:rsid w:val="008338EF"/>
    <w:rsid w:val="00833FF6"/>
    <w:rsid w:val="00834647"/>
    <w:rsid w:val="00835F05"/>
    <w:rsid w:val="00841CED"/>
    <w:rsid w:val="00842C18"/>
    <w:rsid w:val="00843417"/>
    <w:rsid w:val="00845F42"/>
    <w:rsid w:val="008470F7"/>
    <w:rsid w:val="00850FDC"/>
    <w:rsid w:val="00854644"/>
    <w:rsid w:val="00854DFC"/>
    <w:rsid w:val="00855465"/>
    <w:rsid w:val="008554FB"/>
    <w:rsid w:val="008630E7"/>
    <w:rsid w:val="008638DA"/>
    <w:rsid w:val="00865B54"/>
    <w:rsid w:val="00871416"/>
    <w:rsid w:val="00875189"/>
    <w:rsid w:val="008765E7"/>
    <w:rsid w:val="00882026"/>
    <w:rsid w:val="008823ED"/>
    <w:rsid w:val="00884B1C"/>
    <w:rsid w:val="00884D7D"/>
    <w:rsid w:val="00887391"/>
    <w:rsid w:val="0089038F"/>
    <w:rsid w:val="00890B99"/>
    <w:rsid w:val="00891119"/>
    <w:rsid w:val="008913CB"/>
    <w:rsid w:val="0089712F"/>
    <w:rsid w:val="008A0050"/>
    <w:rsid w:val="008A62A5"/>
    <w:rsid w:val="008A797C"/>
    <w:rsid w:val="008A7D1A"/>
    <w:rsid w:val="008B2999"/>
    <w:rsid w:val="008B5913"/>
    <w:rsid w:val="008B7A9A"/>
    <w:rsid w:val="008C1225"/>
    <w:rsid w:val="008C1322"/>
    <w:rsid w:val="008C1373"/>
    <w:rsid w:val="008C4CCB"/>
    <w:rsid w:val="008C793F"/>
    <w:rsid w:val="008D2EE0"/>
    <w:rsid w:val="008D3809"/>
    <w:rsid w:val="008D51C0"/>
    <w:rsid w:val="008E0588"/>
    <w:rsid w:val="008E088E"/>
    <w:rsid w:val="008E0B83"/>
    <w:rsid w:val="008E0C4E"/>
    <w:rsid w:val="008E36B5"/>
    <w:rsid w:val="008E4E77"/>
    <w:rsid w:val="008F154E"/>
    <w:rsid w:val="008F1C1C"/>
    <w:rsid w:val="008F1C60"/>
    <w:rsid w:val="008F4417"/>
    <w:rsid w:val="008F6B70"/>
    <w:rsid w:val="00900550"/>
    <w:rsid w:val="00900AB5"/>
    <w:rsid w:val="00902D20"/>
    <w:rsid w:val="00903BA6"/>
    <w:rsid w:val="00904D73"/>
    <w:rsid w:val="00910766"/>
    <w:rsid w:val="009114C9"/>
    <w:rsid w:val="009115F0"/>
    <w:rsid w:val="00912146"/>
    <w:rsid w:val="00912256"/>
    <w:rsid w:val="009125F3"/>
    <w:rsid w:val="00914329"/>
    <w:rsid w:val="00914D37"/>
    <w:rsid w:val="00916727"/>
    <w:rsid w:val="00916AB6"/>
    <w:rsid w:val="00922AAB"/>
    <w:rsid w:val="00923912"/>
    <w:rsid w:val="00925DBC"/>
    <w:rsid w:val="00927634"/>
    <w:rsid w:val="00932DE1"/>
    <w:rsid w:val="00932F10"/>
    <w:rsid w:val="0093458D"/>
    <w:rsid w:val="00934842"/>
    <w:rsid w:val="009355C2"/>
    <w:rsid w:val="00937773"/>
    <w:rsid w:val="00940721"/>
    <w:rsid w:val="00944CC6"/>
    <w:rsid w:val="00945273"/>
    <w:rsid w:val="009501A5"/>
    <w:rsid w:val="00952D29"/>
    <w:rsid w:val="00954B4F"/>
    <w:rsid w:val="00957D38"/>
    <w:rsid w:val="0096056F"/>
    <w:rsid w:val="00960810"/>
    <w:rsid w:val="009611CD"/>
    <w:rsid w:val="009638BF"/>
    <w:rsid w:val="009709CB"/>
    <w:rsid w:val="009710E9"/>
    <w:rsid w:val="00971839"/>
    <w:rsid w:val="00971A4C"/>
    <w:rsid w:val="00981510"/>
    <w:rsid w:val="0098158F"/>
    <w:rsid w:val="009824E7"/>
    <w:rsid w:val="00984174"/>
    <w:rsid w:val="0098567E"/>
    <w:rsid w:val="0098630C"/>
    <w:rsid w:val="00990135"/>
    <w:rsid w:val="0099069C"/>
    <w:rsid w:val="00990D63"/>
    <w:rsid w:val="009921FF"/>
    <w:rsid w:val="009938DD"/>
    <w:rsid w:val="00995742"/>
    <w:rsid w:val="009A3099"/>
    <w:rsid w:val="009B0624"/>
    <w:rsid w:val="009B1678"/>
    <w:rsid w:val="009B6923"/>
    <w:rsid w:val="009B692F"/>
    <w:rsid w:val="009C033C"/>
    <w:rsid w:val="009C2390"/>
    <w:rsid w:val="009C36BF"/>
    <w:rsid w:val="009C6182"/>
    <w:rsid w:val="009D0780"/>
    <w:rsid w:val="009D0828"/>
    <w:rsid w:val="009D339C"/>
    <w:rsid w:val="009D3BFB"/>
    <w:rsid w:val="009D4974"/>
    <w:rsid w:val="009D6863"/>
    <w:rsid w:val="009E03E0"/>
    <w:rsid w:val="009E1906"/>
    <w:rsid w:val="009E77D8"/>
    <w:rsid w:val="009F0A37"/>
    <w:rsid w:val="009F2424"/>
    <w:rsid w:val="009F52B2"/>
    <w:rsid w:val="009F5FA1"/>
    <w:rsid w:val="00A001C6"/>
    <w:rsid w:val="00A10F90"/>
    <w:rsid w:val="00A13A4A"/>
    <w:rsid w:val="00A13E56"/>
    <w:rsid w:val="00A1416B"/>
    <w:rsid w:val="00A15075"/>
    <w:rsid w:val="00A15A6A"/>
    <w:rsid w:val="00A1616F"/>
    <w:rsid w:val="00A208C9"/>
    <w:rsid w:val="00A218A3"/>
    <w:rsid w:val="00A2380F"/>
    <w:rsid w:val="00A253F3"/>
    <w:rsid w:val="00A26D41"/>
    <w:rsid w:val="00A3227B"/>
    <w:rsid w:val="00A3390B"/>
    <w:rsid w:val="00A43424"/>
    <w:rsid w:val="00A44841"/>
    <w:rsid w:val="00A44ECD"/>
    <w:rsid w:val="00A509B2"/>
    <w:rsid w:val="00A52EF2"/>
    <w:rsid w:val="00A53C80"/>
    <w:rsid w:val="00A56024"/>
    <w:rsid w:val="00A607DE"/>
    <w:rsid w:val="00A60B7C"/>
    <w:rsid w:val="00A618F4"/>
    <w:rsid w:val="00A63D4B"/>
    <w:rsid w:val="00A6710F"/>
    <w:rsid w:val="00A711C1"/>
    <w:rsid w:val="00A743C4"/>
    <w:rsid w:val="00A7464C"/>
    <w:rsid w:val="00A75F9C"/>
    <w:rsid w:val="00A76CA3"/>
    <w:rsid w:val="00A80FDD"/>
    <w:rsid w:val="00A868CC"/>
    <w:rsid w:val="00A87384"/>
    <w:rsid w:val="00A900C2"/>
    <w:rsid w:val="00A901AA"/>
    <w:rsid w:val="00A907C3"/>
    <w:rsid w:val="00A90AB3"/>
    <w:rsid w:val="00A914E0"/>
    <w:rsid w:val="00A93ACD"/>
    <w:rsid w:val="00A941B5"/>
    <w:rsid w:val="00A9450F"/>
    <w:rsid w:val="00A9631D"/>
    <w:rsid w:val="00AA00D2"/>
    <w:rsid w:val="00AA056F"/>
    <w:rsid w:val="00AA07C1"/>
    <w:rsid w:val="00AA1698"/>
    <w:rsid w:val="00AA22E1"/>
    <w:rsid w:val="00AA28C5"/>
    <w:rsid w:val="00AA2F6D"/>
    <w:rsid w:val="00AA3495"/>
    <w:rsid w:val="00AA3B5C"/>
    <w:rsid w:val="00AA4CD4"/>
    <w:rsid w:val="00AA67CB"/>
    <w:rsid w:val="00AA6813"/>
    <w:rsid w:val="00AB0867"/>
    <w:rsid w:val="00AB25AE"/>
    <w:rsid w:val="00AB69EC"/>
    <w:rsid w:val="00AB7F40"/>
    <w:rsid w:val="00AC2B68"/>
    <w:rsid w:val="00AC5DF9"/>
    <w:rsid w:val="00AC6C07"/>
    <w:rsid w:val="00AD03B9"/>
    <w:rsid w:val="00AD1924"/>
    <w:rsid w:val="00AD214D"/>
    <w:rsid w:val="00AD2D03"/>
    <w:rsid w:val="00AD369A"/>
    <w:rsid w:val="00AD3C19"/>
    <w:rsid w:val="00AD7EC3"/>
    <w:rsid w:val="00AE1633"/>
    <w:rsid w:val="00AE2219"/>
    <w:rsid w:val="00AE370B"/>
    <w:rsid w:val="00AE3FE6"/>
    <w:rsid w:val="00AE6020"/>
    <w:rsid w:val="00AE6416"/>
    <w:rsid w:val="00AF347F"/>
    <w:rsid w:val="00AF3EBB"/>
    <w:rsid w:val="00AF48C0"/>
    <w:rsid w:val="00AF5938"/>
    <w:rsid w:val="00AF6EA1"/>
    <w:rsid w:val="00AF7585"/>
    <w:rsid w:val="00B00966"/>
    <w:rsid w:val="00B02907"/>
    <w:rsid w:val="00B04EA6"/>
    <w:rsid w:val="00B074FC"/>
    <w:rsid w:val="00B1008C"/>
    <w:rsid w:val="00B1113A"/>
    <w:rsid w:val="00B127F7"/>
    <w:rsid w:val="00B139B6"/>
    <w:rsid w:val="00B156C5"/>
    <w:rsid w:val="00B16CCE"/>
    <w:rsid w:val="00B1723F"/>
    <w:rsid w:val="00B205FC"/>
    <w:rsid w:val="00B227F8"/>
    <w:rsid w:val="00B257F8"/>
    <w:rsid w:val="00B2600B"/>
    <w:rsid w:val="00B26EDE"/>
    <w:rsid w:val="00B33C0D"/>
    <w:rsid w:val="00B347F6"/>
    <w:rsid w:val="00B3771B"/>
    <w:rsid w:val="00B4192A"/>
    <w:rsid w:val="00B41D5C"/>
    <w:rsid w:val="00B42145"/>
    <w:rsid w:val="00B42988"/>
    <w:rsid w:val="00B45944"/>
    <w:rsid w:val="00B45A36"/>
    <w:rsid w:val="00B47D83"/>
    <w:rsid w:val="00B51A03"/>
    <w:rsid w:val="00B55D6C"/>
    <w:rsid w:val="00B57C5B"/>
    <w:rsid w:val="00B57E90"/>
    <w:rsid w:val="00B61ECD"/>
    <w:rsid w:val="00B6200C"/>
    <w:rsid w:val="00B71D4E"/>
    <w:rsid w:val="00B7445F"/>
    <w:rsid w:val="00B77D7C"/>
    <w:rsid w:val="00B81BF7"/>
    <w:rsid w:val="00B826D7"/>
    <w:rsid w:val="00B84036"/>
    <w:rsid w:val="00B84812"/>
    <w:rsid w:val="00B856B6"/>
    <w:rsid w:val="00B912D4"/>
    <w:rsid w:val="00B91DAF"/>
    <w:rsid w:val="00B9255B"/>
    <w:rsid w:val="00B94CD3"/>
    <w:rsid w:val="00B97D50"/>
    <w:rsid w:val="00BA17EA"/>
    <w:rsid w:val="00BA1821"/>
    <w:rsid w:val="00BA60A7"/>
    <w:rsid w:val="00BA7342"/>
    <w:rsid w:val="00BA7904"/>
    <w:rsid w:val="00BA7BEA"/>
    <w:rsid w:val="00BB1902"/>
    <w:rsid w:val="00BB269E"/>
    <w:rsid w:val="00BB3DCA"/>
    <w:rsid w:val="00BB4324"/>
    <w:rsid w:val="00BB5036"/>
    <w:rsid w:val="00BB5110"/>
    <w:rsid w:val="00BC06AD"/>
    <w:rsid w:val="00BC211D"/>
    <w:rsid w:val="00BC21ED"/>
    <w:rsid w:val="00BD1B20"/>
    <w:rsid w:val="00BD43C3"/>
    <w:rsid w:val="00BD68AE"/>
    <w:rsid w:val="00BE05B8"/>
    <w:rsid w:val="00BE3814"/>
    <w:rsid w:val="00BE4271"/>
    <w:rsid w:val="00BE51AE"/>
    <w:rsid w:val="00BF231F"/>
    <w:rsid w:val="00BF4BC2"/>
    <w:rsid w:val="00BF4E05"/>
    <w:rsid w:val="00BF7687"/>
    <w:rsid w:val="00C0079D"/>
    <w:rsid w:val="00C0419A"/>
    <w:rsid w:val="00C047CA"/>
    <w:rsid w:val="00C07357"/>
    <w:rsid w:val="00C10BD6"/>
    <w:rsid w:val="00C10F92"/>
    <w:rsid w:val="00C12012"/>
    <w:rsid w:val="00C15396"/>
    <w:rsid w:val="00C15712"/>
    <w:rsid w:val="00C15A9E"/>
    <w:rsid w:val="00C15D7D"/>
    <w:rsid w:val="00C15FB9"/>
    <w:rsid w:val="00C20A1F"/>
    <w:rsid w:val="00C35CF9"/>
    <w:rsid w:val="00C362BD"/>
    <w:rsid w:val="00C40C3A"/>
    <w:rsid w:val="00C4332C"/>
    <w:rsid w:val="00C439A4"/>
    <w:rsid w:val="00C44D67"/>
    <w:rsid w:val="00C5098C"/>
    <w:rsid w:val="00C50A74"/>
    <w:rsid w:val="00C51256"/>
    <w:rsid w:val="00C51948"/>
    <w:rsid w:val="00C51FB2"/>
    <w:rsid w:val="00C64521"/>
    <w:rsid w:val="00C64980"/>
    <w:rsid w:val="00C65607"/>
    <w:rsid w:val="00C66D2E"/>
    <w:rsid w:val="00C70936"/>
    <w:rsid w:val="00C7459C"/>
    <w:rsid w:val="00C74EEB"/>
    <w:rsid w:val="00C773FF"/>
    <w:rsid w:val="00C77673"/>
    <w:rsid w:val="00C82F8E"/>
    <w:rsid w:val="00C85912"/>
    <w:rsid w:val="00C872C3"/>
    <w:rsid w:val="00C879A6"/>
    <w:rsid w:val="00C96782"/>
    <w:rsid w:val="00C975FD"/>
    <w:rsid w:val="00CA3409"/>
    <w:rsid w:val="00CA50EE"/>
    <w:rsid w:val="00CA5320"/>
    <w:rsid w:val="00CA6518"/>
    <w:rsid w:val="00CA6C25"/>
    <w:rsid w:val="00CA709E"/>
    <w:rsid w:val="00CA7328"/>
    <w:rsid w:val="00CB1541"/>
    <w:rsid w:val="00CB2634"/>
    <w:rsid w:val="00CB3400"/>
    <w:rsid w:val="00CC1985"/>
    <w:rsid w:val="00CC6A09"/>
    <w:rsid w:val="00CD4716"/>
    <w:rsid w:val="00CE164C"/>
    <w:rsid w:val="00CE29E5"/>
    <w:rsid w:val="00CE384B"/>
    <w:rsid w:val="00CE453B"/>
    <w:rsid w:val="00CE585A"/>
    <w:rsid w:val="00CE7059"/>
    <w:rsid w:val="00CF262F"/>
    <w:rsid w:val="00CF30A3"/>
    <w:rsid w:val="00CF5FF6"/>
    <w:rsid w:val="00CF6F98"/>
    <w:rsid w:val="00D0012A"/>
    <w:rsid w:val="00D03100"/>
    <w:rsid w:val="00D03813"/>
    <w:rsid w:val="00D0581A"/>
    <w:rsid w:val="00D10D4C"/>
    <w:rsid w:val="00D12F3E"/>
    <w:rsid w:val="00D130E7"/>
    <w:rsid w:val="00D13FD8"/>
    <w:rsid w:val="00D15AC0"/>
    <w:rsid w:val="00D16252"/>
    <w:rsid w:val="00D176B1"/>
    <w:rsid w:val="00D205D6"/>
    <w:rsid w:val="00D23627"/>
    <w:rsid w:val="00D24429"/>
    <w:rsid w:val="00D24A9C"/>
    <w:rsid w:val="00D26A73"/>
    <w:rsid w:val="00D26ADD"/>
    <w:rsid w:val="00D272E4"/>
    <w:rsid w:val="00D306AB"/>
    <w:rsid w:val="00D31876"/>
    <w:rsid w:val="00D36968"/>
    <w:rsid w:val="00D3698C"/>
    <w:rsid w:val="00D436D1"/>
    <w:rsid w:val="00D441B9"/>
    <w:rsid w:val="00D50925"/>
    <w:rsid w:val="00D50CAE"/>
    <w:rsid w:val="00D527A1"/>
    <w:rsid w:val="00D53B0E"/>
    <w:rsid w:val="00D550BF"/>
    <w:rsid w:val="00D55DC9"/>
    <w:rsid w:val="00D608D1"/>
    <w:rsid w:val="00D64EBE"/>
    <w:rsid w:val="00D654FE"/>
    <w:rsid w:val="00D66751"/>
    <w:rsid w:val="00D66795"/>
    <w:rsid w:val="00D66B24"/>
    <w:rsid w:val="00D6734E"/>
    <w:rsid w:val="00D70AAA"/>
    <w:rsid w:val="00D70DC6"/>
    <w:rsid w:val="00D777DA"/>
    <w:rsid w:val="00D820B3"/>
    <w:rsid w:val="00D830FC"/>
    <w:rsid w:val="00D87DA5"/>
    <w:rsid w:val="00D92B05"/>
    <w:rsid w:val="00D93A6F"/>
    <w:rsid w:val="00D96E8B"/>
    <w:rsid w:val="00D97647"/>
    <w:rsid w:val="00DA00CC"/>
    <w:rsid w:val="00DA0FCE"/>
    <w:rsid w:val="00DA1C41"/>
    <w:rsid w:val="00DA2245"/>
    <w:rsid w:val="00DA35EF"/>
    <w:rsid w:val="00DA7BE3"/>
    <w:rsid w:val="00DA7E9C"/>
    <w:rsid w:val="00DB04D8"/>
    <w:rsid w:val="00DB4255"/>
    <w:rsid w:val="00DB51BF"/>
    <w:rsid w:val="00DB65CC"/>
    <w:rsid w:val="00DB7924"/>
    <w:rsid w:val="00DB7F22"/>
    <w:rsid w:val="00DC0887"/>
    <w:rsid w:val="00DC122D"/>
    <w:rsid w:val="00DC1C3C"/>
    <w:rsid w:val="00DC294F"/>
    <w:rsid w:val="00DC70E3"/>
    <w:rsid w:val="00DD09E4"/>
    <w:rsid w:val="00DD5B50"/>
    <w:rsid w:val="00DD60C8"/>
    <w:rsid w:val="00DD7835"/>
    <w:rsid w:val="00DD7DFC"/>
    <w:rsid w:val="00DE049F"/>
    <w:rsid w:val="00DE55B0"/>
    <w:rsid w:val="00DE5D6E"/>
    <w:rsid w:val="00DF1363"/>
    <w:rsid w:val="00DF6373"/>
    <w:rsid w:val="00E0267C"/>
    <w:rsid w:val="00E044F7"/>
    <w:rsid w:val="00E060CB"/>
    <w:rsid w:val="00E06E5F"/>
    <w:rsid w:val="00E11E8C"/>
    <w:rsid w:val="00E12404"/>
    <w:rsid w:val="00E127B1"/>
    <w:rsid w:val="00E15441"/>
    <w:rsid w:val="00E1552A"/>
    <w:rsid w:val="00E21B92"/>
    <w:rsid w:val="00E22BF5"/>
    <w:rsid w:val="00E245F7"/>
    <w:rsid w:val="00E260FE"/>
    <w:rsid w:val="00E30573"/>
    <w:rsid w:val="00E315FB"/>
    <w:rsid w:val="00E31718"/>
    <w:rsid w:val="00E32E5D"/>
    <w:rsid w:val="00E3352F"/>
    <w:rsid w:val="00E3404D"/>
    <w:rsid w:val="00E4016E"/>
    <w:rsid w:val="00E42100"/>
    <w:rsid w:val="00E42897"/>
    <w:rsid w:val="00E476D7"/>
    <w:rsid w:val="00E47972"/>
    <w:rsid w:val="00E5119F"/>
    <w:rsid w:val="00E516B6"/>
    <w:rsid w:val="00E54BC7"/>
    <w:rsid w:val="00E551F9"/>
    <w:rsid w:val="00E56E77"/>
    <w:rsid w:val="00E57B65"/>
    <w:rsid w:val="00E61350"/>
    <w:rsid w:val="00E6258B"/>
    <w:rsid w:val="00E63C06"/>
    <w:rsid w:val="00E64A87"/>
    <w:rsid w:val="00E653A0"/>
    <w:rsid w:val="00E67D25"/>
    <w:rsid w:val="00E70CFF"/>
    <w:rsid w:val="00E71438"/>
    <w:rsid w:val="00E7275C"/>
    <w:rsid w:val="00E72C00"/>
    <w:rsid w:val="00E7338B"/>
    <w:rsid w:val="00E74791"/>
    <w:rsid w:val="00E75071"/>
    <w:rsid w:val="00E77852"/>
    <w:rsid w:val="00E83AF0"/>
    <w:rsid w:val="00E83CFB"/>
    <w:rsid w:val="00E866A5"/>
    <w:rsid w:val="00E912CF"/>
    <w:rsid w:val="00E935CD"/>
    <w:rsid w:val="00E944CB"/>
    <w:rsid w:val="00E969C6"/>
    <w:rsid w:val="00EA038A"/>
    <w:rsid w:val="00EA1B0C"/>
    <w:rsid w:val="00EA2D83"/>
    <w:rsid w:val="00EA7244"/>
    <w:rsid w:val="00EA7A98"/>
    <w:rsid w:val="00EB04A6"/>
    <w:rsid w:val="00EB5147"/>
    <w:rsid w:val="00EB685A"/>
    <w:rsid w:val="00EB6E6A"/>
    <w:rsid w:val="00EC05CA"/>
    <w:rsid w:val="00EC45F6"/>
    <w:rsid w:val="00EC5AA4"/>
    <w:rsid w:val="00EC5B5C"/>
    <w:rsid w:val="00EC62DE"/>
    <w:rsid w:val="00EC6576"/>
    <w:rsid w:val="00EC6809"/>
    <w:rsid w:val="00ED0383"/>
    <w:rsid w:val="00ED1EF7"/>
    <w:rsid w:val="00EE0273"/>
    <w:rsid w:val="00EE3C06"/>
    <w:rsid w:val="00EF3401"/>
    <w:rsid w:val="00EF504A"/>
    <w:rsid w:val="00EF6D91"/>
    <w:rsid w:val="00F02677"/>
    <w:rsid w:val="00F033BB"/>
    <w:rsid w:val="00F12C97"/>
    <w:rsid w:val="00F15690"/>
    <w:rsid w:val="00F15E5C"/>
    <w:rsid w:val="00F16EC5"/>
    <w:rsid w:val="00F204D8"/>
    <w:rsid w:val="00F212C6"/>
    <w:rsid w:val="00F222BD"/>
    <w:rsid w:val="00F2390B"/>
    <w:rsid w:val="00F23B71"/>
    <w:rsid w:val="00F2578A"/>
    <w:rsid w:val="00F31575"/>
    <w:rsid w:val="00F31804"/>
    <w:rsid w:val="00F3627B"/>
    <w:rsid w:val="00F37416"/>
    <w:rsid w:val="00F41263"/>
    <w:rsid w:val="00F4416E"/>
    <w:rsid w:val="00F45919"/>
    <w:rsid w:val="00F463BF"/>
    <w:rsid w:val="00F4728E"/>
    <w:rsid w:val="00F502E2"/>
    <w:rsid w:val="00F52EB8"/>
    <w:rsid w:val="00F536E9"/>
    <w:rsid w:val="00F54081"/>
    <w:rsid w:val="00F550B3"/>
    <w:rsid w:val="00F563AF"/>
    <w:rsid w:val="00F57724"/>
    <w:rsid w:val="00F606FB"/>
    <w:rsid w:val="00F6459F"/>
    <w:rsid w:val="00F6655C"/>
    <w:rsid w:val="00F72136"/>
    <w:rsid w:val="00F743A3"/>
    <w:rsid w:val="00F74999"/>
    <w:rsid w:val="00F74ACA"/>
    <w:rsid w:val="00F80119"/>
    <w:rsid w:val="00F8014E"/>
    <w:rsid w:val="00F8583B"/>
    <w:rsid w:val="00F85DE7"/>
    <w:rsid w:val="00F86C06"/>
    <w:rsid w:val="00F8728E"/>
    <w:rsid w:val="00F87DB2"/>
    <w:rsid w:val="00F9007C"/>
    <w:rsid w:val="00F90380"/>
    <w:rsid w:val="00F914E5"/>
    <w:rsid w:val="00FA04BD"/>
    <w:rsid w:val="00FA16EF"/>
    <w:rsid w:val="00FA1F14"/>
    <w:rsid w:val="00FA26E8"/>
    <w:rsid w:val="00FA2FFF"/>
    <w:rsid w:val="00FA5E11"/>
    <w:rsid w:val="00FB261A"/>
    <w:rsid w:val="00FB26BC"/>
    <w:rsid w:val="00FB4A04"/>
    <w:rsid w:val="00FB5A32"/>
    <w:rsid w:val="00FC0D38"/>
    <w:rsid w:val="00FC43C7"/>
    <w:rsid w:val="00FC5936"/>
    <w:rsid w:val="00FD1466"/>
    <w:rsid w:val="00FD1F9F"/>
    <w:rsid w:val="00FD40A2"/>
    <w:rsid w:val="00FD44D5"/>
    <w:rsid w:val="00FD4CDE"/>
    <w:rsid w:val="00FD5DE0"/>
    <w:rsid w:val="00FD6747"/>
    <w:rsid w:val="00FE01B9"/>
    <w:rsid w:val="00FE2AC3"/>
    <w:rsid w:val="00FE2BA1"/>
    <w:rsid w:val="00FF135D"/>
    <w:rsid w:val="00FF18FE"/>
    <w:rsid w:val="00FF2B24"/>
    <w:rsid w:val="00FF501E"/>
    <w:rsid w:val="00FF7088"/>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
      </w:numPr>
      <w:tabs>
        <w:tab w:val="clear" w:pos="9000"/>
        <w:tab w:val="num" w:pos="720"/>
      </w:tabs>
      <w:spacing w:after="240" w:line="240" w:lineRule="auto"/>
      <w:ind w:left="720"/>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 w:type="paragraph" w:styleId="Revision">
    <w:name w:val="Revision"/>
    <w:hidden/>
    <w:uiPriority w:val="99"/>
    <w:semiHidden/>
    <w:rsid w:val="00DB04D8"/>
    <w:pPr>
      <w:spacing w:line="240" w:lineRule="auto"/>
    </w:pPr>
  </w:style>
  <w:style w:type="character" w:styleId="FollowedHyperlink">
    <w:name w:val="FollowedHyperlink"/>
    <w:basedOn w:val="DefaultParagraphFont"/>
    <w:uiPriority w:val="99"/>
    <w:semiHidden/>
    <w:unhideWhenUsed/>
    <w:rsid w:val="008820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13145233">
      <w:bodyDiv w:val="1"/>
      <w:marLeft w:val="0"/>
      <w:marRight w:val="0"/>
      <w:marTop w:val="0"/>
      <w:marBottom w:val="0"/>
      <w:divBdr>
        <w:top w:val="none" w:sz="0" w:space="0" w:color="auto"/>
        <w:left w:val="none" w:sz="0" w:space="0" w:color="auto"/>
        <w:bottom w:val="none" w:sz="0" w:space="0" w:color="auto"/>
        <w:right w:val="none" w:sz="0" w:space="0" w:color="auto"/>
      </w:divBdr>
    </w:div>
    <w:div w:id="364446078">
      <w:bodyDiv w:val="1"/>
      <w:marLeft w:val="0"/>
      <w:marRight w:val="0"/>
      <w:marTop w:val="0"/>
      <w:marBottom w:val="0"/>
      <w:divBdr>
        <w:top w:val="none" w:sz="0" w:space="0" w:color="auto"/>
        <w:left w:val="none" w:sz="0" w:space="0" w:color="auto"/>
        <w:bottom w:val="none" w:sz="0" w:space="0" w:color="auto"/>
        <w:right w:val="none" w:sz="0" w:space="0" w:color="auto"/>
      </w:divBdr>
    </w:div>
    <w:div w:id="417989876">
      <w:bodyDiv w:val="1"/>
      <w:marLeft w:val="0"/>
      <w:marRight w:val="0"/>
      <w:marTop w:val="0"/>
      <w:marBottom w:val="0"/>
      <w:divBdr>
        <w:top w:val="none" w:sz="0" w:space="0" w:color="auto"/>
        <w:left w:val="none" w:sz="0" w:space="0" w:color="auto"/>
        <w:bottom w:val="none" w:sz="0" w:space="0" w:color="auto"/>
        <w:right w:val="none" w:sz="0" w:space="0" w:color="auto"/>
      </w:divBdr>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36288681">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367236">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780420494">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0572">
      <w:bodyDiv w:val="1"/>
      <w:marLeft w:val="0"/>
      <w:marRight w:val="0"/>
      <w:marTop w:val="0"/>
      <w:marBottom w:val="0"/>
      <w:divBdr>
        <w:top w:val="none" w:sz="0" w:space="0" w:color="auto"/>
        <w:left w:val="none" w:sz="0" w:space="0" w:color="auto"/>
        <w:bottom w:val="none" w:sz="0" w:space="0" w:color="auto"/>
        <w:right w:val="none" w:sz="0" w:space="0" w:color="auto"/>
      </w:divBdr>
    </w:div>
    <w:div w:id="830291751">
      <w:bodyDiv w:val="1"/>
      <w:marLeft w:val="0"/>
      <w:marRight w:val="0"/>
      <w:marTop w:val="0"/>
      <w:marBottom w:val="0"/>
      <w:divBdr>
        <w:top w:val="none" w:sz="0" w:space="0" w:color="auto"/>
        <w:left w:val="none" w:sz="0" w:space="0" w:color="auto"/>
        <w:bottom w:val="none" w:sz="0" w:space="0" w:color="auto"/>
        <w:right w:val="none" w:sz="0" w:space="0" w:color="auto"/>
      </w:divBdr>
    </w:div>
    <w:div w:id="842861519">
      <w:bodyDiv w:val="1"/>
      <w:marLeft w:val="0"/>
      <w:marRight w:val="0"/>
      <w:marTop w:val="0"/>
      <w:marBottom w:val="0"/>
      <w:divBdr>
        <w:top w:val="none" w:sz="0" w:space="0" w:color="auto"/>
        <w:left w:val="none" w:sz="0" w:space="0" w:color="auto"/>
        <w:bottom w:val="none" w:sz="0" w:space="0" w:color="auto"/>
        <w:right w:val="none" w:sz="0" w:space="0" w:color="auto"/>
      </w:divBdr>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881550509">
      <w:bodyDiv w:val="1"/>
      <w:marLeft w:val="0"/>
      <w:marRight w:val="0"/>
      <w:marTop w:val="0"/>
      <w:marBottom w:val="0"/>
      <w:divBdr>
        <w:top w:val="none" w:sz="0" w:space="0" w:color="auto"/>
        <w:left w:val="none" w:sz="0" w:space="0" w:color="auto"/>
        <w:bottom w:val="none" w:sz="0" w:space="0" w:color="auto"/>
        <w:right w:val="none" w:sz="0" w:space="0" w:color="auto"/>
      </w:divBdr>
    </w:div>
    <w:div w:id="883322880">
      <w:bodyDiv w:val="1"/>
      <w:marLeft w:val="0"/>
      <w:marRight w:val="0"/>
      <w:marTop w:val="0"/>
      <w:marBottom w:val="0"/>
      <w:divBdr>
        <w:top w:val="none" w:sz="0" w:space="0" w:color="auto"/>
        <w:left w:val="none" w:sz="0" w:space="0" w:color="auto"/>
        <w:bottom w:val="none" w:sz="0" w:space="0" w:color="auto"/>
        <w:right w:val="none" w:sz="0" w:space="0" w:color="auto"/>
      </w:divBdr>
    </w:div>
    <w:div w:id="914318214">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36739831">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412123752">
      <w:bodyDiv w:val="1"/>
      <w:marLeft w:val="0"/>
      <w:marRight w:val="0"/>
      <w:marTop w:val="0"/>
      <w:marBottom w:val="0"/>
      <w:divBdr>
        <w:top w:val="none" w:sz="0" w:space="0" w:color="auto"/>
        <w:left w:val="none" w:sz="0" w:space="0" w:color="auto"/>
        <w:bottom w:val="none" w:sz="0" w:space="0" w:color="auto"/>
        <w:right w:val="none" w:sz="0" w:space="0" w:color="auto"/>
      </w:divBdr>
    </w:div>
    <w:div w:id="1469396270">
      <w:bodyDiv w:val="1"/>
      <w:marLeft w:val="0"/>
      <w:marRight w:val="0"/>
      <w:marTop w:val="0"/>
      <w:marBottom w:val="0"/>
      <w:divBdr>
        <w:top w:val="none" w:sz="0" w:space="0" w:color="auto"/>
        <w:left w:val="none" w:sz="0" w:space="0" w:color="auto"/>
        <w:bottom w:val="none" w:sz="0" w:space="0" w:color="auto"/>
        <w:right w:val="none" w:sz="0" w:space="0" w:color="auto"/>
      </w:divBdr>
    </w:div>
    <w:div w:id="1498689685">
      <w:bodyDiv w:val="1"/>
      <w:marLeft w:val="0"/>
      <w:marRight w:val="0"/>
      <w:marTop w:val="0"/>
      <w:marBottom w:val="0"/>
      <w:divBdr>
        <w:top w:val="none" w:sz="0" w:space="0" w:color="auto"/>
        <w:left w:val="none" w:sz="0" w:space="0" w:color="auto"/>
        <w:bottom w:val="none" w:sz="0" w:space="0" w:color="auto"/>
        <w:right w:val="none" w:sz="0" w:space="0" w:color="auto"/>
      </w:divBdr>
    </w:div>
    <w:div w:id="1567299841">
      <w:bodyDiv w:val="1"/>
      <w:marLeft w:val="0"/>
      <w:marRight w:val="0"/>
      <w:marTop w:val="0"/>
      <w:marBottom w:val="0"/>
      <w:divBdr>
        <w:top w:val="none" w:sz="0" w:space="0" w:color="auto"/>
        <w:left w:val="none" w:sz="0" w:space="0" w:color="auto"/>
        <w:bottom w:val="none" w:sz="0" w:space="0" w:color="auto"/>
        <w:right w:val="none" w:sz="0" w:space="0" w:color="auto"/>
      </w:divBdr>
    </w:div>
    <w:div w:id="1612317585">
      <w:bodyDiv w:val="1"/>
      <w:marLeft w:val="0"/>
      <w:marRight w:val="0"/>
      <w:marTop w:val="0"/>
      <w:marBottom w:val="0"/>
      <w:divBdr>
        <w:top w:val="none" w:sz="0" w:space="0" w:color="auto"/>
        <w:left w:val="none" w:sz="0" w:space="0" w:color="auto"/>
        <w:bottom w:val="none" w:sz="0" w:space="0" w:color="auto"/>
        <w:right w:val="none" w:sz="0" w:space="0" w:color="auto"/>
      </w:divBdr>
    </w:div>
    <w:div w:id="1653409849">
      <w:bodyDiv w:val="1"/>
      <w:marLeft w:val="0"/>
      <w:marRight w:val="0"/>
      <w:marTop w:val="0"/>
      <w:marBottom w:val="0"/>
      <w:divBdr>
        <w:top w:val="none" w:sz="0" w:space="0" w:color="auto"/>
        <w:left w:val="none" w:sz="0" w:space="0" w:color="auto"/>
        <w:bottom w:val="none" w:sz="0" w:space="0" w:color="auto"/>
        <w:right w:val="none" w:sz="0" w:space="0" w:color="auto"/>
      </w:divBdr>
    </w:div>
    <w:div w:id="1745105080">
      <w:bodyDiv w:val="1"/>
      <w:marLeft w:val="0"/>
      <w:marRight w:val="0"/>
      <w:marTop w:val="0"/>
      <w:marBottom w:val="0"/>
      <w:divBdr>
        <w:top w:val="none" w:sz="0" w:space="0" w:color="auto"/>
        <w:left w:val="none" w:sz="0" w:space="0" w:color="auto"/>
        <w:bottom w:val="none" w:sz="0" w:space="0" w:color="auto"/>
        <w:right w:val="none" w:sz="0" w:space="0" w:color="auto"/>
      </w:divBdr>
    </w:div>
    <w:div w:id="1767454919">
      <w:bodyDiv w:val="1"/>
      <w:marLeft w:val="0"/>
      <w:marRight w:val="0"/>
      <w:marTop w:val="0"/>
      <w:marBottom w:val="0"/>
      <w:divBdr>
        <w:top w:val="none" w:sz="0" w:space="0" w:color="auto"/>
        <w:left w:val="none" w:sz="0" w:space="0" w:color="auto"/>
        <w:bottom w:val="none" w:sz="0" w:space="0" w:color="auto"/>
        <w:right w:val="none" w:sz="0" w:space="0" w:color="auto"/>
      </w:divBdr>
    </w:div>
    <w:div w:id="1789350171">
      <w:bodyDiv w:val="1"/>
      <w:marLeft w:val="0"/>
      <w:marRight w:val="0"/>
      <w:marTop w:val="0"/>
      <w:marBottom w:val="0"/>
      <w:divBdr>
        <w:top w:val="none" w:sz="0" w:space="0" w:color="auto"/>
        <w:left w:val="none" w:sz="0" w:space="0" w:color="auto"/>
        <w:bottom w:val="none" w:sz="0" w:space="0" w:color="auto"/>
        <w:right w:val="none" w:sz="0" w:space="0" w:color="auto"/>
      </w:divBdr>
    </w:div>
    <w:div w:id="1815488152">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gervais@avistacor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k.binder@avistacorp.com" TargetMode="External"/><Relationship Id="rId5" Type="http://schemas.openxmlformats.org/officeDocument/2006/relationships/numbering" Target="numbering.xml"/><Relationship Id="rId15"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D0262B-F424-4C97-A1CD-1EAFF464E717}"/>
</file>

<file path=customXml/itemProps2.xml><?xml version="1.0" encoding="utf-8"?>
<ds:datastoreItem xmlns:ds="http://schemas.openxmlformats.org/officeDocument/2006/customXml" ds:itemID="{C92FCB8C-7D67-408F-AA4E-EFFAD61FF50C}"/>
</file>

<file path=customXml/itemProps3.xml><?xml version="1.0" encoding="utf-8"?>
<ds:datastoreItem xmlns:ds="http://schemas.openxmlformats.org/officeDocument/2006/customXml" ds:itemID="{187D6383-0527-4436-921C-10CD07319FF1}"/>
</file>

<file path=customXml/itemProps4.xml><?xml version="1.0" encoding="utf-8"?>
<ds:datastoreItem xmlns:ds="http://schemas.openxmlformats.org/officeDocument/2006/customXml" ds:itemID="{26681899-FD28-4339-9A99-2F2EA42011FD}"/>
</file>

<file path=customXml/itemProps5.xml><?xml version="1.0" encoding="utf-8"?>
<ds:datastoreItem xmlns:ds="http://schemas.openxmlformats.org/officeDocument/2006/customXml" ds:itemID="{865C07C8-0036-4285-855D-7F57D36A4100}"/>
</file>

<file path=docProps/app.xml><?xml version="1.0" encoding="utf-8"?>
<Properties xmlns="http://schemas.openxmlformats.org/officeDocument/2006/extended-properties" xmlns:vt="http://schemas.openxmlformats.org/officeDocument/2006/docPropsVTypes">
  <Template>Normal</Template>
  <TotalTime>28</TotalTime>
  <Pages>5</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4</cp:revision>
  <cp:lastPrinted>2015-06-17T21:03:00Z</cp:lastPrinted>
  <dcterms:created xsi:type="dcterms:W3CDTF">2015-06-17T20:32:00Z</dcterms:created>
  <dcterms:modified xsi:type="dcterms:W3CDTF">2015-06-17T21:05:00Z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