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F270C" w14:textId="77777777" w:rsidR="00C0665B" w:rsidRPr="00A24BAC" w:rsidRDefault="00B814E2" w:rsidP="00586395">
      <w:pPr>
        <w:ind w:left="5580"/>
        <w:rPr>
          <w:b/>
          <w:lang w:val="fr-FR"/>
        </w:rPr>
      </w:pPr>
      <w:bookmarkStart w:id="0" w:name="_GoBack"/>
      <w:bookmarkEnd w:id="0"/>
      <w:r w:rsidRPr="00A24BAC">
        <w:rPr>
          <w:b/>
          <w:lang w:val="fr-FR"/>
        </w:rPr>
        <w:t>Exhibit No. ___T (</w:t>
      </w:r>
      <w:r w:rsidR="00F00644">
        <w:rPr>
          <w:b/>
          <w:lang w:val="fr-FR"/>
        </w:rPr>
        <w:t>CTL</w:t>
      </w:r>
      <w:r w:rsidRPr="00A24BAC">
        <w:rPr>
          <w:b/>
          <w:lang w:val="fr-FR"/>
        </w:rPr>
        <w:t>-</w:t>
      </w:r>
      <w:r w:rsidR="00792B97">
        <w:rPr>
          <w:b/>
          <w:lang w:val="fr-FR"/>
        </w:rPr>
        <w:t>2R</w:t>
      </w:r>
      <w:r w:rsidRPr="00A24BAC">
        <w:rPr>
          <w:b/>
          <w:lang w:val="fr-FR"/>
        </w:rPr>
        <w:t>T)</w:t>
      </w:r>
    </w:p>
    <w:p w14:paraId="25AF270D" w14:textId="77777777" w:rsidR="00B814E2" w:rsidRDefault="00586395" w:rsidP="00586395">
      <w:pPr>
        <w:ind w:left="5580"/>
        <w:rPr>
          <w:b/>
        </w:rPr>
      </w:pPr>
      <w:r>
        <w:rPr>
          <w:b/>
        </w:rPr>
        <w:t>Docket UT-14</w:t>
      </w:r>
      <w:r w:rsidR="00103D39">
        <w:rPr>
          <w:b/>
        </w:rPr>
        <w:t>0597</w:t>
      </w:r>
    </w:p>
    <w:p w14:paraId="25AF270E" w14:textId="77777777" w:rsidR="007503A1" w:rsidRPr="00B814E2" w:rsidRDefault="007503A1" w:rsidP="00586395">
      <w:pPr>
        <w:ind w:left="5580"/>
        <w:rPr>
          <w:b/>
        </w:rPr>
      </w:pPr>
    </w:p>
    <w:p w14:paraId="25AF270F" w14:textId="77777777" w:rsidR="008B464D" w:rsidRDefault="0046251D" w:rsidP="00861EB1">
      <w:pPr>
        <w:tabs>
          <w:tab w:val="left" w:pos="6840"/>
        </w:tabs>
        <w:ind w:left="5580"/>
        <w:rPr>
          <w:b/>
        </w:rPr>
      </w:pPr>
      <w:r>
        <w:rPr>
          <w:b/>
        </w:rPr>
        <w:t>Witness:</w:t>
      </w:r>
      <w:r w:rsidR="00586395">
        <w:rPr>
          <w:b/>
        </w:rPr>
        <w:tab/>
      </w:r>
      <w:r w:rsidR="008B464D" w:rsidRPr="008B464D">
        <w:rPr>
          <w:b/>
        </w:rPr>
        <w:t>Mark Reynolds</w:t>
      </w:r>
    </w:p>
    <w:p w14:paraId="25AF2710" w14:textId="77777777" w:rsidR="00B814E2" w:rsidRDefault="00B814E2" w:rsidP="00861EB1">
      <w:pPr>
        <w:rPr>
          <w:b/>
        </w:rPr>
      </w:pPr>
    </w:p>
    <w:p w14:paraId="25AF2711" w14:textId="77777777" w:rsidR="00861EB1" w:rsidRDefault="00861EB1" w:rsidP="00861EB1">
      <w:pPr>
        <w:rPr>
          <w:b/>
        </w:rPr>
      </w:pPr>
    </w:p>
    <w:p w14:paraId="25AF2712" w14:textId="77777777" w:rsidR="00861EB1" w:rsidRPr="00B814E2" w:rsidRDefault="00861EB1" w:rsidP="00861EB1">
      <w:pPr>
        <w:rPr>
          <w:b/>
        </w:rPr>
      </w:pPr>
    </w:p>
    <w:p w14:paraId="25AF2713" w14:textId="77777777" w:rsidR="00B814E2" w:rsidRPr="00B814E2" w:rsidRDefault="00B814E2" w:rsidP="00861EB1">
      <w:pPr>
        <w:rPr>
          <w:b/>
        </w:rPr>
      </w:pPr>
    </w:p>
    <w:p w14:paraId="25AF2714" w14:textId="77777777" w:rsidR="00861EB1" w:rsidRDefault="00B814E2" w:rsidP="00861EB1">
      <w:pPr>
        <w:ind w:right="-252"/>
        <w:jc w:val="center"/>
        <w:rPr>
          <w:b/>
        </w:rPr>
      </w:pPr>
      <w:r w:rsidRPr="00B814E2">
        <w:rPr>
          <w:b/>
        </w:rPr>
        <w:t xml:space="preserve">BEFORE THE WASHINGTON UTILITIES </w:t>
      </w:r>
    </w:p>
    <w:p w14:paraId="25AF2715" w14:textId="77777777" w:rsidR="00B814E2" w:rsidRPr="00B814E2" w:rsidRDefault="00B814E2" w:rsidP="00861EB1">
      <w:pPr>
        <w:ind w:right="-252"/>
        <w:jc w:val="center"/>
        <w:rPr>
          <w:b/>
        </w:rPr>
      </w:pPr>
      <w:r w:rsidRPr="00B814E2">
        <w:rPr>
          <w:b/>
        </w:rPr>
        <w:t>AND TRANSPORTATION COMMISSION</w:t>
      </w:r>
    </w:p>
    <w:p w14:paraId="25AF2716" w14:textId="77777777" w:rsidR="00B814E2" w:rsidRPr="00B814E2" w:rsidRDefault="00B814E2" w:rsidP="00861EB1">
      <w:pPr>
        <w:rPr>
          <w:b/>
        </w:rPr>
      </w:pPr>
    </w:p>
    <w:p w14:paraId="25AF2717" w14:textId="77777777" w:rsidR="00B814E2" w:rsidRPr="00B814E2" w:rsidRDefault="00B814E2" w:rsidP="00861EB1">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25AF2724" w14:textId="77777777" w:rsidTr="00522C27">
        <w:tc>
          <w:tcPr>
            <w:tcW w:w="4590" w:type="dxa"/>
            <w:tcBorders>
              <w:top w:val="single" w:sz="6" w:space="0" w:color="FFFFFF"/>
              <w:left w:val="single" w:sz="6" w:space="0" w:color="FFFFFF"/>
              <w:bottom w:val="single" w:sz="7" w:space="0" w:color="000000"/>
              <w:right w:val="single" w:sz="6" w:space="0" w:color="FFFFFF"/>
            </w:tcBorders>
          </w:tcPr>
          <w:p w14:paraId="25AF2718" w14:textId="77777777" w:rsidR="00586395" w:rsidRPr="00586395" w:rsidRDefault="00586395" w:rsidP="00861EB1">
            <w:pPr>
              <w:rPr>
                <w:b/>
                <w:bCs/>
              </w:rPr>
            </w:pPr>
            <w:r w:rsidRPr="00586395">
              <w:rPr>
                <w:b/>
                <w:bCs/>
              </w:rPr>
              <w:t>WASHINGTON UTILITIES AND TRANSPORTATION COMMISSION,</w:t>
            </w:r>
          </w:p>
          <w:p w14:paraId="25AF2719" w14:textId="77777777" w:rsidR="00586395" w:rsidRPr="00586395" w:rsidRDefault="00586395" w:rsidP="00861EB1">
            <w:pPr>
              <w:rPr>
                <w:b/>
                <w:bCs/>
              </w:rPr>
            </w:pPr>
          </w:p>
          <w:p w14:paraId="25AF271A" w14:textId="77777777" w:rsidR="00586395" w:rsidRPr="00586395" w:rsidRDefault="00586395" w:rsidP="00861EB1">
            <w:pPr>
              <w:rPr>
                <w:b/>
                <w:bCs/>
              </w:rPr>
            </w:pPr>
            <w:r w:rsidRPr="00586395">
              <w:rPr>
                <w:b/>
                <w:bCs/>
              </w:rPr>
              <w:tab/>
              <w:t>Complainant,</w:t>
            </w:r>
          </w:p>
          <w:p w14:paraId="25AF271B" w14:textId="77777777" w:rsidR="00586395" w:rsidRPr="00586395" w:rsidRDefault="00586395" w:rsidP="00861EB1">
            <w:pPr>
              <w:rPr>
                <w:b/>
                <w:bCs/>
              </w:rPr>
            </w:pPr>
          </w:p>
          <w:p w14:paraId="25AF271C" w14:textId="77777777" w:rsidR="00586395" w:rsidRPr="00586395" w:rsidRDefault="00586395" w:rsidP="00861EB1">
            <w:pPr>
              <w:rPr>
                <w:b/>
                <w:bCs/>
              </w:rPr>
            </w:pPr>
            <w:r w:rsidRPr="00586395">
              <w:rPr>
                <w:b/>
                <w:bCs/>
              </w:rPr>
              <w:t>v.</w:t>
            </w:r>
          </w:p>
          <w:p w14:paraId="25AF271D" w14:textId="77777777" w:rsidR="00103D39" w:rsidRDefault="00103D39" w:rsidP="00861EB1">
            <w:pPr>
              <w:rPr>
                <w:b/>
                <w:bCs/>
              </w:rPr>
            </w:pPr>
          </w:p>
          <w:p w14:paraId="25AF271E" w14:textId="77777777" w:rsidR="00586395" w:rsidRPr="00586395" w:rsidRDefault="00103D39" w:rsidP="00861EB1">
            <w:pPr>
              <w:rPr>
                <w:b/>
                <w:bCs/>
              </w:rPr>
            </w:pPr>
            <w:r>
              <w:rPr>
                <w:b/>
                <w:bCs/>
              </w:rPr>
              <w:t xml:space="preserve">QWEST CORPORATION </w:t>
            </w:r>
            <w:r w:rsidR="00586395" w:rsidRPr="00586395">
              <w:rPr>
                <w:b/>
                <w:bCs/>
              </w:rPr>
              <w:t>D/B/A CENTURYLINK</w:t>
            </w:r>
            <w:r>
              <w:rPr>
                <w:b/>
                <w:bCs/>
              </w:rPr>
              <w:t xml:space="preserve"> QC</w:t>
            </w:r>
            <w:r w:rsidR="00586395" w:rsidRPr="00586395">
              <w:rPr>
                <w:b/>
                <w:bCs/>
              </w:rPr>
              <w:t>,</w:t>
            </w:r>
          </w:p>
          <w:p w14:paraId="25AF271F" w14:textId="77777777" w:rsidR="00586395" w:rsidRPr="00586395" w:rsidRDefault="00586395" w:rsidP="00861EB1">
            <w:pPr>
              <w:rPr>
                <w:b/>
                <w:bCs/>
              </w:rPr>
            </w:pPr>
          </w:p>
          <w:p w14:paraId="25AF2720" w14:textId="77777777" w:rsidR="00B814E2" w:rsidRDefault="00586395" w:rsidP="00861EB1">
            <w:pPr>
              <w:spacing w:after="19"/>
              <w:rPr>
                <w:b/>
                <w:bCs/>
              </w:rPr>
            </w:pPr>
            <w:r w:rsidRPr="00586395">
              <w:rPr>
                <w:b/>
                <w:bCs/>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25AF2721" w14:textId="77777777" w:rsidR="00B814E2" w:rsidRDefault="00B814E2" w:rsidP="00861EB1">
            <w:pPr>
              <w:ind w:firstLine="720"/>
              <w:rPr>
                <w:b/>
                <w:bCs/>
              </w:rPr>
            </w:pPr>
            <w:r>
              <w:rPr>
                <w:b/>
                <w:bCs/>
              </w:rPr>
              <w:t xml:space="preserve">DOCKET </w:t>
            </w:r>
            <w:r w:rsidR="00586395">
              <w:rPr>
                <w:b/>
                <w:bCs/>
              </w:rPr>
              <w:t>UT-14</w:t>
            </w:r>
            <w:r w:rsidR="00103D39">
              <w:rPr>
                <w:b/>
                <w:bCs/>
              </w:rPr>
              <w:t>0597</w:t>
            </w:r>
          </w:p>
          <w:p w14:paraId="25AF2722" w14:textId="77777777" w:rsidR="00B814E2" w:rsidRDefault="00B814E2" w:rsidP="00861EB1">
            <w:pPr>
              <w:rPr>
                <w:b/>
                <w:bCs/>
              </w:rPr>
            </w:pPr>
          </w:p>
          <w:p w14:paraId="25AF2723" w14:textId="77777777" w:rsidR="00B814E2" w:rsidRDefault="00B814E2" w:rsidP="00861EB1">
            <w:pPr>
              <w:spacing w:after="19"/>
              <w:rPr>
                <w:b/>
                <w:bCs/>
              </w:rPr>
            </w:pPr>
          </w:p>
        </w:tc>
      </w:tr>
    </w:tbl>
    <w:p w14:paraId="25AF2725" w14:textId="77777777" w:rsidR="00B814E2" w:rsidRDefault="00B814E2" w:rsidP="00861EB1">
      <w:pPr>
        <w:jc w:val="both"/>
      </w:pPr>
    </w:p>
    <w:p w14:paraId="25AF2726" w14:textId="77777777" w:rsidR="00B814E2" w:rsidRDefault="00B814E2" w:rsidP="00861EB1">
      <w:pPr>
        <w:rPr>
          <w:b/>
          <w:bCs/>
        </w:rPr>
      </w:pPr>
    </w:p>
    <w:p w14:paraId="25AF2727" w14:textId="77777777" w:rsidR="00B814E2" w:rsidRDefault="00B814E2" w:rsidP="00861EB1">
      <w:pPr>
        <w:rPr>
          <w:b/>
          <w:bCs/>
        </w:rPr>
      </w:pPr>
    </w:p>
    <w:p w14:paraId="25AF2728" w14:textId="77777777" w:rsidR="00B814E2" w:rsidRDefault="00620A6B" w:rsidP="00861EB1">
      <w:pPr>
        <w:tabs>
          <w:tab w:val="center" w:pos="4680"/>
        </w:tabs>
        <w:jc w:val="center"/>
        <w:rPr>
          <w:b/>
          <w:bCs/>
        </w:rPr>
      </w:pPr>
      <w:r>
        <w:rPr>
          <w:b/>
          <w:bCs/>
        </w:rPr>
        <w:t xml:space="preserve">REBUTTAL </w:t>
      </w:r>
      <w:r w:rsidR="00B814E2">
        <w:rPr>
          <w:b/>
          <w:bCs/>
        </w:rPr>
        <w:t>TESTIMONY OF</w:t>
      </w:r>
      <w:r w:rsidR="00103D39">
        <w:rPr>
          <w:b/>
          <w:bCs/>
        </w:rPr>
        <w:t xml:space="preserve"> CENTURYLINK</w:t>
      </w:r>
    </w:p>
    <w:p w14:paraId="25AF2729" w14:textId="77777777" w:rsidR="00B814E2" w:rsidRDefault="00B814E2" w:rsidP="00861EB1">
      <w:pPr>
        <w:jc w:val="center"/>
        <w:rPr>
          <w:b/>
          <w:bCs/>
        </w:rPr>
      </w:pPr>
    </w:p>
    <w:p w14:paraId="25AF272A" w14:textId="77777777" w:rsidR="00B814E2" w:rsidRDefault="00B814E2" w:rsidP="00861EB1">
      <w:pPr>
        <w:tabs>
          <w:tab w:val="center" w:pos="4680"/>
        </w:tabs>
        <w:jc w:val="center"/>
        <w:rPr>
          <w:b/>
          <w:bCs/>
        </w:rPr>
      </w:pPr>
    </w:p>
    <w:p w14:paraId="25AF272B" w14:textId="77777777" w:rsidR="00B814E2" w:rsidRDefault="00B814E2" w:rsidP="00861EB1">
      <w:pPr>
        <w:tabs>
          <w:tab w:val="center" w:pos="4680"/>
        </w:tabs>
        <w:jc w:val="center"/>
        <w:rPr>
          <w:b/>
          <w:bCs/>
        </w:rPr>
      </w:pPr>
    </w:p>
    <w:p w14:paraId="25AF272C" w14:textId="77777777" w:rsidR="00B814E2" w:rsidRDefault="00B814E2" w:rsidP="00861EB1">
      <w:pPr>
        <w:jc w:val="center"/>
        <w:rPr>
          <w:b/>
          <w:bCs/>
        </w:rPr>
      </w:pPr>
    </w:p>
    <w:p w14:paraId="25AF272D" w14:textId="77777777" w:rsidR="00B814E2" w:rsidRDefault="00B814E2" w:rsidP="00B814E2">
      <w:pPr>
        <w:rPr>
          <w:b/>
          <w:bCs/>
        </w:rPr>
      </w:pPr>
    </w:p>
    <w:p w14:paraId="25AF272E" w14:textId="77777777" w:rsidR="00B814E2" w:rsidRDefault="00B814E2" w:rsidP="00B814E2">
      <w:pPr>
        <w:rPr>
          <w:b/>
          <w:bCs/>
        </w:rPr>
      </w:pPr>
    </w:p>
    <w:p w14:paraId="25AF272F" w14:textId="77777777" w:rsidR="00B814E2" w:rsidRPr="00B814E2" w:rsidRDefault="00F00644" w:rsidP="00B814E2">
      <w:pPr>
        <w:jc w:val="center"/>
        <w:rPr>
          <w:b/>
          <w:bCs/>
          <w:i/>
        </w:rPr>
      </w:pPr>
      <w:r>
        <w:rPr>
          <w:b/>
          <w:bCs/>
          <w:i/>
        </w:rPr>
        <w:t>CenturyLink</w:t>
      </w:r>
      <w:r w:rsidR="00620A6B">
        <w:rPr>
          <w:b/>
          <w:bCs/>
          <w:i/>
        </w:rPr>
        <w:t>’s Rebuttal</w:t>
      </w:r>
      <w:r>
        <w:rPr>
          <w:b/>
          <w:bCs/>
          <w:i/>
        </w:rPr>
        <w:t xml:space="preserve"> Testimony</w:t>
      </w:r>
      <w:r w:rsidR="00586395" w:rsidRPr="00586395">
        <w:rPr>
          <w:b/>
          <w:bCs/>
          <w:i/>
        </w:rPr>
        <w:t xml:space="preserve"> in Support of Settlement</w:t>
      </w:r>
    </w:p>
    <w:p w14:paraId="25AF2730" w14:textId="77777777" w:rsidR="00B814E2" w:rsidRDefault="00B814E2" w:rsidP="00B814E2">
      <w:pPr>
        <w:rPr>
          <w:b/>
          <w:bCs/>
        </w:rPr>
      </w:pPr>
    </w:p>
    <w:p w14:paraId="25AF2731" w14:textId="77777777" w:rsidR="00B814E2" w:rsidRDefault="00B814E2" w:rsidP="00B814E2">
      <w:pPr>
        <w:rPr>
          <w:b/>
          <w:bCs/>
        </w:rPr>
      </w:pPr>
    </w:p>
    <w:p w14:paraId="25AF2732" w14:textId="77777777" w:rsidR="00B814E2" w:rsidRDefault="00620A6B" w:rsidP="00B814E2">
      <w:pPr>
        <w:jc w:val="center"/>
        <w:rPr>
          <w:b/>
          <w:bCs/>
        </w:rPr>
      </w:pPr>
      <w:r>
        <w:rPr>
          <w:b/>
          <w:bCs/>
        </w:rPr>
        <w:t>December 8</w:t>
      </w:r>
      <w:r w:rsidR="00586395" w:rsidRPr="00E714D3">
        <w:rPr>
          <w:b/>
          <w:bCs/>
        </w:rPr>
        <w:t>, 2015</w:t>
      </w:r>
    </w:p>
    <w:p w14:paraId="25AF2733" w14:textId="77777777" w:rsidR="00B814E2" w:rsidRDefault="00B814E2" w:rsidP="00B814E2"/>
    <w:p w14:paraId="25AF2734" w14:textId="77777777" w:rsidR="00B814E2" w:rsidRDefault="00B814E2" w:rsidP="00B814E2"/>
    <w:p w14:paraId="25AF2735" w14:textId="77777777" w:rsidR="00B814E2" w:rsidRDefault="00B814E2" w:rsidP="00B814E2">
      <w:pPr>
        <w:sectPr w:rsidR="00B814E2" w:rsidSect="00861EB1">
          <w:pgSz w:w="12240" w:h="15840"/>
          <w:pgMar w:top="1440" w:right="1440" w:bottom="1440" w:left="1872" w:header="720" w:footer="720" w:gutter="0"/>
          <w:cols w:space="720"/>
          <w:docGrid w:linePitch="360"/>
        </w:sectPr>
      </w:pPr>
    </w:p>
    <w:p w14:paraId="25AF2736" w14:textId="77777777" w:rsidR="00620A6B" w:rsidRDefault="00620A6B" w:rsidP="00620A6B">
      <w:pPr>
        <w:spacing w:line="480" w:lineRule="auto"/>
        <w:ind w:left="720" w:hanging="720"/>
        <w:rPr>
          <w:b/>
        </w:rPr>
      </w:pPr>
      <w:r>
        <w:rPr>
          <w:b/>
        </w:rPr>
        <w:lastRenderedPageBreak/>
        <w:t>Q.</w:t>
      </w:r>
      <w:r>
        <w:rPr>
          <w:b/>
        </w:rPr>
        <w:tab/>
        <w:t>What is CenturyLink’s position on the issues in this case after having read the testimony filed by Public Counsel?</w:t>
      </w:r>
      <w:r>
        <w:rPr>
          <w:b/>
        </w:rPr>
        <w:tab/>
      </w:r>
    </w:p>
    <w:p w14:paraId="25AF2737" w14:textId="77777777" w:rsidR="00B432B0" w:rsidRDefault="00620A6B" w:rsidP="00620A6B">
      <w:pPr>
        <w:spacing w:line="480" w:lineRule="auto"/>
        <w:ind w:left="720" w:hanging="720"/>
      </w:pPr>
      <w:r>
        <w:t>A.</w:t>
      </w:r>
      <w:r>
        <w:tab/>
        <w:t xml:space="preserve">CenturyLink disagrees with Mr. </w:t>
      </w:r>
      <w:r w:rsidR="00EB0652">
        <w:t>Bergmann</w:t>
      </w:r>
      <w:r>
        <w:t xml:space="preserve">’s testimony and strongly supports acceptance of the Settlement Agreement.  </w:t>
      </w:r>
      <w:r w:rsidR="00B432B0">
        <w:t>The Settlement Agreement is in the public interest as it recognizes and reflects that 911 is a critical service, and it includes a serious punishment for the outage.  CenturyLink recognizes and takes seriously its responsibility for this important public safety service.  The outage suffered in April 2014 was unacceptable, and CenturyLink is not seeking to minimize or mitigate the consequences in any way.  For these reasons, CenturyLink agreed to the full amount of the penalty recommended by Staff.</w:t>
      </w:r>
    </w:p>
    <w:p w14:paraId="25AF2738" w14:textId="77777777" w:rsidR="00B432B0" w:rsidRDefault="00B432B0" w:rsidP="00620A6B">
      <w:pPr>
        <w:spacing w:line="480" w:lineRule="auto"/>
        <w:ind w:left="720" w:hanging="720"/>
      </w:pPr>
    </w:p>
    <w:p w14:paraId="25AF2739" w14:textId="77777777" w:rsidR="00F73133" w:rsidRDefault="00EB0652">
      <w:pPr>
        <w:spacing w:line="480" w:lineRule="auto"/>
        <w:ind w:left="720"/>
      </w:pPr>
      <w:r>
        <w:t xml:space="preserve">On the other hand, </w:t>
      </w:r>
      <w:r w:rsidR="00620A6B">
        <w:t xml:space="preserve">Mr. </w:t>
      </w:r>
      <w:r>
        <w:t>Bergmann</w:t>
      </w:r>
      <w:r w:rsidR="00620A6B">
        <w:t xml:space="preserve"> has done no independent research into the facts of this case, and has not shown himself to have any particular expertise in 911 issues.  As such, he is simply asking the Commission to accept his opinion on the amount of the penalty, in place of the comprehensive analysis and investigation undertaken by staff and the negotiated agreement between the parties.  Basically he is asking the Commission to let him decide the case.  There is no basis for the Commission to do so.</w:t>
      </w:r>
    </w:p>
    <w:p w14:paraId="25AF273A" w14:textId="77777777" w:rsidR="00620A6B" w:rsidRDefault="00620A6B" w:rsidP="00620A6B">
      <w:pPr>
        <w:spacing w:line="480" w:lineRule="auto"/>
        <w:ind w:left="720" w:hanging="720"/>
      </w:pPr>
    </w:p>
    <w:p w14:paraId="25AF273B" w14:textId="77777777" w:rsidR="00620A6B" w:rsidRDefault="00620A6B" w:rsidP="00620A6B">
      <w:pPr>
        <w:spacing w:line="480" w:lineRule="auto"/>
        <w:ind w:left="720" w:hanging="720"/>
        <w:rPr>
          <w:b/>
        </w:rPr>
      </w:pPr>
      <w:r>
        <w:rPr>
          <w:b/>
        </w:rPr>
        <w:t>Q.</w:t>
      </w:r>
      <w:r>
        <w:rPr>
          <w:b/>
        </w:rPr>
        <w:tab/>
        <w:t xml:space="preserve">What about Mr. </w:t>
      </w:r>
      <w:r w:rsidR="00EB0652">
        <w:rPr>
          <w:b/>
        </w:rPr>
        <w:t>Bergmann</w:t>
      </w:r>
      <w:r>
        <w:rPr>
          <w:b/>
        </w:rPr>
        <w:t>’s analysis of the Commission’s policy statement on enforcement matters?</w:t>
      </w:r>
    </w:p>
    <w:p w14:paraId="25AF273C" w14:textId="77777777" w:rsidR="00620A6B" w:rsidRDefault="00620A6B" w:rsidP="00620A6B">
      <w:pPr>
        <w:spacing w:line="480" w:lineRule="auto"/>
        <w:ind w:left="720" w:hanging="720"/>
      </w:pPr>
      <w:r>
        <w:t>A.</w:t>
      </w:r>
      <w:r>
        <w:tab/>
        <w:t xml:space="preserve">This discussion should carry no weight with the Commission.  Mr. </w:t>
      </w:r>
      <w:r w:rsidR="00EB0652">
        <w:t>Bergmann</w:t>
      </w:r>
      <w:r>
        <w:t xml:space="preserve"> does not have a comprehensive understanding of the Commission’s enforcement policy or </w:t>
      </w:r>
      <w:r>
        <w:lastRenderedPageBreak/>
        <w:t xml:space="preserve">history.  Staff does, and Staff’s analysis should be persuasive to the Commission based on Staff’s experience.  Mr. </w:t>
      </w:r>
      <w:r w:rsidR="00EB0652">
        <w:t>Bergmann</w:t>
      </w:r>
      <w:r>
        <w:t xml:space="preserve"> did nothing more than go through each of the factors in a very conclusory way and say, essentially, “this factor warrants the maximum penalty.”  His analysis is neither fair nor unbiased and should be disregarded in favor of the comprehensive investigation and evaluation conducted by Staff.</w:t>
      </w:r>
    </w:p>
    <w:p w14:paraId="25AF273D" w14:textId="77777777" w:rsidR="00EB0652" w:rsidRDefault="00EB0652" w:rsidP="00620A6B">
      <w:pPr>
        <w:spacing w:line="480" w:lineRule="auto"/>
        <w:ind w:left="720" w:hanging="720"/>
      </w:pPr>
    </w:p>
    <w:p w14:paraId="25AF273E" w14:textId="77777777" w:rsidR="006D5111" w:rsidRDefault="006D5111" w:rsidP="006D5111">
      <w:pPr>
        <w:spacing w:line="480" w:lineRule="auto"/>
        <w:ind w:left="720" w:hanging="720"/>
        <w:rPr>
          <w:b/>
        </w:rPr>
      </w:pPr>
      <w:r>
        <w:rPr>
          <w:b/>
        </w:rPr>
        <w:t>Q.</w:t>
      </w:r>
      <w:r>
        <w:rPr>
          <w:b/>
        </w:rPr>
        <w:tab/>
        <w:t>Has CenturyLink reviewed the rebuttal testimony of Commission Staff, also filed today?</w:t>
      </w:r>
    </w:p>
    <w:p w14:paraId="25AF273F" w14:textId="77777777" w:rsidR="006D5111" w:rsidRDefault="006D5111" w:rsidP="006D5111">
      <w:pPr>
        <w:spacing w:line="480" w:lineRule="auto"/>
        <w:ind w:left="720" w:hanging="720"/>
      </w:pPr>
      <w:r>
        <w:t>A.</w:t>
      </w:r>
      <w:r>
        <w:tab/>
        <w:t xml:space="preserve">Yes, we have.  CenturyLink agrees with Staff’s conclusions supporting the Settlement Agreement and opposing Mr. </w:t>
      </w:r>
      <w:r w:rsidR="00EB0652">
        <w:t>Bergman</w:t>
      </w:r>
      <w:r>
        <w:t>n’s conclusions.</w:t>
      </w:r>
      <w:r w:rsidR="00F73133">
        <w:rPr>
          <w:rStyle w:val="FootnoteReference"/>
        </w:rPr>
        <w:footnoteReference w:id="1"/>
      </w:r>
    </w:p>
    <w:p w14:paraId="25AF2740" w14:textId="77777777" w:rsidR="00620A6B" w:rsidRDefault="00620A6B" w:rsidP="00620A6B">
      <w:pPr>
        <w:spacing w:line="480" w:lineRule="auto"/>
        <w:ind w:left="720" w:hanging="720"/>
      </w:pPr>
    </w:p>
    <w:p w14:paraId="25AF2741" w14:textId="77777777" w:rsidR="00620A6B" w:rsidRDefault="00620A6B" w:rsidP="00620A6B">
      <w:pPr>
        <w:spacing w:line="480" w:lineRule="auto"/>
        <w:ind w:left="720" w:hanging="720"/>
        <w:rPr>
          <w:b/>
        </w:rPr>
      </w:pPr>
      <w:r>
        <w:rPr>
          <w:b/>
        </w:rPr>
        <w:t>Q.</w:t>
      </w:r>
      <w:r>
        <w:rPr>
          <w:b/>
        </w:rPr>
        <w:tab/>
        <w:t>What would be the impact of a maximum penalty in this case?</w:t>
      </w:r>
    </w:p>
    <w:p w14:paraId="25AF2742" w14:textId="77777777" w:rsidR="006D5111" w:rsidRDefault="00620A6B" w:rsidP="00620A6B">
      <w:pPr>
        <w:spacing w:line="480" w:lineRule="auto"/>
        <w:ind w:left="720" w:hanging="720"/>
      </w:pPr>
      <w:r>
        <w:t>A.</w:t>
      </w:r>
      <w:r>
        <w:tab/>
        <w:t xml:space="preserve">A maximum penalty in this case would be unacceptable.  CenturyLink believes that the maximum penalty would be unduly harsh and punitive, with no increased public interest benefit.  Make no mistake about it, the $2.855 million that CenturyLink has already agreed to pay represents a substantial and significant penalty for the company, especially in light of already having paid $16 million to the FCC and committing to a significant compliance plan for the same event.  Public Counsel’s testimony ignores the significance of the penalty that has been agreed to in the Settlement Agreement.  </w:t>
      </w:r>
    </w:p>
    <w:p w14:paraId="25AF2743" w14:textId="77777777" w:rsidR="006D5111" w:rsidRDefault="006D5111" w:rsidP="00620A6B">
      <w:pPr>
        <w:spacing w:line="480" w:lineRule="auto"/>
        <w:ind w:left="720" w:hanging="720"/>
      </w:pPr>
    </w:p>
    <w:p w14:paraId="25AF2744" w14:textId="77777777" w:rsidR="00620A6B" w:rsidRDefault="00C26CA1" w:rsidP="00620A6B">
      <w:pPr>
        <w:spacing w:line="480" w:lineRule="auto"/>
        <w:ind w:left="720" w:hanging="720"/>
      </w:pPr>
      <w:r>
        <w:lastRenderedPageBreak/>
        <w:tab/>
      </w:r>
      <w:r w:rsidR="006D5111">
        <w:t>Importantly, t</w:t>
      </w:r>
      <w:r w:rsidR="00620A6B">
        <w:t>his is not a case where CenturyLink is asking to pay nothing</w:t>
      </w:r>
      <w:r w:rsidR="006D5111">
        <w:t xml:space="preserve">.  Nor is it a case where the recommended penalty has been negotiated down or compromised in any way.  </w:t>
      </w:r>
      <w:r w:rsidR="00620A6B">
        <w:t>CenturyLink has accepted that a penalty is warranted and has agreed to the full amount in the Staff Investigation.  In addition, CenturyLink and Intrado are already undertaking many additional steps t</w:t>
      </w:r>
      <w:r>
        <w:t>o improve 911 S</w:t>
      </w:r>
      <w:r w:rsidR="00620A6B">
        <w:t>ervice in the state and a higher penalty would not encourage any further or better compliance</w:t>
      </w:r>
      <w:r w:rsidR="00F73133">
        <w:t>.</w:t>
      </w:r>
    </w:p>
    <w:p w14:paraId="25AF2745" w14:textId="77777777" w:rsidR="00C26CA1" w:rsidRDefault="00C26CA1" w:rsidP="00620A6B">
      <w:pPr>
        <w:spacing w:line="480" w:lineRule="auto"/>
        <w:ind w:left="720" w:hanging="720"/>
      </w:pPr>
    </w:p>
    <w:p w14:paraId="25AF2746" w14:textId="77777777" w:rsidR="00620A6B" w:rsidRDefault="00620A6B" w:rsidP="00C26CA1">
      <w:pPr>
        <w:spacing w:line="480" w:lineRule="auto"/>
        <w:ind w:left="720" w:hanging="720"/>
        <w:rPr>
          <w:b/>
        </w:rPr>
      </w:pPr>
      <w:r>
        <w:rPr>
          <w:b/>
        </w:rPr>
        <w:t>Q.</w:t>
      </w:r>
      <w:r>
        <w:rPr>
          <w:b/>
        </w:rPr>
        <w:tab/>
        <w:t>How does this penalty compare with other penalties assessed by the Commission?</w:t>
      </w:r>
    </w:p>
    <w:p w14:paraId="25AF2747" w14:textId="77777777" w:rsidR="00620A6B" w:rsidRPr="00CB60EA" w:rsidRDefault="00620A6B" w:rsidP="00C26CA1">
      <w:pPr>
        <w:spacing w:line="480" w:lineRule="auto"/>
        <w:ind w:left="720" w:hanging="720"/>
      </w:pPr>
      <w:r>
        <w:t xml:space="preserve">A. </w:t>
      </w:r>
      <w:r>
        <w:tab/>
        <w:t>Based on our research, it appears that the $2.855 million penalty is the largest penalty ever assessed or paid in an enforcement matter that had violations implicating public safety issues.</w:t>
      </w:r>
    </w:p>
    <w:p w14:paraId="25AF2748" w14:textId="77777777" w:rsidR="00B814E2" w:rsidRDefault="00B814E2" w:rsidP="00792B97">
      <w:pPr>
        <w:spacing w:line="480" w:lineRule="auto"/>
      </w:pPr>
    </w:p>
    <w:p w14:paraId="25AF2749" w14:textId="77777777" w:rsidR="00792B97" w:rsidRDefault="00792B97" w:rsidP="00792B97">
      <w:pPr>
        <w:spacing w:line="480" w:lineRule="auto"/>
        <w:ind w:left="720" w:hanging="720"/>
        <w:rPr>
          <w:b/>
        </w:rPr>
      </w:pPr>
      <w:r>
        <w:rPr>
          <w:b/>
        </w:rPr>
        <w:t>Q.</w:t>
      </w:r>
      <w:r>
        <w:rPr>
          <w:b/>
        </w:rPr>
        <w:tab/>
        <w:t xml:space="preserve">Are there other factors the Commission should consider in reviewing the Settlement Agreement?  </w:t>
      </w:r>
    </w:p>
    <w:p w14:paraId="25AF274A" w14:textId="77777777" w:rsidR="006D5111" w:rsidRDefault="00792B97" w:rsidP="00792B97">
      <w:pPr>
        <w:spacing w:line="480" w:lineRule="auto"/>
        <w:ind w:left="720" w:hanging="720"/>
      </w:pPr>
      <w:r>
        <w:t>A.</w:t>
      </w:r>
      <w:r>
        <w:tab/>
        <w:t xml:space="preserve">Yes.  </w:t>
      </w:r>
      <w:r w:rsidR="006D5111">
        <w:t>As more fully described in the direct testimony of Mr. Betsch, significant improvements to processes, communications, and outage reporting have already been implemented.</w:t>
      </w:r>
      <w:r w:rsidR="006D5111" w:rsidRPr="00F17DE4">
        <w:t xml:space="preserve"> </w:t>
      </w:r>
      <w:r w:rsidR="006D5111">
        <w:t xml:space="preserve"> These changes were made because the companies recognized that they were necessary consistent with our responsibilities as 911 providers.  In our view, these improvements decrease the likelihood of another outage, and increase the likelihood that response to any future outage will be well-coordinated.  </w:t>
      </w:r>
    </w:p>
    <w:p w14:paraId="25AF274B" w14:textId="77777777" w:rsidR="00F73133" w:rsidRDefault="00F73133">
      <w:pPr>
        <w:spacing w:line="480" w:lineRule="auto"/>
        <w:ind w:left="720" w:hanging="720"/>
      </w:pPr>
    </w:p>
    <w:p w14:paraId="25AF274C" w14:textId="77777777" w:rsidR="00F73133" w:rsidRDefault="00792B97">
      <w:pPr>
        <w:spacing w:line="480" w:lineRule="auto"/>
        <w:ind w:left="720"/>
      </w:pPr>
      <w:r>
        <w:lastRenderedPageBreak/>
        <w:t xml:space="preserve">CenturyLink </w:t>
      </w:r>
      <w:r w:rsidR="006D5111">
        <w:t xml:space="preserve">also </w:t>
      </w:r>
      <w:r>
        <w:t xml:space="preserve">believes that it is important that the Commission take into consideration the fact that 911 is a complex and multifaceted business, with NG911 being the most advanced and complex of the 911 systems.  </w:t>
      </w:r>
      <w:r w:rsidR="006D5111">
        <w:t>NG911 offers capabilities not available in older systems, such as text to 911, and other features.  However, as w</w:t>
      </w:r>
      <w:r>
        <w:t xml:space="preserve">ith any software based system, there is the possibility of an outage, and with software based systems in particular, those outages are more likely to be widespread as opposed to localized.  No one wants to resign themselves to outages as being inevitable, but the reality is that </w:t>
      </w:r>
      <w:r w:rsidR="00CE2120">
        <w:t xml:space="preserve">software-based </w:t>
      </w:r>
      <w:r>
        <w:t>systems simply don’t run at 100%.</w:t>
      </w:r>
      <w:r w:rsidR="006D5111">
        <w:rPr>
          <w:rStyle w:val="FootnoteReference"/>
        </w:rPr>
        <w:footnoteReference w:id="2"/>
      </w:r>
      <w:r>
        <w:t xml:space="preserve">  T</w:t>
      </w:r>
      <w:r w:rsidRPr="00922CAB">
        <w:t>he s</w:t>
      </w:r>
      <w:r>
        <w:t>oftware</w:t>
      </w:r>
      <w:r w:rsidRPr="00922CAB">
        <w:t xml:space="preserve"> error that occurred </w:t>
      </w:r>
      <w:r>
        <w:t xml:space="preserve">in this case </w:t>
      </w:r>
      <w:r w:rsidRPr="00922CAB">
        <w:t xml:space="preserve">was related to a counter located in an extremely complex </w:t>
      </w:r>
      <w:r>
        <w:t xml:space="preserve">software </w:t>
      </w:r>
      <w:r w:rsidRPr="00922CAB">
        <w:t>program</w:t>
      </w:r>
      <w:r>
        <w:t xml:space="preserve">, containing </w:t>
      </w:r>
      <w:r w:rsidR="00FA0970">
        <w:t xml:space="preserve">over 56,000 lines of code. </w:t>
      </w:r>
      <w:r w:rsidRPr="00922CAB">
        <w:t xml:space="preserve"> The limit on the counter was intended to be self-correcting, but did not re-set correctly</w:t>
      </w:r>
      <w:r>
        <w:t>,</w:t>
      </w:r>
      <w:r w:rsidRPr="00922CAB">
        <w:t xml:space="preserve"> which caused the issue.</w:t>
      </w:r>
      <w:r w:rsidR="00FA0970">
        <w:t xml:space="preserve"> </w:t>
      </w:r>
      <w:r w:rsidRPr="00922CAB">
        <w:t xml:space="preserve"> </w:t>
      </w:r>
      <w:r w:rsidR="00B432B0">
        <w:t xml:space="preserve">As previously discussed, protocols are in place so that the counter issue will not recur, and the counter itself is scheduled to be eliminated at the start of 2016.  </w:t>
      </w:r>
    </w:p>
    <w:p w14:paraId="25AF274D" w14:textId="77777777" w:rsidR="00792B97" w:rsidRDefault="00792B97" w:rsidP="00792B97">
      <w:pPr>
        <w:spacing w:line="480" w:lineRule="auto"/>
      </w:pPr>
    </w:p>
    <w:p w14:paraId="25AF274E" w14:textId="77777777" w:rsidR="00792B97" w:rsidRPr="00D4443C" w:rsidRDefault="00792B97" w:rsidP="00792B97">
      <w:pPr>
        <w:pStyle w:val="question"/>
        <w:widowControl w:val="0"/>
        <w:spacing w:before="0" w:after="0"/>
      </w:pPr>
      <w:r w:rsidRPr="00D4443C">
        <w:t>Q.</w:t>
      </w:r>
      <w:r w:rsidRPr="00D4443C">
        <w:tab/>
        <w:t xml:space="preserve">Does this conclude </w:t>
      </w:r>
      <w:r>
        <w:t xml:space="preserve">your Rebuttal </w:t>
      </w:r>
      <w:r w:rsidRPr="00D4443C">
        <w:t>Testimony?</w:t>
      </w:r>
    </w:p>
    <w:p w14:paraId="25AF274F" w14:textId="77777777" w:rsidR="00792B97" w:rsidRPr="00B814E2" w:rsidRDefault="00792B97" w:rsidP="00792B97">
      <w:pPr>
        <w:pStyle w:val="answer0"/>
        <w:widowControl w:val="0"/>
        <w:spacing w:before="0" w:after="0"/>
      </w:pPr>
      <w:r w:rsidRPr="00D4443C">
        <w:t>A.</w:t>
      </w:r>
      <w:r w:rsidRPr="00D4443C">
        <w:tab/>
        <w:t>Yes.</w:t>
      </w:r>
    </w:p>
    <w:p w14:paraId="25AF2750" w14:textId="77777777" w:rsidR="00792B97" w:rsidRPr="00B814E2" w:rsidRDefault="00792B97" w:rsidP="00792B97">
      <w:pPr>
        <w:spacing w:line="480" w:lineRule="auto"/>
      </w:pPr>
    </w:p>
    <w:sectPr w:rsidR="00792B97" w:rsidRPr="00B814E2" w:rsidSect="0015026F">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F2753" w14:textId="77777777" w:rsidR="00F73133" w:rsidRDefault="00F73133" w:rsidP="0015026F">
      <w:r>
        <w:separator/>
      </w:r>
    </w:p>
  </w:endnote>
  <w:endnote w:type="continuationSeparator" w:id="0">
    <w:p w14:paraId="25AF2754" w14:textId="77777777" w:rsidR="00F73133" w:rsidRDefault="00F73133"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F2755" w14:textId="77777777" w:rsidR="00F73133" w:rsidRPr="00FA0970" w:rsidRDefault="00F73133" w:rsidP="00861EB1">
    <w:pPr>
      <w:pStyle w:val="Footer"/>
      <w:tabs>
        <w:tab w:val="clear" w:pos="4680"/>
        <w:tab w:val="clear" w:pos="9360"/>
        <w:tab w:val="right" w:pos="8820"/>
      </w:tabs>
      <w:rPr>
        <w:sz w:val="22"/>
        <w:szCs w:val="22"/>
      </w:rPr>
    </w:pPr>
    <w:r w:rsidRPr="00FA0970">
      <w:rPr>
        <w:smallCaps/>
        <w:sz w:val="22"/>
        <w:szCs w:val="22"/>
      </w:rPr>
      <w:t>Rebuttal Testimony of CenturyLink</w:t>
    </w:r>
    <w:r w:rsidRPr="00FA0970">
      <w:rPr>
        <w:sz w:val="22"/>
        <w:szCs w:val="22"/>
      </w:rPr>
      <w:tab/>
      <w:t xml:space="preserve">Exhibit No. </w:t>
    </w:r>
    <w:r w:rsidRPr="00FA0970">
      <w:rPr>
        <w:sz w:val="22"/>
        <w:szCs w:val="22"/>
        <w:lang w:val="fr-FR"/>
      </w:rPr>
      <w:t>CTL-2RT</w:t>
    </w:r>
  </w:p>
  <w:p w14:paraId="25AF2756" w14:textId="77777777" w:rsidR="00F73133" w:rsidRPr="00FA0970" w:rsidRDefault="00F73133" w:rsidP="0015026F">
    <w:pPr>
      <w:pStyle w:val="Footer"/>
      <w:tabs>
        <w:tab w:val="clear" w:pos="9360"/>
        <w:tab w:val="right" w:pos="8910"/>
      </w:tabs>
      <w:rPr>
        <w:sz w:val="22"/>
        <w:szCs w:val="22"/>
      </w:rPr>
    </w:pPr>
    <w:r w:rsidRPr="00FA0970">
      <w:rPr>
        <w:sz w:val="22"/>
        <w:szCs w:val="22"/>
      </w:rPr>
      <w:t>Docket UT-140597</w:t>
    </w:r>
    <w:r w:rsidRPr="00FA0970">
      <w:rPr>
        <w:sz w:val="22"/>
        <w:szCs w:val="22"/>
      </w:rPr>
      <w:tab/>
    </w:r>
    <w:r w:rsidRPr="00FA0970">
      <w:rPr>
        <w:sz w:val="22"/>
        <w:szCs w:val="22"/>
      </w:rPr>
      <w:tab/>
      <w:t xml:space="preserve">Page </w:t>
    </w:r>
    <w:r w:rsidRPr="00FA0970">
      <w:rPr>
        <w:sz w:val="22"/>
        <w:szCs w:val="22"/>
      </w:rPr>
      <w:fldChar w:fldCharType="begin"/>
    </w:r>
    <w:r w:rsidRPr="00FA0970">
      <w:rPr>
        <w:sz w:val="22"/>
        <w:szCs w:val="22"/>
      </w:rPr>
      <w:instrText xml:space="preserve"> PAGE   \* MERGEFORMAT </w:instrText>
    </w:r>
    <w:r w:rsidRPr="00FA0970">
      <w:rPr>
        <w:sz w:val="22"/>
        <w:szCs w:val="22"/>
      </w:rPr>
      <w:fldChar w:fldCharType="separate"/>
    </w:r>
    <w:r w:rsidR="007F432F">
      <w:rPr>
        <w:noProof/>
        <w:sz w:val="22"/>
        <w:szCs w:val="22"/>
      </w:rPr>
      <w:t>1</w:t>
    </w:r>
    <w:r w:rsidRPr="00FA0970">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2751" w14:textId="77777777" w:rsidR="00F73133" w:rsidRDefault="00F73133" w:rsidP="0015026F">
      <w:r>
        <w:separator/>
      </w:r>
    </w:p>
  </w:footnote>
  <w:footnote w:type="continuationSeparator" w:id="0">
    <w:p w14:paraId="25AF2752" w14:textId="77777777" w:rsidR="00F73133" w:rsidRDefault="00F73133" w:rsidP="0015026F">
      <w:r>
        <w:continuationSeparator/>
      </w:r>
    </w:p>
  </w:footnote>
  <w:footnote w:id="1">
    <w:p w14:paraId="25AF2757" w14:textId="77777777" w:rsidR="00F73133" w:rsidRDefault="00F73133" w:rsidP="00F73133">
      <w:pPr>
        <w:pStyle w:val="FootnoteText"/>
        <w:ind w:left="360" w:hanging="360"/>
      </w:pPr>
      <w:r>
        <w:rPr>
          <w:rStyle w:val="FootnoteReference"/>
        </w:rPr>
        <w:footnoteRef/>
      </w:r>
      <w:r>
        <w:tab/>
        <w:t>CenturyLink also agrees with Staff that there are in fact 68 PSAPs in the state of Washington - 55 primary and 13 secondary or back up locations.  The figure used by Mr. Bergmann of 127 is incorrect.</w:t>
      </w:r>
    </w:p>
  </w:footnote>
  <w:footnote w:id="2">
    <w:p w14:paraId="25AF2758" w14:textId="77777777" w:rsidR="00F73133" w:rsidRDefault="00F73133" w:rsidP="00FA0970">
      <w:pPr>
        <w:pStyle w:val="FootnoteText"/>
        <w:ind w:left="360" w:hanging="360"/>
      </w:pPr>
      <w:r>
        <w:rPr>
          <w:rStyle w:val="FootnoteReference"/>
        </w:rPr>
        <w:footnoteRef/>
      </w:r>
      <w:r>
        <w:tab/>
        <w:t xml:space="preserve">Software-based systems such as the NYSE and United Airlines’ flight systems have both suffered software based failures this year.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6FC"/>
    <w:multiLevelType w:val="hybridMultilevel"/>
    <w:tmpl w:val="342CD9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990416"/>
    <w:multiLevelType w:val="hybridMultilevel"/>
    <w:tmpl w:val="8C181C78"/>
    <w:lvl w:ilvl="0" w:tplc="FFFFFFFF">
      <w:start w:val="1"/>
      <w:numFmt w:val="decimal"/>
      <w:lvlText w:val="%1"/>
      <w:lvlJc w:val="left"/>
      <w:pPr>
        <w:tabs>
          <w:tab w:val="num" w:pos="3960"/>
        </w:tabs>
        <w:ind w:left="3960" w:hanging="1080"/>
      </w:pPr>
      <w:rPr>
        <w:rFonts w:hint="default"/>
        <w:b w:val="0"/>
        <w:i/>
        <w:sz w:val="20"/>
      </w:rPr>
    </w:lvl>
    <w:lvl w:ilvl="1" w:tplc="A8A8CAD8">
      <w:start w:val="1"/>
      <w:numFmt w:val="lowerLetter"/>
      <w:lvlText w:val="%2)"/>
      <w:lvlJc w:val="left"/>
      <w:pPr>
        <w:tabs>
          <w:tab w:val="num" w:pos="4320"/>
        </w:tabs>
        <w:ind w:left="4320" w:hanging="360"/>
      </w:pPr>
      <w:rPr>
        <w:rFonts w:hint="default"/>
        <w:b w:val="0"/>
      </w:rPr>
    </w:lvl>
    <w:lvl w:ilvl="2" w:tplc="FFFFFFFF">
      <w:start w:val="1"/>
      <w:numFmt w:val="lowerRoman"/>
      <w:lvlText w:val="%3."/>
      <w:lvlJc w:val="right"/>
      <w:pPr>
        <w:tabs>
          <w:tab w:val="num" w:pos="5040"/>
        </w:tabs>
        <w:ind w:left="5040" w:hanging="180"/>
      </w:pPr>
    </w:lvl>
    <w:lvl w:ilvl="3" w:tplc="FFFFFFFF">
      <w:start w:val="1"/>
      <w:numFmt w:val="decimal"/>
      <w:lvlText w:val="%4."/>
      <w:lvlJc w:val="left"/>
      <w:pPr>
        <w:tabs>
          <w:tab w:val="num" w:pos="5760"/>
        </w:tabs>
        <w:ind w:left="5760" w:hanging="360"/>
      </w:pPr>
    </w:lvl>
    <w:lvl w:ilvl="4" w:tplc="FFFFFFFF">
      <w:start w:val="1"/>
      <w:numFmt w:val="lowerLetter"/>
      <w:lvlText w:val="%5."/>
      <w:lvlJc w:val="left"/>
      <w:pPr>
        <w:tabs>
          <w:tab w:val="num" w:pos="6480"/>
        </w:tabs>
        <w:ind w:left="6480" w:hanging="360"/>
      </w:pPr>
    </w:lvl>
    <w:lvl w:ilvl="5" w:tplc="FFFFFFFF">
      <w:start w:val="1"/>
      <w:numFmt w:val="lowerRoman"/>
      <w:lvlText w:val="%6."/>
      <w:lvlJc w:val="right"/>
      <w:pPr>
        <w:tabs>
          <w:tab w:val="num" w:pos="7200"/>
        </w:tabs>
        <w:ind w:left="7200" w:hanging="180"/>
      </w:pPr>
    </w:lvl>
    <w:lvl w:ilvl="6" w:tplc="FFFFFFFF">
      <w:start w:val="1"/>
      <w:numFmt w:val="decimal"/>
      <w:lvlText w:val="%7."/>
      <w:lvlJc w:val="left"/>
      <w:pPr>
        <w:tabs>
          <w:tab w:val="num" w:pos="7920"/>
        </w:tabs>
        <w:ind w:left="7920" w:hanging="360"/>
      </w:pPr>
    </w:lvl>
    <w:lvl w:ilvl="7" w:tplc="FFFFFFFF">
      <w:start w:val="1"/>
      <w:numFmt w:val="lowerLetter"/>
      <w:lvlText w:val="%8."/>
      <w:lvlJc w:val="left"/>
      <w:pPr>
        <w:tabs>
          <w:tab w:val="num" w:pos="8640"/>
        </w:tabs>
        <w:ind w:left="8640" w:hanging="360"/>
      </w:pPr>
    </w:lvl>
    <w:lvl w:ilvl="8" w:tplc="FFFFFFFF">
      <w:start w:val="1"/>
      <w:numFmt w:val="lowerRoman"/>
      <w:lvlText w:val="%9."/>
      <w:lvlJc w:val="right"/>
      <w:pPr>
        <w:tabs>
          <w:tab w:val="num" w:pos="9360"/>
        </w:tabs>
        <w:ind w:left="9360" w:hanging="180"/>
      </w:pPr>
    </w:lvl>
  </w:abstractNum>
  <w:abstractNum w:abstractNumId="2" w15:restartNumberingAfterBreak="0">
    <w:nsid w:val="054C6990"/>
    <w:multiLevelType w:val="hybridMultilevel"/>
    <w:tmpl w:val="2DFA2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A93924"/>
    <w:multiLevelType w:val="hybridMultilevel"/>
    <w:tmpl w:val="CE2CF2DA"/>
    <w:lvl w:ilvl="0" w:tplc="284404CC">
      <w:start w:val="1"/>
      <w:numFmt w:val="bullet"/>
      <w:lvlText w:val="•"/>
      <w:lvlJc w:val="left"/>
      <w:pPr>
        <w:tabs>
          <w:tab w:val="num" w:pos="720"/>
        </w:tabs>
        <w:ind w:left="720" w:hanging="360"/>
      </w:pPr>
      <w:rPr>
        <w:rFonts w:ascii="Arial" w:hAnsi="Arial" w:hint="default"/>
      </w:rPr>
    </w:lvl>
    <w:lvl w:ilvl="1" w:tplc="6DFCD144">
      <w:start w:val="1"/>
      <w:numFmt w:val="bullet"/>
      <w:lvlText w:val="•"/>
      <w:lvlJc w:val="left"/>
      <w:pPr>
        <w:tabs>
          <w:tab w:val="num" w:pos="1440"/>
        </w:tabs>
        <w:ind w:left="1440" w:hanging="360"/>
      </w:pPr>
      <w:rPr>
        <w:rFonts w:ascii="Arial" w:hAnsi="Arial" w:hint="default"/>
      </w:rPr>
    </w:lvl>
    <w:lvl w:ilvl="2" w:tplc="C7E05E5C" w:tentative="1">
      <w:start w:val="1"/>
      <w:numFmt w:val="bullet"/>
      <w:lvlText w:val="•"/>
      <w:lvlJc w:val="left"/>
      <w:pPr>
        <w:tabs>
          <w:tab w:val="num" w:pos="2160"/>
        </w:tabs>
        <w:ind w:left="2160" w:hanging="360"/>
      </w:pPr>
      <w:rPr>
        <w:rFonts w:ascii="Arial" w:hAnsi="Arial" w:hint="default"/>
      </w:rPr>
    </w:lvl>
    <w:lvl w:ilvl="3" w:tplc="6262E19A" w:tentative="1">
      <w:start w:val="1"/>
      <w:numFmt w:val="bullet"/>
      <w:lvlText w:val="•"/>
      <w:lvlJc w:val="left"/>
      <w:pPr>
        <w:tabs>
          <w:tab w:val="num" w:pos="2880"/>
        </w:tabs>
        <w:ind w:left="2880" w:hanging="360"/>
      </w:pPr>
      <w:rPr>
        <w:rFonts w:ascii="Arial" w:hAnsi="Arial" w:hint="default"/>
      </w:rPr>
    </w:lvl>
    <w:lvl w:ilvl="4" w:tplc="862A6398" w:tentative="1">
      <w:start w:val="1"/>
      <w:numFmt w:val="bullet"/>
      <w:lvlText w:val="•"/>
      <w:lvlJc w:val="left"/>
      <w:pPr>
        <w:tabs>
          <w:tab w:val="num" w:pos="3600"/>
        </w:tabs>
        <w:ind w:left="3600" w:hanging="360"/>
      </w:pPr>
      <w:rPr>
        <w:rFonts w:ascii="Arial" w:hAnsi="Arial" w:hint="default"/>
      </w:rPr>
    </w:lvl>
    <w:lvl w:ilvl="5" w:tplc="559EE4AC" w:tentative="1">
      <w:start w:val="1"/>
      <w:numFmt w:val="bullet"/>
      <w:lvlText w:val="•"/>
      <w:lvlJc w:val="left"/>
      <w:pPr>
        <w:tabs>
          <w:tab w:val="num" w:pos="4320"/>
        </w:tabs>
        <w:ind w:left="4320" w:hanging="360"/>
      </w:pPr>
      <w:rPr>
        <w:rFonts w:ascii="Arial" w:hAnsi="Arial" w:hint="default"/>
      </w:rPr>
    </w:lvl>
    <w:lvl w:ilvl="6" w:tplc="1AE0897C" w:tentative="1">
      <w:start w:val="1"/>
      <w:numFmt w:val="bullet"/>
      <w:lvlText w:val="•"/>
      <w:lvlJc w:val="left"/>
      <w:pPr>
        <w:tabs>
          <w:tab w:val="num" w:pos="5040"/>
        </w:tabs>
        <w:ind w:left="5040" w:hanging="360"/>
      </w:pPr>
      <w:rPr>
        <w:rFonts w:ascii="Arial" w:hAnsi="Arial" w:hint="default"/>
      </w:rPr>
    </w:lvl>
    <w:lvl w:ilvl="7" w:tplc="C5BC3F4C" w:tentative="1">
      <w:start w:val="1"/>
      <w:numFmt w:val="bullet"/>
      <w:lvlText w:val="•"/>
      <w:lvlJc w:val="left"/>
      <w:pPr>
        <w:tabs>
          <w:tab w:val="num" w:pos="5760"/>
        </w:tabs>
        <w:ind w:left="5760" w:hanging="360"/>
      </w:pPr>
      <w:rPr>
        <w:rFonts w:ascii="Arial" w:hAnsi="Arial" w:hint="default"/>
      </w:rPr>
    </w:lvl>
    <w:lvl w:ilvl="8" w:tplc="9D960C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700526"/>
    <w:multiLevelType w:val="hybridMultilevel"/>
    <w:tmpl w:val="AA065B06"/>
    <w:lvl w:ilvl="0" w:tplc="E542D0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D11DD4"/>
    <w:multiLevelType w:val="hybridMultilevel"/>
    <w:tmpl w:val="23B6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A24D6"/>
    <w:multiLevelType w:val="hybridMultilevel"/>
    <w:tmpl w:val="9E42C9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E45896"/>
    <w:multiLevelType w:val="hybridMultilevel"/>
    <w:tmpl w:val="5442D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F84339"/>
    <w:multiLevelType w:val="hybridMultilevel"/>
    <w:tmpl w:val="C304F9AE"/>
    <w:lvl w:ilvl="0" w:tplc="0BF88F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8E544B"/>
    <w:multiLevelType w:val="hybridMultilevel"/>
    <w:tmpl w:val="0B32CF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F633D02"/>
    <w:multiLevelType w:val="hybridMultilevel"/>
    <w:tmpl w:val="641AB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1"/>
  </w:num>
  <w:num w:numId="4">
    <w:abstractNumId w:val="2"/>
  </w:num>
  <w:num w:numId="5">
    <w:abstractNumId w:val="6"/>
  </w:num>
  <w:num w:numId="6">
    <w:abstractNumId w:val="8"/>
  </w:num>
  <w:num w:numId="7">
    <w:abstractNumId w:val="9"/>
  </w:num>
  <w:num w:numId="8">
    <w:abstractNumId w:val="1"/>
  </w:num>
  <w:num w:numId="9">
    <w:abstractNumId w:val="10"/>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7644"/>
    <w:rsid w:val="00031292"/>
    <w:rsid w:val="0004720F"/>
    <w:rsid w:val="00052BB0"/>
    <w:rsid w:val="00053D6F"/>
    <w:rsid w:val="0005455B"/>
    <w:rsid w:val="00057484"/>
    <w:rsid w:val="00062ED3"/>
    <w:rsid w:val="000877B7"/>
    <w:rsid w:val="000D4D52"/>
    <w:rsid w:val="00102453"/>
    <w:rsid w:val="00103D39"/>
    <w:rsid w:val="00105B13"/>
    <w:rsid w:val="0011071F"/>
    <w:rsid w:val="001346B8"/>
    <w:rsid w:val="001416DE"/>
    <w:rsid w:val="0015026F"/>
    <w:rsid w:val="001565E9"/>
    <w:rsid w:val="00191B84"/>
    <w:rsid w:val="001A3F8E"/>
    <w:rsid w:val="001B0FF4"/>
    <w:rsid w:val="001C360E"/>
    <w:rsid w:val="001E6369"/>
    <w:rsid w:val="00203735"/>
    <w:rsid w:val="00203A29"/>
    <w:rsid w:val="00257DDF"/>
    <w:rsid w:val="00263189"/>
    <w:rsid w:val="002C0172"/>
    <w:rsid w:val="002D307B"/>
    <w:rsid w:val="002E2448"/>
    <w:rsid w:val="002F4E8A"/>
    <w:rsid w:val="0030431F"/>
    <w:rsid w:val="00313105"/>
    <w:rsid w:val="0032079B"/>
    <w:rsid w:val="003628A6"/>
    <w:rsid w:val="00366392"/>
    <w:rsid w:val="003819F2"/>
    <w:rsid w:val="003B43DC"/>
    <w:rsid w:val="003C272F"/>
    <w:rsid w:val="003D0D5C"/>
    <w:rsid w:val="003E2CC4"/>
    <w:rsid w:val="003E383A"/>
    <w:rsid w:val="003E6499"/>
    <w:rsid w:val="00433510"/>
    <w:rsid w:val="004369C2"/>
    <w:rsid w:val="0046251D"/>
    <w:rsid w:val="00487B9C"/>
    <w:rsid w:val="004A36E6"/>
    <w:rsid w:val="004A5AFD"/>
    <w:rsid w:val="004C29B4"/>
    <w:rsid w:val="004D5937"/>
    <w:rsid w:val="0050387D"/>
    <w:rsid w:val="005064C2"/>
    <w:rsid w:val="00522C27"/>
    <w:rsid w:val="00541670"/>
    <w:rsid w:val="005721DB"/>
    <w:rsid w:val="00581580"/>
    <w:rsid w:val="00586395"/>
    <w:rsid w:val="00587458"/>
    <w:rsid w:val="005878F3"/>
    <w:rsid w:val="005B3FB4"/>
    <w:rsid w:val="005D189E"/>
    <w:rsid w:val="005E2443"/>
    <w:rsid w:val="006071EF"/>
    <w:rsid w:val="00614891"/>
    <w:rsid w:val="00620A6B"/>
    <w:rsid w:val="00632EC9"/>
    <w:rsid w:val="0068097C"/>
    <w:rsid w:val="00696A62"/>
    <w:rsid w:val="006A732F"/>
    <w:rsid w:val="006C1FF9"/>
    <w:rsid w:val="006C59A2"/>
    <w:rsid w:val="006D5111"/>
    <w:rsid w:val="006D5864"/>
    <w:rsid w:val="00703602"/>
    <w:rsid w:val="007503A1"/>
    <w:rsid w:val="00754505"/>
    <w:rsid w:val="00781BA8"/>
    <w:rsid w:val="00792B97"/>
    <w:rsid w:val="007A5113"/>
    <w:rsid w:val="007B19C1"/>
    <w:rsid w:val="007F1EBA"/>
    <w:rsid w:val="007F432F"/>
    <w:rsid w:val="007F4C98"/>
    <w:rsid w:val="00861EB1"/>
    <w:rsid w:val="008666D3"/>
    <w:rsid w:val="0086784A"/>
    <w:rsid w:val="00874663"/>
    <w:rsid w:val="008773B2"/>
    <w:rsid w:val="00886C6B"/>
    <w:rsid w:val="008A14EC"/>
    <w:rsid w:val="008B464D"/>
    <w:rsid w:val="008B70CE"/>
    <w:rsid w:val="008B7670"/>
    <w:rsid w:val="008C7B15"/>
    <w:rsid w:val="008D0B69"/>
    <w:rsid w:val="008D66E0"/>
    <w:rsid w:val="008E113D"/>
    <w:rsid w:val="008E49CF"/>
    <w:rsid w:val="008E7709"/>
    <w:rsid w:val="008F074E"/>
    <w:rsid w:val="00917AF6"/>
    <w:rsid w:val="009346AA"/>
    <w:rsid w:val="0095667D"/>
    <w:rsid w:val="00956BAC"/>
    <w:rsid w:val="009A4039"/>
    <w:rsid w:val="009C7DE3"/>
    <w:rsid w:val="009D5687"/>
    <w:rsid w:val="009F097C"/>
    <w:rsid w:val="00A03E42"/>
    <w:rsid w:val="00A208F6"/>
    <w:rsid w:val="00A24BAC"/>
    <w:rsid w:val="00A516D8"/>
    <w:rsid w:val="00A830C1"/>
    <w:rsid w:val="00A9195B"/>
    <w:rsid w:val="00A91A4B"/>
    <w:rsid w:val="00AB106C"/>
    <w:rsid w:val="00AC1694"/>
    <w:rsid w:val="00AD3277"/>
    <w:rsid w:val="00AD7BBD"/>
    <w:rsid w:val="00AF4840"/>
    <w:rsid w:val="00B107C8"/>
    <w:rsid w:val="00B40C56"/>
    <w:rsid w:val="00B432B0"/>
    <w:rsid w:val="00B676C2"/>
    <w:rsid w:val="00B76300"/>
    <w:rsid w:val="00B814E2"/>
    <w:rsid w:val="00BD71BB"/>
    <w:rsid w:val="00BF0C6F"/>
    <w:rsid w:val="00C008B3"/>
    <w:rsid w:val="00C061F7"/>
    <w:rsid w:val="00C0665B"/>
    <w:rsid w:val="00C12400"/>
    <w:rsid w:val="00C242E8"/>
    <w:rsid w:val="00C26CA1"/>
    <w:rsid w:val="00C36FA6"/>
    <w:rsid w:val="00C416F0"/>
    <w:rsid w:val="00C43E6E"/>
    <w:rsid w:val="00C466BC"/>
    <w:rsid w:val="00C46B8C"/>
    <w:rsid w:val="00C5378F"/>
    <w:rsid w:val="00C755E3"/>
    <w:rsid w:val="00C8562F"/>
    <w:rsid w:val="00CA5503"/>
    <w:rsid w:val="00CE2120"/>
    <w:rsid w:val="00D132BA"/>
    <w:rsid w:val="00D22A5C"/>
    <w:rsid w:val="00D25CFA"/>
    <w:rsid w:val="00D414C2"/>
    <w:rsid w:val="00D93A0C"/>
    <w:rsid w:val="00DB665F"/>
    <w:rsid w:val="00DC16EA"/>
    <w:rsid w:val="00DC39B4"/>
    <w:rsid w:val="00DD2B92"/>
    <w:rsid w:val="00E101D8"/>
    <w:rsid w:val="00E17B74"/>
    <w:rsid w:val="00E50BE2"/>
    <w:rsid w:val="00E714D3"/>
    <w:rsid w:val="00E74C30"/>
    <w:rsid w:val="00E87321"/>
    <w:rsid w:val="00E96366"/>
    <w:rsid w:val="00EB0652"/>
    <w:rsid w:val="00ED4D36"/>
    <w:rsid w:val="00EE7999"/>
    <w:rsid w:val="00F00644"/>
    <w:rsid w:val="00F02452"/>
    <w:rsid w:val="00F17753"/>
    <w:rsid w:val="00F17DE4"/>
    <w:rsid w:val="00F17ECE"/>
    <w:rsid w:val="00F73133"/>
    <w:rsid w:val="00F8118A"/>
    <w:rsid w:val="00FA0970"/>
    <w:rsid w:val="00FA0B4E"/>
    <w:rsid w:val="00FA70BD"/>
    <w:rsid w:val="00FB5629"/>
    <w:rsid w:val="00FC7D22"/>
    <w:rsid w:val="00FF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AF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paragraph" w:styleId="Heading1">
    <w:name w:val="heading 1"/>
    <w:aliases w:val="h1"/>
    <w:basedOn w:val="Normal"/>
    <w:next w:val="Normal"/>
    <w:link w:val="Heading1Char"/>
    <w:qFormat/>
    <w:rsid w:val="00D93A0C"/>
    <w:pPr>
      <w:keepNext/>
      <w:keepLines/>
      <w:spacing w:before="240" w:after="320" w:line="240" w:lineRule="atLeast"/>
      <w:ind w:left="720" w:right="720"/>
      <w:jc w:val="center"/>
      <w:outlineLvl w:val="0"/>
    </w:pPr>
    <w:rPr>
      <w:rFonts w:ascii="CG Times (WN)" w:eastAsia="Times New Roman" w:hAnsi="CG Times (WN)"/>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customStyle="1" w:styleId="Default">
    <w:name w:val="Default"/>
    <w:rsid w:val="00DB665F"/>
    <w:pPr>
      <w:autoSpaceDE w:val="0"/>
      <w:autoSpaceDN w:val="0"/>
      <w:adjustRightInd w:val="0"/>
      <w:spacing w:after="0" w:line="240" w:lineRule="auto"/>
    </w:pPr>
    <w:rPr>
      <w:rFonts w:eastAsia="Calibri"/>
      <w:color w:val="000000"/>
    </w:rPr>
  </w:style>
  <w:style w:type="paragraph" w:styleId="BodyText2">
    <w:name w:val="Body Text 2"/>
    <w:basedOn w:val="Normal"/>
    <w:link w:val="BodyText2Char"/>
    <w:rsid w:val="00DB665F"/>
    <w:pPr>
      <w:spacing w:after="120" w:line="480" w:lineRule="auto"/>
    </w:pPr>
    <w:rPr>
      <w:rFonts w:eastAsia="Times New Roman"/>
    </w:rPr>
  </w:style>
  <w:style w:type="character" w:customStyle="1" w:styleId="BodyText2Char">
    <w:name w:val="Body Text 2 Char"/>
    <w:basedOn w:val="DefaultParagraphFont"/>
    <w:link w:val="BodyText2"/>
    <w:rsid w:val="00DB665F"/>
    <w:rPr>
      <w:rFonts w:eastAsia="Times New Roman"/>
    </w:rPr>
  </w:style>
  <w:style w:type="paragraph" w:styleId="BodyText">
    <w:name w:val="Body Text"/>
    <w:basedOn w:val="Normal"/>
    <w:link w:val="BodyTextChar"/>
    <w:uiPriority w:val="99"/>
    <w:unhideWhenUsed/>
    <w:rsid w:val="00DB665F"/>
    <w:pPr>
      <w:spacing w:after="120"/>
    </w:pPr>
    <w:rPr>
      <w:rFonts w:eastAsia="Times New Roman"/>
      <w:szCs w:val="20"/>
    </w:rPr>
  </w:style>
  <w:style w:type="character" w:customStyle="1" w:styleId="BodyTextChar">
    <w:name w:val="Body Text Char"/>
    <w:basedOn w:val="DefaultParagraphFont"/>
    <w:link w:val="BodyText"/>
    <w:uiPriority w:val="99"/>
    <w:rsid w:val="00DB665F"/>
    <w:rPr>
      <w:rFonts w:eastAsia="Times New Roman"/>
      <w:szCs w:val="20"/>
    </w:rPr>
  </w:style>
  <w:style w:type="paragraph" w:styleId="FootnoteText">
    <w:name w:val="footnote text"/>
    <w:aliases w:val="Footnote Text Char1,Footnote Text Char Char,Footnote Text Char2 Char Char1,Footnote Text Char1 Char Char Char1,Footnote Text Char Char Char Char Char,Footnote Text Char2 Char Char Char Char Char,Footnote Text Char2 Char,ALTS FOOTNOTE,fn,1"/>
    <w:basedOn w:val="Normal"/>
    <w:link w:val="FootnoteTextChar"/>
    <w:uiPriority w:val="99"/>
    <w:rsid w:val="00DB665F"/>
    <w:rPr>
      <w:rFonts w:eastAsia="Times New Roman"/>
      <w:sz w:val="20"/>
      <w:szCs w:val="20"/>
    </w:rPr>
  </w:style>
  <w:style w:type="character" w:customStyle="1" w:styleId="FootnoteTextChar">
    <w:name w:val="Footnote Text Char"/>
    <w:aliases w:val="Footnote Text Char1 Char,Footnote Text Char Char Char,Footnote Text Char2 Char Char1 Char,Footnote Text Char1 Char Char Char1 Char,Footnote Text Char Char Char Char Char Char,Footnote Text Char2 Char Char Char Char Char Char,fn Char"/>
    <w:basedOn w:val="DefaultParagraphFont"/>
    <w:link w:val="FootnoteText"/>
    <w:uiPriority w:val="99"/>
    <w:rsid w:val="00DB665F"/>
    <w:rPr>
      <w:rFonts w:eastAsia="Times New Roman"/>
      <w:sz w:val="20"/>
      <w:szCs w:val="20"/>
    </w:rPr>
  </w:style>
  <w:style w:type="character" w:styleId="FootnoteReference">
    <w:name w:val="footnote reference"/>
    <w:aliases w:val="Style 3,fr,o,FR,(NECG) Footnote Reference,Appel note de bas de p,Style 17,Style 12,Style 124,Style 13,callout,Style 9,Style 6,Style 20,Footnote 1r"/>
    <w:uiPriority w:val="99"/>
    <w:rsid w:val="00DB665F"/>
    <w:rPr>
      <w:vertAlign w:val="superscript"/>
    </w:rPr>
  </w:style>
  <w:style w:type="paragraph" w:customStyle="1" w:styleId="Answer">
    <w:name w:val="Answer"/>
    <w:basedOn w:val="Normal"/>
    <w:next w:val="Normal"/>
    <w:rsid w:val="00DB665F"/>
    <w:pPr>
      <w:spacing w:line="480" w:lineRule="auto"/>
      <w:ind w:left="576" w:hanging="432"/>
    </w:pPr>
    <w:rPr>
      <w:rFonts w:ascii="Arial" w:eastAsia="Times New Roman" w:hAnsi="Arial"/>
    </w:rPr>
  </w:style>
  <w:style w:type="character" w:styleId="CommentReference">
    <w:name w:val="annotation reference"/>
    <w:uiPriority w:val="99"/>
    <w:semiHidden/>
    <w:unhideWhenUsed/>
    <w:rsid w:val="00DB665F"/>
    <w:rPr>
      <w:sz w:val="16"/>
      <w:szCs w:val="16"/>
    </w:rPr>
  </w:style>
  <w:style w:type="paragraph" w:styleId="CommentText">
    <w:name w:val="annotation text"/>
    <w:basedOn w:val="Normal"/>
    <w:link w:val="CommentTextChar"/>
    <w:uiPriority w:val="99"/>
    <w:unhideWhenUsed/>
    <w:rsid w:val="00DB665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B665F"/>
    <w:rPr>
      <w:rFonts w:ascii="Calibri" w:eastAsia="Calibri" w:hAnsi="Calibri"/>
      <w:sz w:val="20"/>
      <w:szCs w:val="20"/>
    </w:rPr>
  </w:style>
  <w:style w:type="paragraph" w:styleId="BalloonText">
    <w:name w:val="Balloon Text"/>
    <w:basedOn w:val="Normal"/>
    <w:link w:val="BalloonTextChar"/>
    <w:uiPriority w:val="99"/>
    <w:semiHidden/>
    <w:unhideWhenUsed/>
    <w:rsid w:val="00DB6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5F"/>
    <w:rPr>
      <w:rFonts w:ascii="Segoe UI" w:hAnsi="Segoe UI" w:cs="Segoe UI"/>
      <w:sz w:val="18"/>
      <w:szCs w:val="18"/>
    </w:rPr>
  </w:style>
  <w:style w:type="character" w:customStyle="1" w:styleId="Heading1Char">
    <w:name w:val="Heading 1 Char"/>
    <w:aliases w:val="h1 Char"/>
    <w:basedOn w:val="DefaultParagraphFont"/>
    <w:link w:val="Heading1"/>
    <w:rsid w:val="00D93A0C"/>
    <w:rPr>
      <w:rFonts w:ascii="CG Times (WN)" w:eastAsia="Times New Roman" w:hAnsi="CG Times (WN)"/>
      <w:b/>
      <w:szCs w:val="20"/>
      <w:lang w:eastAsia="zh-CN"/>
    </w:rPr>
  </w:style>
  <w:style w:type="paragraph" w:customStyle="1" w:styleId="question">
    <w:name w:val="question"/>
    <w:basedOn w:val="Normal"/>
    <w:next w:val="answer0"/>
    <w:link w:val="questionChar"/>
    <w:rsid w:val="00D93A0C"/>
    <w:pPr>
      <w:spacing w:before="240" w:after="120" w:line="480" w:lineRule="auto"/>
      <w:ind w:left="720" w:hanging="720"/>
    </w:pPr>
    <w:rPr>
      <w:rFonts w:eastAsia="SimSun"/>
      <w:b/>
      <w:bCs/>
      <w:lang w:eastAsia="zh-CN"/>
    </w:rPr>
  </w:style>
  <w:style w:type="paragraph" w:customStyle="1" w:styleId="answer0">
    <w:name w:val="answer"/>
    <w:basedOn w:val="Normal"/>
    <w:link w:val="answerChar"/>
    <w:rsid w:val="00D93A0C"/>
    <w:pPr>
      <w:spacing w:before="120" w:after="120" w:line="480" w:lineRule="auto"/>
      <w:ind w:left="720" w:hanging="720"/>
    </w:pPr>
    <w:rPr>
      <w:rFonts w:ascii="CG Times (WN)" w:eastAsia="SimSun" w:hAnsi="CG Times (WN)"/>
      <w:lang w:eastAsia="zh-CN"/>
    </w:rPr>
  </w:style>
  <w:style w:type="character" w:customStyle="1" w:styleId="answerChar">
    <w:name w:val="answer Char"/>
    <w:link w:val="answer0"/>
    <w:rsid w:val="00D93A0C"/>
    <w:rPr>
      <w:rFonts w:ascii="CG Times (WN)" w:eastAsia="SimSun" w:hAnsi="CG Times (WN)"/>
      <w:lang w:eastAsia="zh-CN"/>
    </w:rPr>
  </w:style>
  <w:style w:type="character" w:customStyle="1" w:styleId="questionChar">
    <w:name w:val="question Char"/>
    <w:link w:val="question"/>
    <w:rsid w:val="00D93A0C"/>
    <w:rPr>
      <w:rFonts w:eastAsia="SimSun"/>
      <w:b/>
      <w:bCs/>
      <w:lang w:eastAsia="zh-CN"/>
    </w:rPr>
  </w:style>
  <w:style w:type="paragraph" w:styleId="CommentSubject">
    <w:name w:val="annotation subject"/>
    <w:basedOn w:val="CommentText"/>
    <w:next w:val="CommentText"/>
    <w:link w:val="CommentSubjectChar"/>
    <w:uiPriority w:val="99"/>
    <w:semiHidden/>
    <w:unhideWhenUsed/>
    <w:rsid w:val="008B70CE"/>
    <w:pPr>
      <w:spacing w:after="0" w:line="240" w:lineRule="auto"/>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8B70CE"/>
    <w:rPr>
      <w:rFonts w:ascii="Calibri" w:eastAsia="Calibri" w:hAnsi="Calibri"/>
      <w:b/>
      <w:bCs/>
      <w:sz w:val="20"/>
      <w:szCs w:val="20"/>
    </w:rPr>
  </w:style>
  <w:style w:type="paragraph" w:styleId="Revision">
    <w:name w:val="Revision"/>
    <w:hidden/>
    <w:uiPriority w:val="99"/>
    <w:semiHidden/>
    <w:rsid w:val="003E6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2015-12-09T08:00:00+00:00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5359CC-041B-438B-B593-72E11780AD7E}"/>
</file>

<file path=customXml/itemProps2.xml><?xml version="1.0" encoding="utf-8"?>
<ds:datastoreItem xmlns:ds="http://schemas.openxmlformats.org/officeDocument/2006/customXml" ds:itemID="{B05BE26A-17AF-499C-8C01-74F91C995D28}"/>
</file>

<file path=customXml/itemProps3.xml><?xml version="1.0" encoding="utf-8"?>
<ds:datastoreItem xmlns:ds="http://schemas.openxmlformats.org/officeDocument/2006/customXml" ds:itemID="{2950B7D1-7393-4B77-84B1-B41127AAD5CA}"/>
</file>

<file path=customXml/itemProps4.xml><?xml version="1.0" encoding="utf-8"?>
<ds:datastoreItem xmlns:ds="http://schemas.openxmlformats.org/officeDocument/2006/customXml" ds:itemID="{5D9CA939-F098-4AE5-85A4-AA09F0A1A9D9}"/>
</file>

<file path=customXml/itemProps5.xml><?xml version="1.0" encoding="utf-8"?>
<ds:datastoreItem xmlns:ds="http://schemas.openxmlformats.org/officeDocument/2006/customXml" ds:itemID="{7E1ED3E5-E910-4C32-89DD-018D6558C696}"/>
</file>

<file path=docProps/app.xml><?xml version="1.0" encoding="utf-8"?>
<Properties xmlns="http://schemas.openxmlformats.org/officeDocument/2006/extended-properties" xmlns:vt="http://schemas.openxmlformats.org/officeDocument/2006/docPropsVTypes">
  <Template>Normal</Template>
  <TotalTime>0</TotalTime>
  <Pages>5</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2015-12-09T17:02:00Z</dcterms:created>
  <dcterms:modified xsi:type="dcterms:W3CDTF">2015-12-09T17:02:00Z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NewReviewCycle">
    <vt:lpwstr/>
  </property>
  <property fmtid="{D5CDD505-2E9C-101B-9397-08002B2CF9AE}" pid="4" name="_docset_NoMedatataSyncRequired">
    <vt:lpwstr>False</vt:lpwstr>
  </property>
</Properties>
</file>