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07" w:rsidRDefault="00BC0007" w:rsidP="00BE628D">
      <w:pPr>
        <w:pStyle w:val="CourtName"/>
        <w:spacing w:line="240" w:lineRule="auto"/>
        <w:ind w:left="-360" w:right="-432"/>
        <w:rPr>
          <w:b/>
          <w:caps/>
        </w:rPr>
      </w:pPr>
    </w:p>
    <w:p w:rsidR="00BC0007" w:rsidRDefault="00BC0007" w:rsidP="00BE628D">
      <w:pPr>
        <w:pStyle w:val="CourtName"/>
        <w:spacing w:line="240" w:lineRule="auto"/>
        <w:ind w:left="-360" w:right="-432"/>
        <w:rPr>
          <w:b/>
          <w:caps/>
        </w:rPr>
      </w:pPr>
    </w:p>
    <w:p w:rsidR="00BC0007" w:rsidRDefault="00BC0007" w:rsidP="00BE628D">
      <w:pPr>
        <w:pStyle w:val="CourtName"/>
        <w:spacing w:line="240" w:lineRule="auto"/>
        <w:ind w:left="-360" w:right="-432"/>
        <w:rPr>
          <w:b/>
          <w:caps/>
        </w:rPr>
      </w:pPr>
    </w:p>
    <w:p w:rsidR="00BE628D" w:rsidRPr="00BC0007" w:rsidRDefault="00BE628D" w:rsidP="00BC0007">
      <w:pPr>
        <w:pStyle w:val="CourtName"/>
        <w:spacing w:line="240" w:lineRule="auto"/>
        <w:ind w:left="-540" w:right="-612"/>
        <w:rPr>
          <w:b/>
          <w:caps/>
        </w:rPr>
      </w:pPr>
      <w:r w:rsidRPr="00BC0007">
        <w:rPr>
          <w:b/>
          <w:caps/>
        </w:rPr>
        <w:t>BEFORE THE WASHINGTON UTILITIES AND TRANSPORTATION COMMISSION</w:t>
      </w:r>
    </w:p>
    <w:p w:rsidR="00BE628D" w:rsidRPr="00BC0007" w:rsidRDefault="00BE628D" w:rsidP="00BE628D">
      <w:pPr>
        <w:spacing w:line="240" w:lineRule="auto"/>
        <w:jc w:val="center"/>
        <w:rPr>
          <w:rFonts w:ascii="Times New Roman" w:hAnsi="Times New Roman" w:cs="Times New Roman"/>
          <w:b/>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BE628D" w:rsidRPr="00BC0007" w:rsidTr="00BE628D">
        <w:tc>
          <w:tcPr>
            <w:tcW w:w="4500" w:type="dxa"/>
            <w:tcBorders>
              <w:bottom w:val="single" w:sz="6" w:space="0" w:color="auto"/>
              <w:right w:val="single" w:sz="6" w:space="0" w:color="auto"/>
            </w:tcBorders>
          </w:tcPr>
          <w:p w:rsidR="00BE628D" w:rsidRPr="00BC0007" w:rsidRDefault="00BE628D" w:rsidP="00557D2B">
            <w:pPr>
              <w:tabs>
                <w:tab w:val="left" w:pos="2160"/>
              </w:tabs>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WASHINGTON UTILITIES AND TRANSPORTATION COMMISSION,</w:t>
            </w:r>
          </w:p>
          <w:p w:rsidR="00557D2B" w:rsidRPr="00BC0007" w:rsidRDefault="00557D2B" w:rsidP="00557D2B">
            <w:pPr>
              <w:tabs>
                <w:tab w:val="left" w:pos="2160"/>
              </w:tabs>
              <w:spacing w:after="0" w:line="240" w:lineRule="auto"/>
              <w:ind w:left="-360"/>
              <w:rPr>
                <w:rFonts w:ascii="Times New Roman" w:hAnsi="Times New Roman" w:cs="Times New Roman"/>
                <w:b/>
                <w:bCs/>
                <w:sz w:val="24"/>
                <w:szCs w:val="24"/>
              </w:rPr>
            </w:pPr>
          </w:p>
          <w:p w:rsidR="00BE628D" w:rsidRPr="00BC0007" w:rsidRDefault="00BE628D" w:rsidP="00557D2B">
            <w:pPr>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ab/>
              <w:t>Complainant,</w:t>
            </w:r>
          </w:p>
          <w:p w:rsidR="00557D2B" w:rsidRPr="00BC0007" w:rsidRDefault="00557D2B" w:rsidP="00557D2B">
            <w:pPr>
              <w:spacing w:after="0" w:line="240" w:lineRule="auto"/>
              <w:ind w:left="-360"/>
              <w:rPr>
                <w:rFonts w:ascii="Times New Roman" w:hAnsi="Times New Roman" w:cs="Times New Roman"/>
                <w:b/>
                <w:bCs/>
                <w:sz w:val="24"/>
                <w:szCs w:val="24"/>
              </w:rPr>
            </w:pPr>
          </w:p>
          <w:p w:rsidR="00BE628D" w:rsidRPr="00BC0007" w:rsidRDefault="00BE628D" w:rsidP="00557D2B">
            <w:pPr>
              <w:tabs>
                <w:tab w:val="left" w:pos="2160"/>
              </w:tabs>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v.</w:t>
            </w:r>
          </w:p>
          <w:p w:rsidR="00557D2B" w:rsidRPr="00BC0007" w:rsidRDefault="00557D2B" w:rsidP="00557D2B">
            <w:pPr>
              <w:tabs>
                <w:tab w:val="left" w:pos="2160"/>
              </w:tabs>
              <w:spacing w:after="0" w:line="240" w:lineRule="auto"/>
              <w:ind w:left="-360"/>
              <w:rPr>
                <w:rFonts w:ascii="Times New Roman" w:hAnsi="Times New Roman" w:cs="Times New Roman"/>
                <w:b/>
                <w:bCs/>
                <w:sz w:val="24"/>
                <w:szCs w:val="24"/>
              </w:rPr>
            </w:pPr>
          </w:p>
          <w:p w:rsidR="00BE628D" w:rsidRPr="00BC0007" w:rsidRDefault="00BE628D" w:rsidP="00557D2B">
            <w:pPr>
              <w:tabs>
                <w:tab w:val="left" w:pos="2160"/>
              </w:tabs>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PUGET SOUND ENERGY, INC.,</w:t>
            </w:r>
          </w:p>
          <w:p w:rsidR="00557D2B" w:rsidRPr="00BC0007" w:rsidRDefault="00557D2B" w:rsidP="00557D2B">
            <w:pPr>
              <w:tabs>
                <w:tab w:val="left" w:pos="2160"/>
              </w:tabs>
              <w:spacing w:after="0" w:line="240" w:lineRule="auto"/>
              <w:ind w:left="-360"/>
              <w:rPr>
                <w:rFonts w:ascii="Times New Roman" w:hAnsi="Times New Roman" w:cs="Times New Roman"/>
                <w:b/>
                <w:bCs/>
                <w:sz w:val="24"/>
                <w:szCs w:val="24"/>
              </w:rPr>
            </w:pPr>
          </w:p>
          <w:p w:rsidR="00BE628D" w:rsidRPr="00BC0007" w:rsidRDefault="00BE628D" w:rsidP="00557D2B">
            <w:pPr>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ab/>
              <w:t>Respondent.</w:t>
            </w:r>
          </w:p>
          <w:p w:rsidR="00557D2B" w:rsidRPr="00BC0007" w:rsidRDefault="00557D2B" w:rsidP="00557D2B">
            <w:pPr>
              <w:spacing w:after="0" w:line="240" w:lineRule="auto"/>
              <w:ind w:left="-360"/>
              <w:rPr>
                <w:rFonts w:ascii="Times New Roman" w:hAnsi="Times New Roman" w:cs="Times New Roman"/>
                <w:b/>
                <w:sz w:val="24"/>
                <w:szCs w:val="24"/>
              </w:rPr>
            </w:pPr>
          </w:p>
        </w:tc>
        <w:tc>
          <w:tcPr>
            <w:tcW w:w="4500" w:type="dxa"/>
            <w:tcBorders>
              <w:left w:val="nil"/>
              <w:bottom w:val="nil"/>
            </w:tcBorders>
          </w:tcPr>
          <w:p w:rsidR="00BE628D" w:rsidRPr="00BC0007" w:rsidRDefault="00BE628D" w:rsidP="00557D2B">
            <w:pPr>
              <w:spacing w:after="0" w:line="240" w:lineRule="auto"/>
              <w:rPr>
                <w:rFonts w:ascii="Times New Roman" w:hAnsi="Times New Roman" w:cs="Times New Roman"/>
                <w:b/>
                <w:sz w:val="24"/>
                <w:szCs w:val="24"/>
              </w:rPr>
            </w:pPr>
            <w:bookmarkStart w:id="0" w:name="Court_Doc_Number"/>
            <w:bookmarkEnd w:id="0"/>
            <w:r w:rsidRPr="00BC0007">
              <w:rPr>
                <w:rFonts w:ascii="Times New Roman" w:hAnsi="Times New Roman" w:cs="Times New Roman"/>
                <w:b/>
                <w:sz w:val="24"/>
                <w:szCs w:val="24"/>
              </w:rPr>
              <w:t>DOCKET UG-110723</w:t>
            </w:r>
          </w:p>
          <w:p w:rsidR="00BE628D" w:rsidRPr="00BC0007" w:rsidRDefault="00BE628D" w:rsidP="00557D2B">
            <w:pPr>
              <w:spacing w:after="0" w:line="240" w:lineRule="auto"/>
              <w:rPr>
                <w:rFonts w:ascii="Times New Roman" w:hAnsi="Times New Roman" w:cs="Times New Roman"/>
                <w:b/>
                <w:sz w:val="24"/>
                <w:szCs w:val="24"/>
              </w:rPr>
            </w:pPr>
          </w:p>
          <w:p w:rsidR="00BE628D" w:rsidRPr="00BC0007" w:rsidRDefault="00BE628D" w:rsidP="00557D2B">
            <w:pPr>
              <w:spacing w:after="0" w:line="240" w:lineRule="auto"/>
              <w:rPr>
                <w:rFonts w:ascii="Times New Roman" w:hAnsi="Times New Roman" w:cs="Times New Roman"/>
                <w:b/>
                <w:sz w:val="24"/>
                <w:szCs w:val="24"/>
              </w:rPr>
            </w:pPr>
          </w:p>
        </w:tc>
      </w:tr>
    </w:tbl>
    <w:p w:rsidR="00BE628D" w:rsidRPr="00BC0007" w:rsidRDefault="00BE628D" w:rsidP="00BC0007">
      <w:pPr>
        <w:spacing w:after="0" w:line="240" w:lineRule="auto"/>
        <w:rPr>
          <w:rFonts w:ascii="Times New Roman" w:hAnsi="Times New Roman" w:cs="Times New Roman"/>
          <w:b/>
          <w:sz w:val="24"/>
          <w:szCs w:val="24"/>
        </w:rPr>
      </w:pPr>
    </w:p>
    <w:p w:rsidR="00557D2B" w:rsidRPr="00BC0007" w:rsidRDefault="00557D2B" w:rsidP="00BC0007">
      <w:pPr>
        <w:spacing w:after="0" w:line="240" w:lineRule="auto"/>
        <w:rPr>
          <w:rFonts w:ascii="Times New Roman" w:hAnsi="Times New Roman" w:cs="Times New Roman"/>
          <w:b/>
          <w:sz w:val="24"/>
          <w:szCs w:val="24"/>
        </w:rPr>
      </w:pPr>
    </w:p>
    <w:p w:rsidR="00BC0007" w:rsidRPr="00BC0007" w:rsidRDefault="00BC0007" w:rsidP="00BC0007">
      <w:pPr>
        <w:spacing w:after="0" w:line="240" w:lineRule="auto"/>
        <w:rPr>
          <w:rFonts w:ascii="Times New Roman" w:hAnsi="Times New Roman" w:cs="Times New Roman"/>
          <w:b/>
          <w:sz w:val="24"/>
          <w:szCs w:val="24"/>
        </w:rPr>
      </w:pPr>
    </w:p>
    <w:p w:rsidR="00BC0007" w:rsidRPr="00BC0007" w:rsidRDefault="00BC0007" w:rsidP="00BC0007">
      <w:pPr>
        <w:spacing w:after="0" w:line="240" w:lineRule="auto"/>
        <w:rPr>
          <w:rFonts w:ascii="Times New Roman" w:hAnsi="Times New Roman" w:cs="Times New Roman"/>
          <w:b/>
          <w:sz w:val="24"/>
          <w:szCs w:val="24"/>
        </w:rPr>
      </w:pPr>
    </w:p>
    <w:p w:rsidR="00BC0007" w:rsidRDefault="00BC0007" w:rsidP="00BC0007">
      <w:pPr>
        <w:spacing w:after="0" w:line="240" w:lineRule="auto"/>
        <w:jc w:val="center"/>
        <w:rPr>
          <w:rFonts w:ascii="Times New Roman" w:hAnsi="Times New Roman" w:cs="Times New Roman"/>
          <w:b/>
          <w:sz w:val="24"/>
          <w:szCs w:val="24"/>
        </w:rPr>
      </w:pPr>
      <w:r w:rsidRPr="00BC0007">
        <w:rPr>
          <w:rFonts w:ascii="Times New Roman" w:hAnsi="Times New Roman" w:cs="Times New Roman"/>
          <w:b/>
          <w:sz w:val="24"/>
          <w:szCs w:val="24"/>
        </w:rPr>
        <w:t>INITIAL POST-HEARING BRIEF</w:t>
      </w:r>
    </w:p>
    <w:p w:rsidR="00BC0007" w:rsidRDefault="00BC0007" w:rsidP="00BC0007">
      <w:pPr>
        <w:spacing w:after="0" w:line="240" w:lineRule="auto"/>
        <w:jc w:val="center"/>
        <w:rPr>
          <w:rFonts w:ascii="Times New Roman" w:hAnsi="Times New Roman" w:cs="Times New Roman"/>
          <w:b/>
          <w:sz w:val="24"/>
          <w:szCs w:val="24"/>
        </w:rPr>
      </w:pPr>
      <w:r w:rsidRPr="00BC0007">
        <w:rPr>
          <w:rFonts w:ascii="Times New Roman" w:hAnsi="Times New Roman" w:cs="Times New Roman"/>
          <w:b/>
          <w:sz w:val="24"/>
          <w:szCs w:val="24"/>
        </w:rPr>
        <w:t>OF COMMISSION STAFF</w:t>
      </w:r>
    </w:p>
    <w:p w:rsidR="00BC0007" w:rsidRDefault="00BC0007" w:rsidP="00BC0007">
      <w:pPr>
        <w:spacing w:after="0" w:line="240" w:lineRule="auto"/>
        <w:jc w:val="center"/>
        <w:rPr>
          <w:rFonts w:ascii="Times New Roman" w:hAnsi="Times New Roman" w:cs="Times New Roman"/>
          <w:b/>
          <w:sz w:val="24"/>
          <w:szCs w:val="24"/>
        </w:rPr>
      </w:pPr>
      <w:r w:rsidRPr="00BC0007">
        <w:rPr>
          <w:rFonts w:ascii="Times New Roman" w:hAnsi="Times New Roman" w:cs="Times New Roman"/>
          <w:b/>
          <w:sz w:val="24"/>
          <w:szCs w:val="24"/>
        </w:rPr>
        <w:t>RECOMMENDING REJECTION OF THE</w:t>
      </w:r>
    </w:p>
    <w:p w:rsidR="00BC0007" w:rsidRDefault="00BC0007" w:rsidP="00BC0007">
      <w:pPr>
        <w:spacing w:after="0" w:line="240" w:lineRule="auto"/>
        <w:jc w:val="center"/>
        <w:rPr>
          <w:rFonts w:ascii="Times New Roman" w:hAnsi="Times New Roman" w:cs="Times New Roman"/>
          <w:b/>
          <w:sz w:val="24"/>
          <w:szCs w:val="24"/>
        </w:rPr>
      </w:pPr>
      <w:r w:rsidRPr="00BC0007">
        <w:rPr>
          <w:rFonts w:ascii="Times New Roman" w:hAnsi="Times New Roman" w:cs="Times New Roman"/>
          <w:b/>
          <w:sz w:val="24"/>
          <w:szCs w:val="24"/>
        </w:rPr>
        <w:t>PIPELINE INTEGRITY MANAGEMENT SURCHARGE</w:t>
      </w:r>
    </w:p>
    <w:p w:rsidR="00BC0007" w:rsidRDefault="00BC0007" w:rsidP="00BC0007">
      <w:pPr>
        <w:spacing w:after="0" w:line="240" w:lineRule="auto"/>
        <w:rPr>
          <w:rFonts w:ascii="Times New Roman" w:hAnsi="Times New Roman" w:cs="Times New Roman"/>
          <w:b/>
          <w:sz w:val="24"/>
          <w:szCs w:val="24"/>
        </w:rPr>
      </w:pPr>
    </w:p>
    <w:p w:rsidR="00BC0007" w:rsidRDefault="00BC0007" w:rsidP="00BC0007">
      <w:pPr>
        <w:spacing w:after="0" w:line="240" w:lineRule="auto"/>
        <w:rPr>
          <w:rFonts w:ascii="Times New Roman" w:hAnsi="Times New Roman" w:cs="Times New Roman"/>
          <w:b/>
          <w:sz w:val="24"/>
          <w:szCs w:val="24"/>
        </w:rPr>
      </w:pPr>
    </w:p>
    <w:p w:rsidR="00BC0007" w:rsidRPr="00BC0007" w:rsidRDefault="00BC0007" w:rsidP="00BC0007">
      <w:pPr>
        <w:spacing w:after="0" w:line="240" w:lineRule="auto"/>
        <w:ind w:left="3600"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December 16, 2011 </w:t>
      </w:r>
    </w:p>
    <w:p w:rsidR="00BC0007" w:rsidRPr="00BC0007" w:rsidRDefault="00BC0007" w:rsidP="00BC0007">
      <w:pPr>
        <w:spacing w:after="0" w:line="240" w:lineRule="auto"/>
        <w:rPr>
          <w:rFonts w:ascii="Times New Roman" w:eastAsia="Times New Roman" w:hAnsi="Times New Roman" w:cs="Times New Roman"/>
          <w:b/>
          <w:bCs/>
          <w:sz w:val="24"/>
          <w:szCs w:val="24"/>
        </w:rPr>
      </w:pPr>
    </w:p>
    <w:p w:rsidR="00BC0007" w:rsidRPr="00BC0007" w:rsidRDefault="00BC0007" w:rsidP="00BC0007">
      <w:pPr>
        <w:spacing w:after="0" w:line="240" w:lineRule="auto"/>
        <w:rPr>
          <w:rFonts w:ascii="Times New Roman" w:eastAsia="Times New Roman" w:hAnsi="Times New Roman" w:cs="Times New Roman"/>
          <w:b/>
          <w:bCs/>
          <w:sz w:val="24"/>
          <w:szCs w:val="24"/>
        </w:rPr>
      </w:pP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t>ROBERT M. MCKENNA</w:t>
      </w:r>
    </w:p>
    <w:p w:rsidR="00BC0007" w:rsidRPr="00BC0007" w:rsidRDefault="00BC0007" w:rsidP="00BC0007">
      <w:pPr>
        <w:spacing w:after="0" w:line="240" w:lineRule="auto"/>
        <w:rPr>
          <w:rFonts w:ascii="Times New Roman" w:eastAsia="Times New Roman" w:hAnsi="Times New Roman" w:cs="Times New Roman"/>
          <w:b/>
          <w:bCs/>
          <w:sz w:val="24"/>
          <w:szCs w:val="24"/>
        </w:rPr>
      </w:pP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t xml:space="preserve">Attorney General </w:t>
      </w:r>
    </w:p>
    <w:p w:rsidR="00BC0007" w:rsidRPr="00BC0007" w:rsidRDefault="00BC0007" w:rsidP="00BC0007">
      <w:pPr>
        <w:spacing w:after="0" w:line="240" w:lineRule="auto"/>
        <w:rPr>
          <w:rFonts w:ascii="Times New Roman" w:eastAsia="Times New Roman" w:hAnsi="Times New Roman" w:cs="Times New Roman"/>
          <w:b/>
          <w:bCs/>
          <w:sz w:val="24"/>
          <w:szCs w:val="24"/>
        </w:rPr>
      </w:pPr>
    </w:p>
    <w:p w:rsidR="00BC0007" w:rsidRPr="00BC0007" w:rsidRDefault="00BC0007" w:rsidP="00BC0007">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ROBERT D. CEDARBAUM</w:t>
      </w:r>
    </w:p>
    <w:p w:rsidR="00BC0007" w:rsidRPr="00BC0007" w:rsidRDefault="00BC0007" w:rsidP="00BC0007">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 xml:space="preserve">Assistant Attorney General </w:t>
      </w:r>
    </w:p>
    <w:p w:rsidR="00BC0007" w:rsidRPr="00BC0007" w:rsidRDefault="00BC0007" w:rsidP="00BC0007">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 xml:space="preserve">Office of the Attorney General </w:t>
      </w:r>
    </w:p>
    <w:p w:rsidR="00BC0007" w:rsidRPr="00BC0007" w:rsidRDefault="00BC0007" w:rsidP="00BC0007">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Utilities &amp; Transportation Division</w:t>
      </w:r>
    </w:p>
    <w:p w:rsidR="00BC0007" w:rsidRPr="00BC0007" w:rsidRDefault="00BC0007" w:rsidP="00BC0007">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 xml:space="preserve"> </w:t>
      </w:r>
    </w:p>
    <w:p w:rsidR="00BC0007" w:rsidRPr="00BC0007" w:rsidRDefault="00BC0007" w:rsidP="00BC0007">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smartTag w:uri="urn:schemas-microsoft-com:office:smarttags" w:element="address">
        <w:smartTag w:uri="urn:schemas-microsoft-com:office:smarttags" w:element="Street">
          <w:r w:rsidRPr="00BC0007">
            <w:rPr>
              <w:rFonts w:ascii="Times New Roman" w:eastAsia="Times New Roman" w:hAnsi="Times New Roman" w:cs="Times New Roman"/>
              <w:b/>
              <w:sz w:val="24"/>
              <w:szCs w:val="24"/>
            </w:rPr>
            <w:t>1400 S Evergreen Park Drive SW</w:t>
          </w:r>
        </w:smartTag>
      </w:smartTag>
      <w:r w:rsidRPr="00BC0007">
        <w:rPr>
          <w:rFonts w:ascii="Times New Roman" w:eastAsia="Times New Roman" w:hAnsi="Times New Roman" w:cs="Times New Roman"/>
          <w:b/>
          <w:sz w:val="24"/>
          <w:szCs w:val="24"/>
        </w:rPr>
        <w:t xml:space="preserve"> </w:t>
      </w:r>
    </w:p>
    <w:p w:rsidR="00BC0007" w:rsidRPr="00BC0007" w:rsidRDefault="00BC0007" w:rsidP="00BC0007">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C0007">
                <w:rPr>
                  <w:rFonts w:ascii="Times New Roman" w:eastAsia="Times New Roman" w:hAnsi="Times New Roman" w:cs="Times New Roman"/>
                  <w:b/>
                  <w:sz w:val="24"/>
                  <w:szCs w:val="24"/>
                </w:rPr>
                <w:t>P.O. Box</w:t>
              </w:r>
            </w:smartTag>
          </w:smartTag>
          <w:r w:rsidRPr="00BC0007">
            <w:rPr>
              <w:rFonts w:ascii="Times New Roman" w:eastAsia="Times New Roman" w:hAnsi="Times New Roman" w:cs="Times New Roman"/>
              <w:b/>
              <w:sz w:val="24"/>
              <w:szCs w:val="24"/>
            </w:rPr>
            <w:t xml:space="preserve"> 40128</w:t>
          </w:r>
        </w:smartTag>
      </w:smartTag>
    </w:p>
    <w:p w:rsidR="00BC0007" w:rsidRPr="00BC0007" w:rsidRDefault="00BC0007" w:rsidP="00BC0007">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smartTag w:uri="urn:schemas-microsoft-com:office:smarttags" w:element="City">
        <w:smartTag w:uri="urn:schemas-microsoft-com:office:smarttags" w:element="place">
          <w:r w:rsidRPr="00BC0007">
            <w:rPr>
              <w:rFonts w:ascii="Times New Roman" w:eastAsia="Times New Roman" w:hAnsi="Times New Roman" w:cs="Times New Roman"/>
              <w:b/>
              <w:sz w:val="24"/>
              <w:szCs w:val="24"/>
            </w:rPr>
            <w:t>Olympia</w:t>
          </w:r>
        </w:smartTag>
        <w:r w:rsidRPr="00BC0007">
          <w:rPr>
            <w:rFonts w:ascii="Times New Roman" w:eastAsia="Times New Roman" w:hAnsi="Times New Roman" w:cs="Times New Roman"/>
            <w:b/>
            <w:sz w:val="24"/>
            <w:szCs w:val="24"/>
          </w:rPr>
          <w:t xml:space="preserve">, </w:t>
        </w:r>
        <w:smartTag w:uri="urn:schemas-microsoft-com:office:smarttags" w:element="PostalCode">
          <w:smartTag w:uri="urn:schemas-microsoft-com:office:smarttags" w:element="State">
            <w:r w:rsidRPr="00BC0007">
              <w:rPr>
                <w:rFonts w:ascii="Times New Roman" w:eastAsia="Times New Roman" w:hAnsi="Times New Roman" w:cs="Times New Roman"/>
                <w:b/>
                <w:sz w:val="24"/>
                <w:szCs w:val="24"/>
              </w:rPr>
              <w:t>WA</w:t>
            </w:r>
          </w:smartTag>
        </w:smartTag>
        <w:r w:rsidRPr="00BC0007">
          <w:rPr>
            <w:rFonts w:ascii="Times New Roman" w:eastAsia="Times New Roman" w:hAnsi="Times New Roman" w:cs="Times New Roman"/>
            <w:b/>
            <w:sz w:val="24"/>
            <w:szCs w:val="24"/>
          </w:rPr>
          <w:t xml:space="preserve">  </w:t>
        </w:r>
        <w:smartTag w:uri="urn:schemas-microsoft-com:office:smarttags" w:element="PostalCode">
          <w:r w:rsidRPr="00BC0007">
            <w:rPr>
              <w:rFonts w:ascii="Times New Roman" w:eastAsia="Times New Roman" w:hAnsi="Times New Roman" w:cs="Times New Roman"/>
              <w:b/>
              <w:sz w:val="24"/>
              <w:szCs w:val="24"/>
            </w:rPr>
            <w:t>98504-0128</w:t>
          </w:r>
        </w:smartTag>
      </w:smartTag>
      <w:r w:rsidRPr="00BC0007">
        <w:rPr>
          <w:rFonts w:ascii="Times New Roman" w:eastAsia="Times New Roman" w:hAnsi="Times New Roman" w:cs="Times New Roman"/>
          <w:b/>
          <w:sz w:val="24"/>
          <w:szCs w:val="24"/>
        </w:rPr>
        <w:t xml:space="preserve"> </w:t>
      </w:r>
    </w:p>
    <w:p w:rsidR="00BC0007" w:rsidRPr="00BC0007" w:rsidRDefault="00BC0007" w:rsidP="00BC0007">
      <w:pPr>
        <w:spacing w:after="0" w:line="240" w:lineRule="auto"/>
        <w:rPr>
          <w:rFonts w:ascii="Times New Roman" w:eastAsia="Times New Roman" w:hAnsi="Times New Roman" w:cs="Times New Roman"/>
          <w:b/>
          <w:bCs/>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(360) 664-</w:t>
      </w:r>
    </w:p>
    <w:p w:rsidR="00BC0007" w:rsidRDefault="00BC0007" w:rsidP="00BC0007">
      <w:pPr>
        <w:spacing w:after="0" w:line="240" w:lineRule="auto"/>
        <w:rPr>
          <w:rFonts w:ascii="Times New Roman" w:hAnsi="Times New Roman" w:cs="Times New Roman"/>
          <w:b/>
          <w:sz w:val="24"/>
          <w:szCs w:val="24"/>
        </w:rPr>
      </w:pPr>
    </w:p>
    <w:p w:rsidR="00BC0007" w:rsidRPr="00BC0007" w:rsidRDefault="00BC0007" w:rsidP="00BC0007">
      <w:pPr>
        <w:spacing w:after="0" w:line="240" w:lineRule="auto"/>
        <w:rPr>
          <w:rFonts w:ascii="Times New Roman" w:hAnsi="Times New Roman" w:cs="Times New Roman"/>
          <w:b/>
          <w:sz w:val="24"/>
          <w:szCs w:val="24"/>
        </w:rPr>
      </w:pPr>
    </w:p>
    <w:p w:rsidR="00557D2B" w:rsidRDefault="00557D2B" w:rsidP="00BC0007">
      <w:pPr>
        <w:spacing w:after="0" w:line="240" w:lineRule="auto"/>
        <w:rPr>
          <w:rFonts w:ascii="Times New Roman" w:hAnsi="Times New Roman" w:cs="Times New Roman"/>
          <w:b/>
          <w:sz w:val="24"/>
          <w:szCs w:val="24"/>
        </w:rPr>
      </w:pPr>
    </w:p>
    <w:p w:rsidR="00557D2B" w:rsidRDefault="00557D2B" w:rsidP="00E81AAC">
      <w:pPr>
        <w:jc w:val="center"/>
        <w:rPr>
          <w:rFonts w:ascii="Times New Roman" w:hAnsi="Times New Roman" w:cs="Times New Roman"/>
          <w:b/>
          <w:sz w:val="24"/>
          <w:szCs w:val="24"/>
        </w:rPr>
        <w:sectPr w:rsidR="00557D2B" w:rsidSect="00557D2B">
          <w:footerReference w:type="default" r:id="rId9"/>
          <w:pgSz w:w="12240" w:h="15840"/>
          <w:pgMar w:top="1440" w:right="1440" w:bottom="1440" w:left="1872" w:header="720" w:footer="720" w:gutter="0"/>
          <w:cols w:space="720"/>
          <w:docGrid w:linePitch="360"/>
        </w:sectPr>
      </w:pPr>
    </w:p>
    <w:p w:rsidR="00557D2B" w:rsidRDefault="00557D2B" w:rsidP="00BC00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BC0007" w:rsidRDefault="00BC0007" w:rsidP="00BC0007">
      <w:pPr>
        <w:spacing w:after="0" w:line="240" w:lineRule="auto"/>
        <w:jc w:val="center"/>
        <w:rPr>
          <w:rFonts w:ascii="Times New Roman" w:hAnsi="Times New Roman" w:cs="Times New Roman"/>
          <w:b/>
          <w:sz w:val="24"/>
          <w:szCs w:val="24"/>
        </w:rPr>
      </w:pPr>
    </w:p>
    <w:p w:rsidR="00BC0007" w:rsidRDefault="00BC0007" w:rsidP="00BC0007">
      <w:pPr>
        <w:spacing w:after="0" w:line="240" w:lineRule="auto"/>
        <w:jc w:val="center"/>
        <w:rPr>
          <w:rFonts w:ascii="Times New Roman" w:hAnsi="Times New Roman" w:cs="Times New Roman"/>
          <w:b/>
          <w:sz w:val="24"/>
          <w:szCs w:val="24"/>
        </w:rPr>
      </w:pPr>
    </w:p>
    <w:p w:rsidR="00557D2B"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INTRODUCTION </w:t>
      </w:r>
      <w:r>
        <w:rPr>
          <w:rFonts w:ascii="Times New Roman" w:hAnsi="Times New Roman" w:cs="Times New Roman"/>
          <w:sz w:val="24"/>
          <w:szCs w:val="24"/>
        </w:rPr>
        <w:tab/>
        <w:t>1</w:t>
      </w: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BC0007" w:rsidRDefault="00EB51C7" w:rsidP="00EB51C7">
      <w:pPr>
        <w:tabs>
          <w:tab w:val="left" w:pos="720"/>
          <w:tab w:val="left" w:pos="1440"/>
          <w:tab w:val="right" w:leader="dot" w:pos="8820"/>
        </w:tabs>
        <w:spacing w:after="0" w:line="24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ARGUMENT </w:t>
      </w:r>
      <w:r>
        <w:rPr>
          <w:rFonts w:ascii="Times New Roman" w:hAnsi="Times New Roman" w:cs="Times New Roman"/>
          <w:sz w:val="24"/>
          <w:szCs w:val="24"/>
        </w:rPr>
        <w:tab/>
        <w:t>2</w:t>
      </w: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EB51C7" w:rsidRPr="00EB51C7" w:rsidRDefault="00EB51C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EB51C7">
        <w:rPr>
          <w:rFonts w:ascii="Times New Roman" w:hAnsi="Times New Roman" w:cs="Times New Roman"/>
          <w:sz w:val="24"/>
          <w:szCs w:val="24"/>
        </w:rPr>
        <w:tab/>
        <w:t>A.</w:t>
      </w:r>
      <w:r w:rsidRPr="00EB51C7">
        <w:rPr>
          <w:rFonts w:ascii="Times New Roman" w:hAnsi="Times New Roman" w:cs="Times New Roman"/>
          <w:sz w:val="24"/>
          <w:szCs w:val="24"/>
        </w:rPr>
        <w:tab/>
        <w:t xml:space="preserve">The Commission Should Reject the Surcharge as a Matter of Law </w:t>
      </w:r>
    </w:p>
    <w:p w:rsidR="00EB51C7" w:rsidRPr="00EB51C7" w:rsidRDefault="00EB51C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EB51C7">
        <w:rPr>
          <w:rFonts w:ascii="Times New Roman" w:hAnsi="Times New Roman" w:cs="Times New Roman"/>
          <w:sz w:val="24"/>
          <w:szCs w:val="24"/>
        </w:rPr>
        <w:tab/>
      </w:r>
      <w:r w:rsidRPr="00EB51C7">
        <w:rPr>
          <w:rFonts w:ascii="Times New Roman" w:hAnsi="Times New Roman" w:cs="Times New Roman"/>
          <w:sz w:val="24"/>
          <w:szCs w:val="24"/>
        </w:rPr>
        <w:tab/>
        <w:t xml:space="preserve">Because It Allows Recovery of Investments that are Not “Used and </w:t>
      </w:r>
    </w:p>
    <w:p w:rsidR="00BC0007" w:rsidRPr="00EB51C7" w:rsidRDefault="00EB51C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EB51C7">
        <w:rPr>
          <w:rFonts w:ascii="Times New Roman" w:hAnsi="Times New Roman" w:cs="Times New Roman"/>
          <w:sz w:val="24"/>
          <w:szCs w:val="24"/>
        </w:rPr>
        <w:tab/>
      </w:r>
      <w:r w:rsidRPr="00EB51C7">
        <w:rPr>
          <w:rFonts w:ascii="Times New Roman" w:hAnsi="Times New Roman" w:cs="Times New Roman"/>
          <w:sz w:val="24"/>
          <w:szCs w:val="24"/>
        </w:rPr>
        <w:tab/>
        <w:t xml:space="preserve">Useful” </w:t>
      </w:r>
      <w:r w:rsidRPr="00EB51C7">
        <w:rPr>
          <w:rFonts w:ascii="Times New Roman" w:hAnsi="Times New Roman" w:cs="Times New Roman"/>
          <w:sz w:val="24"/>
          <w:szCs w:val="24"/>
        </w:rPr>
        <w:tab/>
        <w:t>2</w:t>
      </w:r>
    </w:p>
    <w:p w:rsidR="00BC0007" w:rsidRPr="00EB51C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t>B.</w:t>
      </w:r>
      <w:r w:rsidRPr="00CF66EE">
        <w:rPr>
          <w:rFonts w:ascii="Times New Roman" w:hAnsi="Times New Roman" w:cs="Times New Roman"/>
          <w:sz w:val="24"/>
          <w:szCs w:val="24"/>
        </w:rPr>
        <w:tab/>
        <w:t xml:space="preserve">The Proposed Surcharge Should Be Rejected Because It Is </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Single-Issue Ratemaking with No Justification or Ratepayer </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Benefit </w:t>
      </w:r>
      <w:r w:rsidRPr="00CF66EE">
        <w:rPr>
          <w:rFonts w:ascii="Times New Roman" w:hAnsi="Times New Roman" w:cs="Times New Roman"/>
          <w:sz w:val="24"/>
          <w:szCs w:val="24"/>
        </w:rPr>
        <w:tab/>
      </w:r>
      <w:r w:rsidR="001204B6">
        <w:rPr>
          <w:rFonts w:ascii="Times New Roman" w:hAnsi="Times New Roman" w:cs="Times New Roman"/>
          <w:sz w:val="24"/>
          <w:szCs w:val="24"/>
        </w:rPr>
        <w:t>6</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t>1.</w:t>
      </w:r>
      <w:r w:rsidRPr="00CF66EE">
        <w:rPr>
          <w:rFonts w:ascii="Times New Roman" w:hAnsi="Times New Roman" w:cs="Times New Roman"/>
          <w:sz w:val="24"/>
          <w:szCs w:val="24"/>
        </w:rPr>
        <w:tab/>
        <w:t xml:space="preserve">The Surcharge Will Benefit the Company with Guaranteed </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Accelerated Cost Recovery but with No Assurance for </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Ratepayers of Enhanced Safety through Accelerated Pipeline </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Replacement </w:t>
      </w:r>
      <w:r w:rsidRPr="00CF66EE">
        <w:rPr>
          <w:rFonts w:ascii="Times New Roman" w:hAnsi="Times New Roman" w:cs="Times New Roman"/>
          <w:sz w:val="24"/>
          <w:szCs w:val="24"/>
        </w:rPr>
        <w:tab/>
      </w:r>
      <w:r w:rsidR="001204B6">
        <w:rPr>
          <w:rFonts w:ascii="Times New Roman" w:hAnsi="Times New Roman" w:cs="Times New Roman"/>
          <w:sz w:val="24"/>
          <w:szCs w:val="24"/>
        </w:rPr>
        <w:t>8</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CF66EE" w:rsidRPr="00CF66EE" w:rsidRDefault="00CF66EE" w:rsidP="00CF66EE">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a.</w:t>
      </w:r>
      <w:r w:rsidRPr="00CF66EE">
        <w:rPr>
          <w:rFonts w:ascii="Times New Roman" w:hAnsi="Times New Roman" w:cs="Times New Roman"/>
          <w:sz w:val="24"/>
          <w:szCs w:val="24"/>
        </w:rPr>
        <w:tab/>
        <w:t xml:space="preserve">Ratepayer Benefits from the Surcharge Cannot Be </w:t>
      </w:r>
    </w:p>
    <w:p w:rsidR="00CF66EE" w:rsidRPr="00CF66EE" w:rsidRDefault="00CF66EE" w:rsidP="00CF66EE">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Assessed Because the Scope, Timing and Cost of a </w:t>
      </w:r>
    </w:p>
    <w:p w:rsidR="00CF66EE" w:rsidRPr="00CF66EE" w:rsidRDefault="001204B6" w:rsidP="00CF66EE">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Pipeline Replacement has</w:t>
      </w:r>
      <w:r w:rsidR="00CF66EE" w:rsidRPr="00CF66EE">
        <w:rPr>
          <w:rFonts w:ascii="Times New Roman" w:hAnsi="Times New Roman" w:cs="Times New Roman"/>
          <w:sz w:val="24"/>
          <w:szCs w:val="24"/>
        </w:rPr>
        <w:t xml:space="preserve"> Not Been Determined </w:t>
      </w:r>
      <w:r w:rsidR="00CF66EE" w:rsidRPr="00CF66EE">
        <w:rPr>
          <w:rFonts w:ascii="Times New Roman" w:hAnsi="Times New Roman" w:cs="Times New Roman"/>
          <w:sz w:val="24"/>
          <w:szCs w:val="24"/>
        </w:rPr>
        <w:tab/>
      </w:r>
      <w:r>
        <w:rPr>
          <w:rFonts w:ascii="Times New Roman" w:hAnsi="Times New Roman" w:cs="Times New Roman"/>
          <w:sz w:val="24"/>
          <w:szCs w:val="24"/>
        </w:rPr>
        <w:t>8</w:t>
      </w:r>
    </w:p>
    <w:p w:rsidR="00CF66EE" w:rsidRPr="00CF66EE" w:rsidRDefault="00CF66EE" w:rsidP="00CF66EE">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p>
    <w:p w:rsidR="00CF66EE" w:rsidRPr="00CF66EE" w:rsidRDefault="00CF66EE" w:rsidP="00CF66EE">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b.</w:t>
      </w:r>
      <w:r w:rsidRPr="00CF66EE">
        <w:rPr>
          <w:rFonts w:ascii="Times New Roman" w:hAnsi="Times New Roman" w:cs="Times New Roman"/>
          <w:sz w:val="24"/>
          <w:szCs w:val="24"/>
        </w:rPr>
        <w:tab/>
        <w:t xml:space="preserve">The New Surcharge Will Not Encourage Investment </w:t>
      </w:r>
    </w:p>
    <w:p w:rsidR="00CF66EE" w:rsidRPr="00CF66EE" w:rsidRDefault="00CF66EE" w:rsidP="00CF66EE">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Above and Beyond Expenditures Already Planned </w:t>
      </w:r>
    </w:p>
    <w:p w:rsidR="00CF66EE" w:rsidRPr="00CF66EE" w:rsidRDefault="00CF66EE" w:rsidP="00CF66EE">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Without the Surcharge </w:t>
      </w:r>
      <w:r w:rsidRPr="00CF66EE">
        <w:rPr>
          <w:rFonts w:ascii="Times New Roman" w:hAnsi="Times New Roman" w:cs="Times New Roman"/>
          <w:sz w:val="24"/>
          <w:szCs w:val="24"/>
        </w:rPr>
        <w:tab/>
      </w:r>
      <w:r w:rsidR="001204B6">
        <w:rPr>
          <w:rFonts w:ascii="Times New Roman" w:hAnsi="Times New Roman" w:cs="Times New Roman"/>
          <w:sz w:val="24"/>
          <w:szCs w:val="24"/>
        </w:rPr>
        <w:t>10</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t>2.</w:t>
      </w:r>
      <w:r w:rsidRPr="00CF66EE">
        <w:rPr>
          <w:rFonts w:ascii="Times New Roman" w:hAnsi="Times New Roman" w:cs="Times New Roman"/>
          <w:sz w:val="24"/>
          <w:szCs w:val="24"/>
        </w:rPr>
        <w:tab/>
        <w:t xml:space="preserve">No Reason, Extraordinary or Otherwise, Has Been Proven that </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Would Warrant Commission Approval of the New Surcharge </w:t>
      </w:r>
      <w:r w:rsidRPr="00CF66EE">
        <w:rPr>
          <w:rFonts w:ascii="Times New Roman" w:hAnsi="Times New Roman" w:cs="Times New Roman"/>
          <w:sz w:val="24"/>
          <w:szCs w:val="24"/>
        </w:rPr>
        <w:tab/>
      </w:r>
      <w:r w:rsidR="001204B6">
        <w:rPr>
          <w:rFonts w:ascii="Times New Roman" w:hAnsi="Times New Roman" w:cs="Times New Roman"/>
          <w:sz w:val="24"/>
          <w:szCs w:val="24"/>
        </w:rPr>
        <w:t>11</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CF66EE" w:rsidRPr="00CF66EE" w:rsidRDefault="00CF66EE" w:rsidP="00CF66EE">
      <w:pPr>
        <w:numPr>
          <w:ilvl w:val="0"/>
          <w:numId w:val="11"/>
        </w:num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 xml:space="preserve">The Company’s Pipeline System is Already Safe and </w:t>
      </w:r>
    </w:p>
    <w:p w:rsidR="00CF66EE"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ab/>
        <w:t xml:space="preserve">Reliable and PSE is Committed to Keeping the System </w:t>
      </w:r>
    </w:p>
    <w:p w:rsidR="00CF66EE"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ab/>
        <w:t xml:space="preserve">Safe and Reliable Without the Surcharge </w:t>
      </w:r>
      <w:r w:rsidRPr="00CF66EE">
        <w:rPr>
          <w:rFonts w:ascii="Times New Roman" w:hAnsi="Times New Roman" w:cs="Times New Roman"/>
          <w:sz w:val="24"/>
          <w:szCs w:val="24"/>
        </w:rPr>
        <w:tab/>
      </w:r>
      <w:r w:rsidR="001204B6">
        <w:rPr>
          <w:rFonts w:ascii="Times New Roman" w:hAnsi="Times New Roman" w:cs="Times New Roman"/>
          <w:sz w:val="24"/>
          <w:szCs w:val="24"/>
        </w:rPr>
        <w:t>11</w:t>
      </w:r>
    </w:p>
    <w:p w:rsidR="00CF66EE"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p>
    <w:p w:rsidR="001204B6" w:rsidRDefault="00CF66EE" w:rsidP="00CF66EE">
      <w:pPr>
        <w:numPr>
          <w:ilvl w:val="0"/>
          <w:numId w:val="11"/>
        </w:num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 xml:space="preserve">The Company Has Taken Action To Enhance the </w:t>
      </w:r>
    </w:p>
    <w:p w:rsidR="00CF66EE" w:rsidRPr="00CF66EE" w:rsidRDefault="00CF66EE" w:rsidP="001204B6">
      <w:pPr>
        <w:tabs>
          <w:tab w:val="left" w:pos="720"/>
          <w:tab w:val="left" w:pos="1440"/>
          <w:tab w:val="left" w:pos="2160"/>
          <w:tab w:val="left" w:pos="2880"/>
          <w:tab w:val="left" w:pos="3600"/>
          <w:tab w:val="right" w:leader="dot" w:pos="8820"/>
        </w:tabs>
        <w:spacing w:after="0" w:line="240" w:lineRule="auto"/>
        <w:ind w:left="2880"/>
        <w:rPr>
          <w:rFonts w:ascii="Times New Roman" w:hAnsi="Times New Roman" w:cs="Times New Roman"/>
          <w:sz w:val="24"/>
          <w:szCs w:val="24"/>
        </w:rPr>
      </w:pPr>
      <w:r w:rsidRPr="00CF66EE">
        <w:rPr>
          <w:rFonts w:ascii="Times New Roman" w:hAnsi="Times New Roman" w:cs="Times New Roman"/>
          <w:sz w:val="24"/>
          <w:szCs w:val="24"/>
        </w:rPr>
        <w:t xml:space="preserve">Safety and Reliability of Its Pipeline System Without a Surcharge </w:t>
      </w:r>
      <w:r w:rsidRPr="00CF66EE">
        <w:rPr>
          <w:rFonts w:ascii="Times New Roman" w:hAnsi="Times New Roman" w:cs="Times New Roman"/>
          <w:sz w:val="24"/>
          <w:szCs w:val="24"/>
        </w:rPr>
        <w:tab/>
      </w:r>
      <w:r w:rsidR="001204B6">
        <w:rPr>
          <w:rFonts w:ascii="Times New Roman" w:hAnsi="Times New Roman" w:cs="Times New Roman"/>
          <w:sz w:val="24"/>
          <w:szCs w:val="24"/>
        </w:rPr>
        <w:t>14</w:t>
      </w:r>
    </w:p>
    <w:p w:rsidR="001951D5" w:rsidRPr="00CF66EE" w:rsidRDefault="001951D5"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p>
    <w:p w:rsidR="00CF66EE" w:rsidRPr="00CF66EE" w:rsidRDefault="00CF66EE" w:rsidP="00CF66EE">
      <w:pPr>
        <w:numPr>
          <w:ilvl w:val="0"/>
          <w:numId w:val="11"/>
        </w:num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 xml:space="preserve">Cost Recovery Through Traditional Ratemaking </w:t>
      </w:r>
    </w:p>
    <w:p w:rsidR="00CF66EE"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ab/>
      </w:r>
      <w:r w:rsidR="00FB70A9" w:rsidRPr="00CF66EE">
        <w:rPr>
          <w:rFonts w:ascii="Times New Roman" w:hAnsi="Times New Roman" w:cs="Times New Roman"/>
          <w:sz w:val="24"/>
          <w:szCs w:val="24"/>
        </w:rPr>
        <w:t xml:space="preserve">Procedures </w:t>
      </w:r>
      <w:r w:rsidR="00DB665F" w:rsidRPr="00CF66EE">
        <w:rPr>
          <w:rFonts w:ascii="Times New Roman" w:hAnsi="Times New Roman" w:cs="Times New Roman"/>
          <w:sz w:val="24"/>
          <w:szCs w:val="24"/>
        </w:rPr>
        <w:t>is S</w:t>
      </w:r>
      <w:r w:rsidR="00FF44F7" w:rsidRPr="00CF66EE">
        <w:rPr>
          <w:rFonts w:ascii="Times New Roman" w:hAnsi="Times New Roman" w:cs="Times New Roman"/>
          <w:sz w:val="24"/>
          <w:szCs w:val="24"/>
        </w:rPr>
        <w:t>ufficient To Support an</w:t>
      </w:r>
      <w:r w:rsidR="00966B6B" w:rsidRPr="00CF66EE">
        <w:rPr>
          <w:rFonts w:ascii="Times New Roman" w:hAnsi="Times New Roman" w:cs="Times New Roman"/>
          <w:sz w:val="24"/>
          <w:szCs w:val="24"/>
        </w:rPr>
        <w:t xml:space="preserve"> Accelerated </w:t>
      </w:r>
    </w:p>
    <w:p w:rsidR="00DE5197"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ab/>
      </w:r>
      <w:r w:rsidR="00966B6B" w:rsidRPr="00CF66EE">
        <w:rPr>
          <w:rFonts w:ascii="Times New Roman" w:hAnsi="Times New Roman" w:cs="Times New Roman"/>
          <w:sz w:val="24"/>
          <w:szCs w:val="24"/>
        </w:rPr>
        <w:t>Pipeline Rep</w:t>
      </w:r>
      <w:r w:rsidR="00FB70A9" w:rsidRPr="00CF66EE">
        <w:rPr>
          <w:rFonts w:ascii="Times New Roman" w:hAnsi="Times New Roman" w:cs="Times New Roman"/>
          <w:sz w:val="24"/>
          <w:szCs w:val="24"/>
        </w:rPr>
        <w:t>l</w:t>
      </w:r>
      <w:r w:rsidR="00966B6B" w:rsidRPr="00CF66EE">
        <w:rPr>
          <w:rFonts w:ascii="Times New Roman" w:hAnsi="Times New Roman" w:cs="Times New Roman"/>
          <w:sz w:val="24"/>
          <w:szCs w:val="24"/>
        </w:rPr>
        <w:t>acement Program</w:t>
      </w:r>
      <w:r w:rsidRPr="00CF66EE">
        <w:rPr>
          <w:rFonts w:ascii="Times New Roman" w:hAnsi="Times New Roman" w:cs="Times New Roman"/>
          <w:sz w:val="24"/>
          <w:szCs w:val="24"/>
        </w:rPr>
        <w:t xml:space="preserve"> </w:t>
      </w:r>
      <w:r w:rsidRPr="00CF66EE">
        <w:rPr>
          <w:rFonts w:ascii="Times New Roman" w:hAnsi="Times New Roman" w:cs="Times New Roman"/>
          <w:sz w:val="24"/>
          <w:szCs w:val="24"/>
        </w:rPr>
        <w:tab/>
      </w:r>
      <w:r w:rsidR="001204B6">
        <w:rPr>
          <w:rFonts w:ascii="Times New Roman" w:hAnsi="Times New Roman" w:cs="Times New Roman"/>
          <w:sz w:val="24"/>
          <w:szCs w:val="24"/>
        </w:rPr>
        <w:t>16</w:t>
      </w:r>
    </w:p>
    <w:p w:rsidR="00966B6B" w:rsidRPr="00CF66EE" w:rsidRDefault="00966B6B"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p>
    <w:p w:rsidR="00CF66EE" w:rsidRPr="00CF66EE" w:rsidRDefault="00CF66EE" w:rsidP="00CF66EE">
      <w:pPr>
        <w:numPr>
          <w:ilvl w:val="0"/>
          <w:numId w:val="11"/>
        </w:num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 xml:space="preserve">The Company Has the Financial Ability to Fund an </w:t>
      </w:r>
    </w:p>
    <w:p w:rsidR="00CF66EE"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ab/>
        <w:t xml:space="preserve">Accelerated Pipeline Replacement Program Without </w:t>
      </w:r>
    </w:p>
    <w:p w:rsidR="00CF66EE"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ab/>
        <w:t xml:space="preserve">the New Surcharge </w:t>
      </w:r>
      <w:r w:rsidRPr="00CF66EE">
        <w:rPr>
          <w:rFonts w:ascii="Times New Roman" w:hAnsi="Times New Roman" w:cs="Times New Roman"/>
          <w:sz w:val="24"/>
          <w:szCs w:val="24"/>
        </w:rPr>
        <w:tab/>
      </w:r>
      <w:r w:rsidR="001204B6">
        <w:rPr>
          <w:rFonts w:ascii="Times New Roman" w:hAnsi="Times New Roman" w:cs="Times New Roman"/>
          <w:sz w:val="24"/>
          <w:szCs w:val="24"/>
        </w:rPr>
        <w:t>18</w:t>
      </w:r>
    </w:p>
    <w:p w:rsidR="001E0E29" w:rsidRPr="00CF66EE" w:rsidRDefault="001E0E29"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p>
    <w:p w:rsidR="00CF66EE" w:rsidRPr="00CF66EE" w:rsidRDefault="00CF66EE" w:rsidP="00CF66EE">
      <w:pPr>
        <w:numPr>
          <w:ilvl w:val="0"/>
          <w:numId w:val="11"/>
        </w:num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 xml:space="preserve">The Surcharge Is Not Justified By Federal and Other </w:t>
      </w:r>
    </w:p>
    <w:p w:rsidR="00BD7CB1"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ab/>
      </w:r>
      <w:r w:rsidR="00AE469E" w:rsidRPr="00CF66EE">
        <w:rPr>
          <w:rFonts w:ascii="Times New Roman" w:hAnsi="Times New Roman" w:cs="Times New Roman"/>
          <w:sz w:val="24"/>
          <w:szCs w:val="24"/>
        </w:rPr>
        <w:t xml:space="preserve">State Initiatives </w:t>
      </w:r>
      <w:r w:rsidR="00F07DEA" w:rsidRPr="00CF66EE">
        <w:rPr>
          <w:rFonts w:ascii="Times New Roman" w:hAnsi="Times New Roman" w:cs="Times New Roman"/>
          <w:sz w:val="24"/>
          <w:szCs w:val="24"/>
        </w:rPr>
        <w:t xml:space="preserve">Regarding Pipeline Replacement </w:t>
      </w:r>
      <w:r w:rsidRPr="00CF66EE">
        <w:rPr>
          <w:rFonts w:ascii="Times New Roman" w:hAnsi="Times New Roman" w:cs="Times New Roman"/>
          <w:sz w:val="24"/>
          <w:szCs w:val="24"/>
        </w:rPr>
        <w:tab/>
      </w:r>
      <w:r w:rsidR="0025272C">
        <w:rPr>
          <w:rFonts w:ascii="Times New Roman" w:hAnsi="Times New Roman" w:cs="Times New Roman"/>
          <w:sz w:val="24"/>
          <w:szCs w:val="24"/>
        </w:rPr>
        <w:t>19</w:t>
      </w:r>
    </w:p>
    <w:p w:rsidR="008942FF" w:rsidRPr="00CF66EE" w:rsidRDefault="008942FF"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p>
    <w:p w:rsid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sidRPr="00CF66EE">
        <w:rPr>
          <w:rFonts w:ascii="Times New Roman" w:hAnsi="Times New Roman" w:cs="Times New Roman"/>
          <w:sz w:val="24"/>
          <w:szCs w:val="24"/>
        </w:rPr>
        <w:t>f.</w:t>
      </w:r>
      <w:r w:rsidRPr="00CF66EE">
        <w:rPr>
          <w:rFonts w:ascii="Times New Roman" w:hAnsi="Times New Roman" w:cs="Times New Roman"/>
          <w:sz w:val="24"/>
          <w:szCs w:val="24"/>
        </w:rPr>
        <w:tab/>
        <w:t xml:space="preserve">The Surcharge is Not Necessary for Commission </w:t>
      </w:r>
    </w:p>
    <w:p w:rsidR="00CF66EE" w:rsidRPr="00CF66EE" w:rsidRDefault="00CF66EE" w:rsidP="00CF66EE">
      <w:pPr>
        <w:tabs>
          <w:tab w:val="left" w:pos="720"/>
          <w:tab w:val="left" w:pos="1440"/>
          <w:tab w:val="left" w:pos="2160"/>
          <w:tab w:val="left" w:pos="2880"/>
          <w:tab w:val="left" w:pos="3600"/>
          <w:tab w:val="right" w:leader="dot" w:pos="8820"/>
        </w:tabs>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b/>
      </w:r>
      <w:r w:rsidRPr="00CF66EE">
        <w:rPr>
          <w:rFonts w:ascii="Times New Roman" w:hAnsi="Times New Roman" w:cs="Times New Roman"/>
          <w:sz w:val="24"/>
          <w:szCs w:val="24"/>
        </w:rPr>
        <w:t xml:space="preserve">Pipeline Safety Staff to Advocate for Enhanced Pipeline Replacement </w:t>
      </w:r>
      <w:r w:rsidRPr="00CF66EE">
        <w:rPr>
          <w:rFonts w:ascii="Times New Roman" w:hAnsi="Times New Roman" w:cs="Times New Roman"/>
          <w:sz w:val="24"/>
          <w:szCs w:val="24"/>
        </w:rPr>
        <w:tab/>
      </w:r>
      <w:r w:rsidR="0025272C">
        <w:rPr>
          <w:rFonts w:ascii="Times New Roman" w:hAnsi="Times New Roman" w:cs="Times New Roman"/>
          <w:sz w:val="24"/>
          <w:szCs w:val="24"/>
        </w:rPr>
        <w:t>22</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25272C" w:rsidRDefault="0082073E" w:rsidP="0082073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82073E">
        <w:rPr>
          <w:rFonts w:ascii="Times New Roman" w:hAnsi="Times New Roman" w:cs="Times New Roman"/>
          <w:sz w:val="24"/>
          <w:szCs w:val="24"/>
        </w:rPr>
        <w:t>The Proposed Surcharge</w:t>
      </w:r>
      <w:r>
        <w:rPr>
          <w:rFonts w:ascii="Times New Roman" w:hAnsi="Times New Roman" w:cs="Times New Roman"/>
          <w:sz w:val="24"/>
          <w:szCs w:val="24"/>
        </w:rPr>
        <w:t xml:space="preserve"> is Flawed Because It D</w:t>
      </w:r>
      <w:r w:rsidRPr="0082073E">
        <w:rPr>
          <w:rFonts w:ascii="Times New Roman" w:hAnsi="Times New Roman" w:cs="Times New Roman"/>
          <w:sz w:val="24"/>
          <w:szCs w:val="24"/>
        </w:rPr>
        <w:t xml:space="preserve">oes Not Define the </w:t>
      </w:r>
    </w:p>
    <w:p w:rsidR="00CF66EE" w:rsidRPr="00CF66EE" w:rsidRDefault="0025272C" w:rsidP="0025272C">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073E" w:rsidRPr="0082073E">
        <w:rPr>
          <w:rFonts w:ascii="Times New Roman" w:hAnsi="Times New Roman" w:cs="Times New Roman"/>
          <w:sz w:val="24"/>
          <w:szCs w:val="24"/>
        </w:rPr>
        <w:t xml:space="preserve">Process </w:t>
      </w:r>
      <w:r w:rsidR="0082073E">
        <w:rPr>
          <w:rFonts w:ascii="Times New Roman" w:hAnsi="Times New Roman" w:cs="Times New Roman"/>
          <w:sz w:val="24"/>
          <w:szCs w:val="24"/>
        </w:rPr>
        <w:t>By</w:t>
      </w:r>
      <w:r w:rsidR="0082073E" w:rsidRPr="0082073E">
        <w:rPr>
          <w:rFonts w:ascii="Times New Roman" w:hAnsi="Times New Roman" w:cs="Times New Roman"/>
          <w:sz w:val="24"/>
          <w:szCs w:val="24"/>
        </w:rPr>
        <w:t xml:space="preserve"> Which Pipeline Replacement Projects Would be Reviewed</w:t>
      </w:r>
      <w:r w:rsidR="00E6652F">
        <w:rPr>
          <w:rFonts w:ascii="Times New Roman" w:hAnsi="Times New Roman" w:cs="Times New Roman"/>
          <w:sz w:val="24"/>
          <w:szCs w:val="24"/>
        </w:rPr>
        <w:t xml:space="preserve"> </w:t>
      </w:r>
      <w:r w:rsidR="00E6652F">
        <w:rPr>
          <w:rFonts w:ascii="Times New Roman" w:hAnsi="Times New Roman" w:cs="Times New Roman"/>
          <w:sz w:val="24"/>
          <w:szCs w:val="24"/>
        </w:rPr>
        <w:tab/>
        <w:t>23</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t>D.</w:t>
      </w:r>
      <w:r w:rsidRPr="00CF66EE">
        <w:rPr>
          <w:rFonts w:ascii="Times New Roman" w:hAnsi="Times New Roman" w:cs="Times New Roman"/>
          <w:sz w:val="24"/>
          <w:szCs w:val="24"/>
        </w:rPr>
        <w:tab/>
        <w:t xml:space="preserve">The Surcharge Mechanism Does Not Limit the Cost or Categories </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ab/>
      </w:r>
      <w:r w:rsidRPr="00CF66EE">
        <w:rPr>
          <w:rFonts w:ascii="Times New Roman" w:hAnsi="Times New Roman" w:cs="Times New Roman"/>
          <w:sz w:val="24"/>
          <w:szCs w:val="24"/>
        </w:rPr>
        <w:tab/>
        <w:t xml:space="preserve">of Pipeline for Which Accelerated Recovery Could Be Guaranteed </w:t>
      </w:r>
      <w:r w:rsidRPr="00CF66EE">
        <w:rPr>
          <w:rFonts w:ascii="Times New Roman" w:hAnsi="Times New Roman" w:cs="Times New Roman"/>
          <w:sz w:val="24"/>
          <w:szCs w:val="24"/>
        </w:rPr>
        <w:tab/>
      </w:r>
      <w:r w:rsidR="0025272C">
        <w:rPr>
          <w:rFonts w:ascii="Times New Roman" w:hAnsi="Times New Roman" w:cs="Times New Roman"/>
          <w:sz w:val="24"/>
          <w:szCs w:val="24"/>
        </w:rPr>
        <w:t>25</w:t>
      </w: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CF66EE" w:rsidRPr="00CF66EE" w:rsidRDefault="00CF66EE" w:rsidP="00CF66EE">
      <w:pPr>
        <w:tabs>
          <w:tab w:val="left" w:pos="720"/>
          <w:tab w:val="left" w:pos="1440"/>
          <w:tab w:val="left" w:pos="2160"/>
          <w:tab w:val="right" w:leader="dot" w:pos="8820"/>
        </w:tabs>
        <w:spacing w:after="0" w:line="240" w:lineRule="auto"/>
        <w:rPr>
          <w:rFonts w:ascii="Times New Roman" w:hAnsi="Times New Roman" w:cs="Times New Roman"/>
          <w:sz w:val="24"/>
          <w:szCs w:val="24"/>
        </w:rPr>
      </w:pPr>
      <w:r w:rsidRPr="00CF66EE">
        <w:rPr>
          <w:rFonts w:ascii="Times New Roman" w:hAnsi="Times New Roman" w:cs="Times New Roman"/>
          <w:sz w:val="24"/>
          <w:szCs w:val="24"/>
        </w:rPr>
        <w:t>III.</w:t>
      </w:r>
      <w:r w:rsidRPr="00CF66EE">
        <w:rPr>
          <w:rFonts w:ascii="Times New Roman" w:hAnsi="Times New Roman" w:cs="Times New Roman"/>
          <w:sz w:val="24"/>
          <w:szCs w:val="24"/>
        </w:rPr>
        <w:tab/>
        <w:t xml:space="preserve">CONCLUSION </w:t>
      </w:r>
      <w:r w:rsidRPr="00CF66EE">
        <w:rPr>
          <w:rFonts w:ascii="Times New Roman" w:hAnsi="Times New Roman" w:cs="Times New Roman"/>
          <w:sz w:val="24"/>
          <w:szCs w:val="24"/>
        </w:rPr>
        <w:tab/>
      </w:r>
      <w:r w:rsidR="0025272C">
        <w:rPr>
          <w:rFonts w:ascii="Times New Roman" w:hAnsi="Times New Roman" w:cs="Times New Roman"/>
          <w:sz w:val="24"/>
          <w:szCs w:val="24"/>
        </w:rPr>
        <w:t>26</w:t>
      </w: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25272C" w:rsidRDefault="0025272C"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E445D6" w:rsidRDefault="00E445D6">
      <w:pPr>
        <w:rPr>
          <w:rFonts w:ascii="Times New Roman" w:hAnsi="Times New Roman" w:cs="Times New Roman"/>
          <w:sz w:val="24"/>
          <w:szCs w:val="24"/>
        </w:rPr>
      </w:pPr>
      <w:r>
        <w:rPr>
          <w:rFonts w:ascii="Times New Roman" w:hAnsi="Times New Roman" w:cs="Times New Roman"/>
          <w:sz w:val="24"/>
          <w:szCs w:val="24"/>
        </w:rPr>
        <w:br w:type="page"/>
      </w:r>
    </w:p>
    <w:p w:rsidR="00E445D6" w:rsidRPr="00F46690" w:rsidRDefault="00E445D6" w:rsidP="00E445D6">
      <w:pPr>
        <w:tabs>
          <w:tab w:val="left" w:pos="720"/>
          <w:tab w:val="left" w:pos="1440"/>
          <w:tab w:val="left" w:pos="2160"/>
          <w:tab w:val="right" w:leader="dot" w:pos="8910"/>
        </w:tabs>
        <w:spacing w:after="0" w:line="240" w:lineRule="auto"/>
        <w:ind w:right="18"/>
        <w:jc w:val="center"/>
        <w:rPr>
          <w:rFonts w:ascii="Times New Roman" w:eastAsia="Times New Roman" w:hAnsi="Times New Roman" w:cs="Times New Roman"/>
          <w:b/>
          <w:bCs/>
          <w:sz w:val="24"/>
          <w:szCs w:val="24"/>
        </w:rPr>
      </w:pPr>
      <w:r w:rsidRPr="00F46690">
        <w:rPr>
          <w:rFonts w:ascii="Times New Roman" w:eastAsia="Times New Roman" w:hAnsi="Times New Roman" w:cs="Times New Roman"/>
          <w:b/>
          <w:bCs/>
          <w:sz w:val="24"/>
          <w:szCs w:val="24"/>
        </w:rPr>
        <w:lastRenderedPageBreak/>
        <w:t>TABLE OF AUTHORITIES</w:t>
      </w:r>
    </w:p>
    <w:p w:rsidR="00E445D6" w:rsidRDefault="00E445D6" w:rsidP="00E445D6">
      <w:pPr>
        <w:tabs>
          <w:tab w:val="left" w:pos="720"/>
          <w:tab w:val="left" w:pos="1440"/>
          <w:tab w:val="left" w:pos="2160"/>
          <w:tab w:val="right" w:leader="dot" w:pos="8910"/>
        </w:tabs>
        <w:spacing w:after="0" w:line="240" w:lineRule="auto"/>
        <w:ind w:right="18"/>
        <w:jc w:val="center"/>
        <w:rPr>
          <w:rFonts w:ascii="Times New Roman" w:eastAsia="Times New Roman" w:hAnsi="Times New Roman" w:cs="Times New Roman"/>
          <w:bCs/>
          <w:sz w:val="24"/>
          <w:szCs w:val="24"/>
        </w:rPr>
      </w:pPr>
    </w:p>
    <w:p w:rsidR="00E445D6" w:rsidRPr="00F46690" w:rsidRDefault="00E445D6" w:rsidP="00E445D6">
      <w:pPr>
        <w:tabs>
          <w:tab w:val="left" w:pos="720"/>
          <w:tab w:val="left" w:pos="1440"/>
          <w:tab w:val="left" w:pos="2160"/>
          <w:tab w:val="right" w:leader="dot" w:pos="8910"/>
        </w:tabs>
        <w:spacing w:after="0" w:line="240" w:lineRule="auto"/>
        <w:ind w:right="18"/>
        <w:jc w:val="center"/>
        <w:rPr>
          <w:rFonts w:ascii="Times New Roman" w:eastAsia="Times New Roman" w:hAnsi="Times New Roman" w:cs="Times New Roman"/>
          <w:bCs/>
          <w:sz w:val="24"/>
          <w:szCs w:val="24"/>
        </w:rPr>
      </w:pPr>
    </w:p>
    <w:p w:rsidR="00E445D6" w:rsidRPr="00F46690" w:rsidRDefault="00E445D6" w:rsidP="00E445D6">
      <w:pPr>
        <w:tabs>
          <w:tab w:val="left" w:pos="720"/>
          <w:tab w:val="left" w:pos="1440"/>
          <w:tab w:val="left" w:pos="2160"/>
          <w:tab w:val="right" w:leader="dot" w:pos="9180"/>
        </w:tabs>
        <w:spacing w:after="0" w:line="240" w:lineRule="exact"/>
        <w:jc w:val="center"/>
        <w:rPr>
          <w:rFonts w:ascii="Times New Roman" w:hAnsi="Times New Roman" w:cs="Times New Roman"/>
          <w:b/>
          <w:sz w:val="24"/>
          <w:szCs w:val="24"/>
        </w:rPr>
      </w:pPr>
      <w:r w:rsidRPr="00F46690">
        <w:rPr>
          <w:rFonts w:ascii="Times New Roman" w:hAnsi="Times New Roman" w:cs="Times New Roman"/>
          <w:b/>
          <w:i/>
          <w:sz w:val="24"/>
          <w:szCs w:val="24"/>
        </w:rPr>
        <w:t>Cases</w:t>
      </w:r>
    </w:p>
    <w:p w:rsidR="00E445D6" w:rsidRPr="00F46690" w:rsidRDefault="00E445D6" w:rsidP="00E445D6">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sidRPr="00F46690">
        <w:rPr>
          <w:rFonts w:ascii="Times New Roman" w:hAnsi="Times New Roman" w:cs="Times New Roman"/>
          <w:i/>
          <w:sz w:val="24"/>
          <w:szCs w:val="24"/>
        </w:rPr>
        <w:t>Bluefield Water Works and Improvement Co. v. Public Service Commission of West Virginia</w:t>
      </w:r>
      <w:r w:rsidRPr="00F46690">
        <w:rPr>
          <w:rFonts w:ascii="Times New Roman" w:hAnsi="Times New Roman" w:cs="Times New Roman"/>
          <w:sz w:val="24"/>
          <w:szCs w:val="24"/>
        </w:rPr>
        <w:t xml:space="preserve">, </w:t>
      </w: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F46690">
        <w:rPr>
          <w:rFonts w:ascii="Times New Roman" w:hAnsi="Times New Roman" w:cs="Times New Roman"/>
          <w:sz w:val="24"/>
          <w:szCs w:val="24"/>
        </w:rPr>
        <w:t xml:space="preserve">262 U.S. 679, 693 (1923) </w:t>
      </w:r>
      <w:r w:rsidRPr="00F46690">
        <w:rPr>
          <w:rFonts w:ascii="Times New Roman" w:hAnsi="Times New Roman" w:cs="Times New Roman"/>
          <w:sz w:val="24"/>
          <w:szCs w:val="24"/>
        </w:rPr>
        <w:tab/>
      </w:r>
      <w:r w:rsidR="00207738">
        <w:rPr>
          <w:rFonts w:ascii="Times New Roman" w:hAnsi="Times New Roman" w:cs="Times New Roman"/>
          <w:sz w:val="24"/>
          <w:szCs w:val="24"/>
        </w:rPr>
        <w:t>18</w:t>
      </w: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Default="00E445D6" w:rsidP="00E445D6">
      <w:pPr>
        <w:pStyle w:val="EndnoteText"/>
        <w:tabs>
          <w:tab w:val="right" w:leader="dot" w:pos="8820"/>
        </w:tabs>
        <w:rPr>
          <w:rFonts w:ascii="Times New Roman" w:hAnsi="Times New Roman" w:cs="Times New Roman"/>
          <w:sz w:val="24"/>
          <w:szCs w:val="24"/>
        </w:rPr>
      </w:pPr>
      <w:r w:rsidRPr="00F46690">
        <w:rPr>
          <w:rFonts w:ascii="Times New Roman" w:hAnsi="Times New Roman" w:cs="Times New Roman"/>
          <w:i/>
          <w:sz w:val="24"/>
          <w:szCs w:val="24"/>
        </w:rPr>
        <w:t>People ex rel, Lisa Madigan v. Illinois Commerce Comm’n</w:t>
      </w:r>
      <w:r w:rsidRPr="00F46690">
        <w:rPr>
          <w:rFonts w:ascii="Times New Roman" w:hAnsi="Times New Roman" w:cs="Times New Roman"/>
          <w:sz w:val="24"/>
          <w:szCs w:val="24"/>
        </w:rPr>
        <w:t xml:space="preserve">, </w:t>
      </w:r>
    </w:p>
    <w:p w:rsidR="00E445D6" w:rsidRPr="00F46690"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r>
        <w:rPr>
          <w:rFonts w:ascii="Times New Roman" w:hAnsi="Times New Roman" w:cs="Times New Roman"/>
          <w:sz w:val="24"/>
          <w:szCs w:val="24"/>
        </w:rPr>
        <w:tab/>
      </w:r>
      <w:r w:rsidRPr="00F46690">
        <w:rPr>
          <w:rFonts w:ascii="Times New Roman" w:hAnsi="Times New Roman" w:cs="Times New Roman"/>
          <w:sz w:val="24"/>
          <w:szCs w:val="24"/>
        </w:rPr>
        <w:t>2011</w:t>
      </w:r>
      <w:r>
        <w:rPr>
          <w:rFonts w:ascii="Times New Roman" w:hAnsi="Times New Roman" w:cs="Times New Roman"/>
          <w:sz w:val="24"/>
          <w:szCs w:val="24"/>
        </w:rPr>
        <w:t xml:space="preserve"> WL 4580558 (Ill. App. 1 Dist.) </w:t>
      </w:r>
      <w:r>
        <w:rPr>
          <w:rFonts w:ascii="Times New Roman" w:hAnsi="Times New Roman" w:cs="Times New Roman"/>
          <w:sz w:val="24"/>
          <w:szCs w:val="24"/>
        </w:rPr>
        <w:tab/>
      </w:r>
      <w:r w:rsidR="00207738">
        <w:rPr>
          <w:rFonts w:ascii="Times New Roman" w:hAnsi="Times New Roman" w:cs="Times New Roman"/>
          <w:sz w:val="24"/>
          <w:szCs w:val="24"/>
        </w:rPr>
        <w:t>20</w:t>
      </w:r>
    </w:p>
    <w:p w:rsidR="00E445D6" w:rsidRDefault="00E445D6" w:rsidP="00E445D6">
      <w:pPr>
        <w:pStyle w:val="EndnoteText"/>
        <w:tabs>
          <w:tab w:val="right" w:leader="dot" w:pos="8820"/>
        </w:tabs>
        <w:rPr>
          <w:rFonts w:ascii="Times New Roman" w:hAnsi="Times New Roman" w:cs="Times New Roman"/>
          <w:sz w:val="24"/>
          <w:szCs w:val="24"/>
        </w:rPr>
      </w:pP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sidRPr="00F46690">
        <w:rPr>
          <w:rFonts w:ascii="Times New Roman" w:hAnsi="Times New Roman" w:cs="Times New Roman"/>
          <w:i/>
          <w:sz w:val="24"/>
          <w:szCs w:val="24"/>
        </w:rPr>
        <w:t>Power v. Utils. &amp; Transp. Comm’n</w:t>
      </w:r>
      <w:r w:rsidRPr="00F46690">
        <w:rPr>
          <w:rFonts w:ascii="Times New Roman" w:hAnsi="Times New Roman" w:cs="Times New Roman"/>
          <w:sz w:val="24"/>
          <w:szCs w:val="24"/>
        </w:rPr>
        <w:t xml:space="preserve">, </w:t>
      </w:r>
    </w:p>
    <w:p w:rsidR="00E445D6" w:rsidRPr="00F46690"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F46690">
        <w:rPr>
          <w:rFonts w:ascii="Times New Roman" w:hAnsi="Times New Roman" w:cs="Times New Roman"/>
          <w:sz w:val="24"/>
          <w:szCs w:val="24"/>
        </w:rPr>
        <w:t>430 Wn.2d 452, 430, 679 P.2d 922 (1984)</w:t>
      </w:r>
      <w:r>
        <w:rPr>
          <w:rFonts w:ascii="Times New Roman" w:hAnsi="Times New Roman" w:cs="Times New Roman"/>
          <w:sz w:val="24"/>
          <w:szCs w:val="24"/>
        </w:rPr>
        <w:t xml:space="preserve"> </w:t>
      </w:r>
      <w:r>
        <w:rPr>
          <w:rFonts w:ascii="Times New Roman" w:hAnsi="Times New Roman" w:cs="Times New Roman"/>
          <w:sz w:val="24"/>
          <w:szCs w:val="24"/>
        </w:rPr>
        <w:tab/>
      </w:r>
      <w:r w:rsidR="00207738">
        <w:rPr>
          <w:rFonts w:ascii="Times New Roman" w:hAnsi="Times New Roman" w:cs="Times New Roman"/>
          <w:sz w:val="24"/>
          <w:szCs w:val="24"/>
        </w:rPr>
        <w:t>3</w:t>
      </w: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i/>
          <w:sz w:val="24"/>
          <w:szCs w:val="24"/>
        </w:rPr>
      </w:pPr>
    </w:p>
    <w:p w:rsidR="00E445D6" w:rsidRPr="00F46690" w:rsidRDefault="00E445D6" w:rsidP="00E445D6">
      <w:pPr>
        <w:tabs>
          <w:tab w:val="left" w:pos="720"/>
          <w:tab w:val="left" w:pos="1440"/>
          <w:tab w:val="left" w:pos="2160"/>
          <w:tab w:val="right" w:leader="dot" w:pos="8820"/>
        </w:tabs>
        <w:spacing w:after="0" w:line="240" w:lineRule="exact"/>
        <w:rPr>
          <w:rFonts w:ascii="Times New Roman" w:hAnsi="Times New Roman" w:cs="Times New Roman"/>
          <w:i/>
          <w:sz w:val="24"/>
          <w:szCs w:val="24"/>
        </w:rPr>
      </w:pPr>
    </w:p>
    <w:p w:rsidR="00E445D6" w:rsidRPr="00F46690" w:rsidRDefault="00E445D6" w:rsidP="00E445D6">
      <w:pPr>
        <w:tabs>
          <w:tab w:val="left" w:pos="720"/>
          <w:tab w:val="left" w:pos="1440"/>
          <w:tab w:val="left" w:pos="2160"/>
          <w:tab w:val="right" w:leader="dot" w:pos="8820"/>
        </w:tabs>
        <w:spacing w:after="0" w:line="240" w:lineRule="exact"/>
        <w:jc w:val="center"/>
        <w:rPr>
          <w:rFonts w:ascii="Times New Roman" w:hAnsi="Times New Roman" w:cs="Times New Roman"/>
          <w:b/>
          <w:sz w:val="24"/>
          <w:szCs w:val="24"/>
        </w:rPr>
      </w:pPr>
      <w:r w:rsidRPr="00F46690">
        <w:rPr>
          <w:rFonts w:ascii="Times New Roman" w:hAnsi="Times New Roman" w:cs="Times New Roman"/>
          <w:b/>
          <w:i/>
          <w:sz w:val="24"/>
          <w:szCs w:val="24"/>
        </w:rPr>
        <w:t>Administrative Authorities</w:t>
      </w: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Pr="00253D8D" w:rsidRDefault="00E445D6" w:rsidP="00E445D6">
      <w:pPr>
        <w:pStyle w:val="EndnoteText"/>
        <w:tabs>
          <w:tab w:val="right" w:leader="dot" w:pos="8820"/>
        </w:tabs>
        <w:rPr>
          <w:rFonts w:ascii="Times New Roman" w:hAnsi="Times New Roman" w:cs="Times New Roman"/>
          <w:i/>
          <w:sz w:val="24"/>
          <w:szCs w:val="24"/>
        </w:rPr>
      </w:pPr>
      <w:r w:rsidRPr="00253D8D">
        <w:rPr>
          <w:rFonts w:ascii="Times New Roman" w:hAnsi="Times New Roman" w:cs="Times New Roman"/>
          <w:i/>
          <w:sz w:val="24"/>
          <w:szCs w:val="24"/>
        </w:rPr>
        <w:t xml:space="preserve">In the Matter of the Washington Utilities and Transportation Commission’s Inquiry on Regulatory Treatment for Renewable Energy Resources, </w:t>
      </w:r>
    </w:p>
    <w:p w:rsidR="00E445D6" w:rsidRDefault="00E445D6" w:rsidP="00E445D6">
      <w:pPr>
        <w:pStyle w:val="EndnoteText"/>
        <w:tabs>
          <w:tab w:val="right" w:leader="dot" w:pos="8820"/>
        </w:tabs>
        <w:ind w:firstLine="720"/>
        <w:rPr>
          <w:rFonts w:ascii="Times New Roman" w:hAnsi="Times New Roman" w:cs="Times New Roman"/>
          <w:sz w:val="24"/>
          <w:szCs w:val="24"/>
        </w:rPr>
      </w:pPr>
      <w:r>
        <w:rPr>
          <w:rFonts w:ascii="Times New Roman" w:hAnsi="Times New Roman" w:cs="Times New Roman"/>
          <w:sz w:val="24"/>
          <w:szCs w:val="24"/>
        </w:rPr>
        <w:t xml:space="preserve">Docket UE-100849, </w:t>
      </w:r>
      <w:r w:rsidRPr="00253D8D">
        <w:rPr>
          <w:rFonts w:ascii="Times New Roman" w:hAnsi="Times New Roman" w:cs="Times New Roman"/>
          <w:sz w:val="24"/>
          <w:szCs w:val="24"/>
        </w:rPr>
        <w:t xml:space="preserve">Report and Policy Statement Concerning Acquisition of </w:t>
      </w: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sidRPr="00253D8D">
        <w:rPr>
          <w:rFonts w:ascii="Times New Roman" w:hAnsi="Times New Roman" w:cs="Times New Roman"/>
          <w:sz w:val="24"/>
          <w:szCs w:val="24"/>
        </w:rPr>
        <w:t>Renewable Resources by Investor-Owned Utilities</w:t>
      </w:r>
      <w:r w:rsidRPr="00F46690">
        <w:rPr>
          <w:rFonts w:ascii="Times New Roman" w:hAnsi="Times New Roman" w:cs="Times New Roman"/>
          <w:sz w:val="24"/>
          <w:szCs w:val="24"/>
        </w:rPr>
        <w:t xml:space="preserve">, </w:t>
      </w:r>
      <w:r>
        <w:rPr>
          <w:rFonts w:ascii="Times New Roman" w:hAnsi="Times New Roman" w:cs="Times New Roman"/>
          <w:sz w:val="24"/>
          <w:szCs w:val="24"/>
        </w:rPr>
        <w:t xml:space="preserve">(January 3, 2011) </w:t>
      </w:r>
      <w:r>
        <w:rPr>
          <w:rFonts w:ascii="Times New Roman" w:hAnsi="Times New Roman" w:cs="Times New Roman"/>
          <w:sz w:val="24"/>
          <w:szCs w:val="24"/>
        </w:rPr>
        <w:tab/>
      </w:r>
      <w:r w:rsidR="00207738">
        <w:rPr>
          <w:rFonts w:ascii="Times New Roman" w:hAnsi="Times New Roman" w:cs="Times New Roman"/>
          <w:sz w:val="24"/>
          <w:szCs w:val="24"/>
        </w:rPr>
        <w:t>5</w:t>
      </w:r>
    </w:p>
    <w:p w:rsidR="00E445D6" w:rsidRPr="00F46690"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Default="00E445D6" w:rsidP="00E445D6">
      <w:pPr>
        <w:pStyle w:val="EndnoteText"/>
        <w:tabs>
          <w:tab w:val="right" w:leader="dot" w:pos="8820"/>
        </w:tabs>
        <w:rPr>
          <w:rFonts w:ascii="Times New Roman" w:hAnsi="Times New Roman" w:cs="Times New Roman"/>
          <w:sz w:val="24"/>
          <w:szCs w:val="24"/>
        </w:rPr>
      </w:pPr>
      <w:r w:rsidRPr="00F46690">
        <w:rPr>
          <w:rFonts w:ascii="Times New Roman" w:hAnsi="Times New Roman" w:cs="Times New Roman"/>
          <w:i/>
          <w:sz w:val="24"/>
          <w:szCs w:val="24"/>
        </w:rPr>
        <w:t>In the Matter of the Application of Washington Gas Light Company</w:t>
      </w:r>
      <w:r w:rsidRPr="00F46690">
        <w:rPr>
          <w:rFonts w:ascii="Times New Roman" w:hAnsi="Times New Roman" w:cs="Times New Roman"/>
          <w:sz w:val="24"/>
          <w:szCs w:val="24"/>
        </w:rPr>
        <w:t xml:space="preserve">, </w:t>
      </w:r>
    </w:p>
    <w:p w:rsidR="00E445D6" w:rsidRDefault="00E445D6" w:rsidP="00E445D6">
      <w:pPr>
        <w:pStyle w:val="EndnoteText"/>
        <w:tabs>
          <w:tab w:val="right" w:leader="dot" w:pos="8820"/>
        </w:tabs>
        <w:ind w:firstLine="720"/>
        <w:rPr>
          <w:rFonts w:ascii="Times New Roman" w:hAnsi="Times New Roman" w:cs="Times New Roman"/>
          <w:sz w:val="24"/>
          <w:szCs w:val="24"/>
        </w:rPr>
      </w:pPr>
      <w:r w:rsidRPr="00F46690">
        <w:rPr>
          <w:rFonts w:ascii="Times New Roman" w:hAnsi="Times New Roman" w:cs="Times New Roman"/>
          <w:sz w:val="24"/>
          <w:szCs w:val="24"/>
        </w:rPr>
        <w:t xml:space="preserve">Case No. 9267, Order 84475 at 106-108 (November 14, 2011).  </w:t>
      </w:r>
    </w:p>
    <w:p w:rsidR="00E445D6" w:rsidRPr="00F46690"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r>
        <w:rPr>
          <w:rFonts w:ascii="Times New Roman" w:hAnsi="Times New Roman" w:cs="Times New Roman"/>
          <w:sz w:val="24"/>
          <w:szCs w:val="24"/>
        </w:rPr>
        <w:tab/>
      </w:r>
      <w:hyperlink r:id="rId10" w:history="1">
        <w:r w:rsidRPr="007837B8">
          <w:rPr>
            <w:rStyle w:val="Hyperlink"/>
            <w:rFonts w:ascii="Times New Roman" w:hAnsi="Times New Roman" w:cs="Times New Roman"/>
            <w:sz w:val="24"/>
            <w:szCs w:val="24"/>
          </w:rPr>
          <w:t>http://webapp.psc.state.md.us/Intranet/Maillog/orders_new.cfm</w:t>
        </w:r>
      </w:hyperlink>
      <w:r>
        <w:rPr>
          <w:rFonts w:ascii="Times New Roman" w:hAnsi="Times New Roman" w:cs="Times New Roman"/>
          <w:sz w:val="24"/>
          <w:szCs w:val="24"/>
        </w:rPr>
        <w:t xml:space="preserve"> </w:t>
      </w:r>
      <w:r>
        <w:rPr>
          <w:rFonts w:ascii="Times New Roman" w:hAnsi="Times New Roman" w:cs="Times New Roman"/>
          <w:sz w:val="24"/>
          <w:szCs w:val="24"/>
        </w:rPr>
        <w:tab/>
      </w:r>
      <w:r w:rsidR="00207738">
        <w:rPr>
          <w:rFonts w:ascii="Times New Roman" w:hAnsi="Times New Roman" w:cs="Times New Roman"/>
          <w:sz w:val="24"/>
          <w:szCs w:val="24"/>
        </w:rPr>
        <w:t>21</w:t>
      </w:r>
    </w:p>
    <w:p w:rsidR="00E445D6" w:rsidRDefault="00E445D6" w:rsidP="00E445D6">
      <w:pPr>
        <w:pStyle w:val="EndnoteText"/>
        <w:tabs>
          <w:tab w:val="right" w:leader="dot" w:pos="8820"/>
        </w:tabs>
        <w:rPr>
          <w:rFonts w:ascii="Times New Roman" w:hAnsi="Times New Roman" w:cs="Times New Roman"/>
          <w:sz w:val="24"/>
          <w:szCs w:val="24"/>
        </w:rPr>
      </w:pPr>
    </w:p>
    <w:p w:rsidR="00E445D6" w:rsidRPr="00253D8D" w:rsidRDefault="00E445D6" w:rsidP="00E445D6">
      <w:pPr>
        <w:keepNext/>
        <w:tabs>
          <w:tab w:val="left" w:pos="720"/>
          <w:tab w:val="left" w:pos="1440"/>
          <w:tab w:val="left" w:pos="2160"/>
          <w:tab w:val="right" w:leader="dot" w:pos="8820"/>
        </w:tabs>
        <w:spacing w:after="0" w:line="240" w:lineRule="exact"/>
        <w:rPr>
          <w:rFonts w:ascii="Times New Roman" w:hAnsi="Times New Roman" w:cs="Times New Roman"/>
          <w:i/>
          <w:sz w:val="24"/>
          <w:szCs w:val="24"/>
        </w:rPr>
      </w:pPr>
      <w:r>
        <w:rPr>
          <w:rFonts w:ascii="Times New Roman" w:hAnsi="Times New Roman" w:cs="Times New Roman"/>
          <w:i/>
          <w:sz w:val="24"/>
          <w:szCs w:val="24"/>
        </w:rPr>
        <w:t xml:space="preserve">WUTC </w:t>
      </w:r>
      <w:r w:rsidRPr="00253D8D">
        <w:rPr>
          <w:rFonts w:ascii="Times New Roman" w:hAnsi="Times New Roman" w:cs="Times New Roman"/>
          <w:i/>
          <w:sz w:val="24"/>
          <w:szCs w:val="24"/>
        </w:rPr>
        <w:t xml:space="preserve">v. PacifiCorp d/b/a Pacific Power &amp; Light Co., </w:t>
      </w:r>
    </w:p>
    <w:p w:rsidR="00E445D6" w:rsidRPr="00253D8D"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sidRPr="00253D8D">
        <w:rPr>
          <w:rFonts w:ascii="Times New Roman" w:hAnsi="Times New Roman" w:cs="Times New Roman"/>
          <w:i/>
          <w:sz w:val="24"/>
          <w:szCs w:val="24"/>
        </w:rPr>
        <w:tab/>
      </w:r>
      <w:r w:rsidRPr="00253D8D">
        <w:rPr>
          <w:rFonts w:ascii="Times New Roman" w:hAnsi="Times New Roman" w:cs="Times New Roman"/>
          <w:sz w:val="24"/>
          <w:szCs w:val="24"/>
        </w:rPr>
        <w:t xml:space="preserve">Docket UE-050684, Order 05 (July 14, 2006) </w:t>
      </w:r>
      <w:r w:rsidRPr="00253D8D">
        <w:rPr>
          <w:rFonts w:ascii="Times New Roman" w:hAnsi="Times New Roman" w:cs="Times New Roman"/>
          <w:sz w:val="24"/>
          <w:szCs w:val="24"/>
        </w:rPr>
        <w:tab/>
      </w:r>
      <w:r w:rsidR="00207738">
        <w:rPr>
          <w:rFonts w:ascii="Times New Roman" w:hAnsi="Times New Roman" w:cs="Times New Roman"/>
          <w:sz w:val="24"/>
          <w:szCs w:val="24"/>
        </w:rPr>
        <w:t>3</w:t>
      </w:r>
    </w:p>
    <w:p w:rsidR="00E445D6" w:rsidRPr="00253D8D"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Pr="00253D8D"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Pr>
          <w:rFonts w:ascii="Times New Roman" w:hAnsi="Times New Roman" w:cs="Times New Roman"/>
          <w:i/>
          <w:sz w:val="24"/>
          <w:szCs w:val="24"/>
        </w:rPr>
        <w:t>WUTC</w:t>
      </w:r>
      <w:r w:rsidRPr="00253D8D">
        <w:rPr>
          <w:rFonts w:ascii="Times New Roman" w:hAnsi="Times New Roman" w:cs="Times New Roman"/>
          <w:i/>
          <w:sz w:val="24"/>
          <w:szCs w:val="24"/>
        </w:rPr>
        <w:t xml:space="preserve"> v. Puget Sound Power &amp; Light Co.,</w:t>
      </w:r>
      <w:r w:rsidRPr="00253D8D">
        <w:rPr>
          <w:rFonts w:ascii="Times New Roman" w:hAnsi="Times New Roman" w:cs="Times New Roman"/>
          <w:sz w:val="24"/>
          <w:szCs w:val="24"/>
        </w:rPr>
        <w:t xml:space="preserve"> </w:t>
      </w: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sidRPr="00253D8D">
        <w:rPr>
          <w:rFonts w:ascii="Times New Roman" w:hAnsi="Times New Roman" w:cs="Times New Roman"/>
          <w:sz w:val="24"/>
          <w:szCs w:val="24"/>
        </w:rPr>
        <w:tab/>
        <w:t xml:space="preserve">Dockets U-81-41, Second Supplemental Order (March 12, 1982) </w:t>
      </w:r>
      <w:r w:rsidRPr="00253D8D">
        <w:rPr>
          <w:rFonts w:ascii="Times New Roman" w:hAnsi="Times New Roman" w:cs="Times New Roman"/>
          <w:sz w:val="24"/>
          <w:szCs w:val="24"/>
        </w:rPr>
        <w:tab/>
      </w:r>
      <w:r w:rsidR="00207738">
        <w:rPr>
          <w:rFonts w:ascii="Times New Roman" w:hAnsi="Times New Roman" w:cs="Times New Roman"/>
          <w:sz w:val="24"/>
          <w:szCs w:val="24"/>
        </w:rPr>
        <w:t>18</w:t>
      </w: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Pr="00253D8D"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r>
        <w:rPr>
          <w:rFonts w:ascii="Times New Roman" w:hAnsi="Times New Roman" w:cs="Times New Roman"/>
          <w:i/>
          <w:sz w:val="24"/>
          <w:szCs w:val="24"/>
        </w:rPr>
        <w:t>WUTC</w:t>
      </w:r>
      <w:r w:rsidRPr="00253D8D">
        <w:rPr>
          <w:rFonts w:ascii="Times New Roman" w:hAnsi="Times New Roman" w:cs="Times New Roman"/>
          <w:i/>
          <w:sz w:val="24"/>
          <w:szCs w:val="24"/>
        </w:rPr>
        <w:t xml:space="preserve"> v. Puget Sound </w:t>
      </w:r>
      <w:r>
        <w:rPr>
          <w:rFonts w:ascii="Times New Roman" w:hAnsi="Times New Roman" w:cs="Times New Roman"/>
          <w:i/>
          <w:sz w:val="24"/>
          <w:szCs w:val="24"/>
        </w:rPr>
        <w:t>Energy, Inc</w:t>
      </w:r>
      <w:r w:rsidRPr="00253D8D">
        <w:rPr>
          <w:rFonts w:ascii="Times New Roman" w:hAnsi="Times New Roman" w:cs="Times New Roman"/>
          <w:i/>
          <w:sz w:val="24"/>
          <w:szCs w:val="24"/>
        </w:rPr>
        <w:t>.,</w:t>
      </w:r>
      <w:r w:rsidRPr="00253D8D">
        <w:rPr>
          <w:rFonts w:ascii="Times New Roman" w:hAnsi="Times New Roman" w:cs="Times New Roman"/>
          <w:sz w:val="24"/>
          <w:szCs w:val="24"/>
        </w:rPr>
        <w:t xml:space="preserve"> </w:t>
      </w:r>
    </w:p>
    <w:p w:rsidR="00E445D6" w:rsidRPr="00F46690"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r>
        <w:rPr>
          <w:rFonts w:ascii="Times New Roman" w:hAnsi="Times New Roman" w:cs="Times New Roman"/>
          <w:sz w:val="24"/>
          <w:szCs w:val="24"/>
        </w:rPr>
        <w:tab/>
        <w:t xml:space="preserve">Dockets PG-030080 and PG-030128, </w:t>
      </w:r>
      <w:r w:rsidRPr="00F46690">
        <w:rPr>
          <w:rFonts w:ascii="Times New Roman" w:hAnsi="Times New Roman" w:cs="Times New Roman"/>
          <w:sz w:val="24"/>
          <w:szCs w:val="24"/>
        </w:rPr>
        <w:t xml:space="preserve">Order No. 02 </w:t>
      </w:r>
      <w:r>
        <w:rPr>
          <w:rFonts w:ascii="Times New Roman" w:hAnsi="Times New Roman" w:cs="Times New Roman"/>
          <w:sz w:val="24"/>
          <w:szCs w:val="24"/>
        </w:rPr>
        <w:t>(</w:t>
      </w:r>
      <w:r w:rsidRPr="00F46690">
        <w:rPr>
          <w:rFonts w:ascii="Times New Roman" w:hAnsi="Times New Roman" w:cs="Times New Roman"/>
          <w:sz w:val="24"/>
          <w:szCs w:val="24"/>
        </w:rPr>
        <w:t>January 31, 2005</w:t>
      </w:r>
      <w:r>
        <w:rPr>
          <w:rFonts w:ascii="Times New Roman" w:hAnsi="Times New Roman" w:cs="Times New Roman"/>
          <w:sz w:val="24"/>
          <w:szCs w:val="24"/>
        </w:rPr>
        <w:t>)</w:t>
      </w:r>
      <w:r>
        <w:rPr>
          <w:rFonts w:ascii="Times New Roman" w:hAnsi="Times New Roman" w:cs="Times New Roman"/>
          <w:sz w:val="24"/>
          <w:szCs w:val="24"/>
        </w:rPr>
        <w:tab/>
      </w:r>
      <w:r w:rsidR="00207738">
        <w:rPr>
          <w:rFonts w:ascii="Times New Roman" w:hAnsi="Times New Roman" w:cs="Times New Roman"/>
          <w:sz w:val="24"/>
          <w:szCs w:val="24"/>
        </w:rPr>
        <w:t>23</w:t>
      </w:r>
    </w:p>
    <w:p w:rsidR="00E445D6" w:rsidRPr="00253D8D"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r w:rsidRPr="00F46690">
        <w:rPr>
          <w:rFonts w:ascii="Times New Roman" w:hAnsi="Times New Roman" w:cs="Times New Roman"/>
          <w:i/>
          <w:sz w:val="24"/>
          <w:szCs w:val="24"/>
        </w:rPr>
        <w:t>WUTC vs. Puget Sound Energy, Inc.</w:t>
      </w:r>
      <w:r w:rsidRPr="00F46690">
        <w:rPr>
          <w:rFonts w:ascii="Times New Roman" w:hAnsi="Times New Roman" w:cs="Times New Roman"/>
          <w:sz w:val="24"/>
          <w:szCs w:val="24"/>
        </w:rPr>
        <w:t xml:space="preserve">, </w:t>
      </w:r>
    </w:p>
    <w:p w:rsidR="00E445D6" w:rsidRPr="00F46690"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r>
        <w:rPr>
          <w:rFonts w:ascii="Times New Roman" w:hAnsi="Times New Roman" w:cs="Times New Roman"/>
          <w:sz w:val="24"/>
          <w:szCs w:val="24"/>
        </w:rPr>
        <w:tab/>
      </w:r>
      <w:r w:rsidRPr="00F46690">
        <w:rPr>
          <w:rFonts w:ascii="Times New Roman" w:hAnsi="Times New Roman" w:cs="Times New Roman"/>
          <w:sz w:val="24"/>
          <w:szCs w:val="24"/>
        </w:rPr>
        <w:t>Dockets UE-060266 and UG-060267, Ord</w:t>
      </w:r>
      <w:r>
        <w:rPr>
          <w:rFonts w:ascii="Times New Roman" w:hAnsi="Times New Roman" w:cs="Times New Roman"/>
          <w:sz w:val="24"/>
          <w:szCs w:val="24"/>
        </w:rPr>
        <w:t xml:space="preserve">er 08 (January 5, 2007) </w:t>
      </w:r>
      <w:r>
        <w:rPr>
          <w:rFonts w:ascii="Times New Roman" w:hAnsi="Times New Roman" w:cs="Times New Roman"/>
          <w:sz w:val="24"/>
          <w:szCs w:val="24"/>
        </w:rPr>
        <w:tab/>
      </w:r>
      <w:r w:rsidR="00207738">
        <w:rPr>
          <w:rFonts w:ascii="Times New Roman" w:hAnsi="Times New Roman" w:cs="Times New Roman"/>
          <w:sz w:val="24"/>
          <w:szCs w:val="24"/>
        </w:rPr>
        <w:t>6, 8</w:t>
      </w:r>
    </w:p>
    <w:p w:rsidR="00E445D6" w:rsidRDefault="00E445D6" w:rsidP="00E445D6">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p>
    <w:p w:rsidR="00E445D6" w:rsidRPr="00253D8D" w:rsidRDefault="00E445D6" w:rsidP="00E445D6">
      <w:pPr>
        <w:tabs>
          <w:tab w:val="left" w:pos="720"/>
          <w:tab w:val="left" w:pos="1440"/>
          <w:tab w:val="left" w:pos="2160"/>
          <w:tab w:val="left" w:pos="2880"/>
          <w:tab w:val="right" w:leader="dot" w:pos="882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WUTC </w:t>
      </w:r>
      <w:r w:rsidRPr="00253D8D">
        <w:rPr>
          <w:rFonts w:ascii="Times New Roman" w:hAnsi="Times New Roman" w:cs="Times New Roman"/>
          <w:i/>
          <w:sz w:val="24"/>
          <w:szCs w:val="24"/>
        </w:rPr>
        <w:t>v. Puget Sound Energy,</w:t>
      </w:r>
      <w:r>
        <w:rPr>
          <w:rFonts w:ascii="Times New Roman" w:hAnsi="Times New Roman" w:cs="Times New Roman"/>
          <w:i/>
          <w:sz w:val="24"/>
          <w:szCs w:val="24"/>
        </w:rPr>
        <w:t xml:space="preserve"> Inc.,</w:t>
      </w:r>
      <w:r w:rsidRPr="00253D8D">
        <w:rPr>
          <w:rFonts w:ascii="Times New Roman" w:hAnsi="Times New Roman" w:cs="Times New Roman"/>
          <w:i/>
          <w:sz w:val="24"/>
          <w:szCs w:val="24"/>
        </w:rPr>
        <w:t xml:space="preserve"> </w:t>
      </w:r>
    </w:p>
    <w:p w:rsidR="00E445D6" w:rsidRPr="00253D8D" w:rsidRDefault="00E445D6" w:rsidP="00E445D6">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sidRPr="00253D8D">
        <w:rPr>
          <w:rFonts w:ascii="Times New Roman" w:hAnsi="Times New Roman" w:cs="Times New Roman"/>
          <w:i/>
          <w:sz w:val="24"/>
          <w:szCs w:val="24"/>
        </w:rPr>
        <w:tab/>
      </w:r>
      <w:r w:rsidRPr="00253D8D">
        <w:rPr>
          <w:rFonts w:ascii="Times New Roman" w:hAnsi="Times New Roman" w:cs="Times New Roman"/>
          <w:sz w:val="24"/>
          <w:szCs w:val="24"/>
        </w:rPr>
        <w:t xml:space="preserve">Dockets UE-090704 and UG-090705, Order 11 (April 2, 2010) </w:t>
      </w:r>
      <w:r w:rsidRPr="00253D8D">
        <w:rPr>
          <w:rFonts w:ascii="Times New Roman" w:hAnsi="Times New Roman" w:cs="Times New Roman"/>
          <w:sz w:val="24"/>
          <w:szCs w:val="24"/>
        </w:rPr>
        <w:tab/>
      </w:r>
      <w:r w:rsidR="00207738">
        <w:rPr>
          <w:rFonts w:ascii="Times New Roman" w:hAnsi="Times New Roman" w:cs="Times New Roman"/>
          <w:sz w:val="24"/>
          <w:szCs w:val="24"/>
        </w:rPr>
        <w:t>18</w:t>
      </w:r>
    </w:p>
    <w:p w:rsidR="00E445D6" w:rsidRPr="00253D8D" w:rsidRDefault="00E445D6" w:rsidP="00E445D6">
      <w:pPr>
        <w:tabs>
          <w:tab w:val="left" w:pos="720"/>
          <w:tab w:val="left" w:pos="1440"/>
          <w:tab w:val="left" w:pos="2160"/>
          <w:tab w:val="left" w:pos="2880"/>
          <w:tab w:val="right" w:leader="dot" w:pos="8820"/>
        </w:tabs>
        <w:spacing w:after="0" w:line="240" w:lineRule="auto"/>
        <w:rPr>
          <w:rFonts w:ascii="Times New Roman" w:hAnsi="Times New Roman" w:cs="Times New Roman"/>
          <w:i/>
          <w:sz w:val="24"/>
          <w:szCs w:val="24"/>
        </w:rPr>
      </w:pPr>
    </w:p>
    <w:p w:rsidR="00E445D6"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r w:rsidRPr="00F46690">
        <w:rPr>
          <w:rFonts w:ascii="Times New Roman" w:hAnsi="Times New Roman" w:cs="Times New Roman"/>
          <w:i/>
          <w:sz w:val="24"/>
          <w:szCs w:val="24"/>
        </w:rPr>
        <w:t>WUTC v. Puget Sound Energy, Inc</w:t>
      </w:r>
      <w:r w:rsidRPr="00F46690">
        <w:rPr>
          <w:rFonts w:ascii="Times New Roman" w:hAnsi="Times New Roman" w:cs="Times New Roman"/>
          <w:sz w:val="24"/>
          <w:szCs w:val="24"/>
        </w:rPr>
        <w:t xml:space="preserve">., </w:t>
      </w:r>
    </w:p>
    <w:p w:rsidR="00E445D6" w:rsidRPr="00F46690"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r>
        <w:rPr>
          <w:rFonts w:ascii="Times New Roman" w:hAnsi="Times New Roman" w:cs="Times New Roman"/>
          <w:sz w:val="24"/>
          <w:szCs w:val="24"/>
        </w:rPr>
        <w:tab/>
      </w:r>
      <w:r w:rsidRPr="00F46690">
        <w:rPr>
          <w:rFonts w:ascii="Times New Roman" w:hAnsi="Times New Roman" w:cs="Times New Roman"/>
          <w:sz w:val="24"/>
          <w:szCs w:val="24"/>
        </w:rPr>
        <w:t xml:space="preserve">Docket 100177, </w:t>
      </w:r>
      <w:r>
        <w:rPr>
          <w:rFonts w:ascii="Times New Roman" w:hAnsi="Times New Roman" w:cs="Times New Roman"/>
          <w:sz w:val="24"/>
          <w:szCs w:val="24"/>
        </w:rPr>
        <w:t xml:space="preserve">Order 05 (September 28, 2010) </w:t>
      </w:r>
      <w:r>
        <w:rPr>
          <w:rFonts w:ascii="Times New Roman" w:hAnsi="Times New Roman" w:cs="Times New Roman"/>
          <w:sz w:val="24"/>
          <w:szCs w:val="24"/>
        </w:rPr>
        <w:tab/>
      </w:r>
      <w:r w:rsidR="00207738">
        <w:rPr>
          <w:rFonts w:ascii="Times New Roman" w:hAnsi="Times New Roman" w:cs="Times New Roman"/>
          <w:sz w:val="24"/>
          <w:szCs w:val="24"/>
        </w:rPr>
        <w:t>10</w:t>
      </w:r>
    </w:p>
    <w:p w:rsidR="00E445D6"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p>
    <w:p w:rsidR="00E445D6" w:rsidRDefault="00E445D6" w:rsidP="00E445D6">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sidRPr="00F46690">
        <w:rPr>
          <w:rFonts w:ascii="Times New Roman" w:hAnsi="Times New Roman" w:cs="Times New Roman"/>
          <w:i/>
          <w:sz w:val="24"/>
          <w:szCs w:val="24"/>
        </w:rPr>
        <w:t>WUTC v. Washington Natural Gas Co.</w:t>
      </w:r>
      <w:r w:rsidRPr="00F46690">
        <w:rPr>
          <w:rFonts w:ascii="Times New Roman" w:hAnsi="Times New Roman" w:cs="Times New Roman"/>
          <w:sz w:val="24"/>
          <w:szCs w:val="24"/>
        </w:rPr>
        <w:t xml:space="preserve">, </w:t>
      </w:r>
    </w:p>
    <w:p w:rsidR="00E445D6" w:rsidRPr="00F46690" w:rsidRDefault="00E445D6" w:rsidP="00E445D6">
      <w:pPr>
        <w:tabs>
          <w:tab w:val="left" w:pos="720"/>
          <w:tab w:val="left" w:pos="1440"/>
          <w:tab w:val="left" w:pos="2160"/>
          <w:tab w:val="left" w:pos="2880"/>
          <w:tab w:val="right" w:leader="dot" w:pos="88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46690">
        <w:rPr>
          <w:rFonts w:ascii="Times New Roman" w:hAnsi="Times New Roman" w:cs="Times New Roman"/>
          <w:sz w:val="24"/>
          <w:szCs w:val="24"/>
        </w:rPr>
        <w:t>Docket UG-920840</w:t>
      </w:r>
      <w:r>
        <w:rPr>
          <w:rFonts w:ascii="Times New Roman" w:hAnsi="Times New Roman" w:cs="Times New Roman"/>
          <w:sz w:val="24"/>
          <w:szCs w:val="24"/>
        </w:rPr>
        <w:t xml:space="preserve">, </w:t>
      </w:r>
      <w:r w:rsidRPr="00F46690">
        <w:rPr>
          <w:rFonts w:ascii="Times New Roman" w:hAnsi="Times New Roman" w:cs="Times New Roman"/>
          <w:sz w:val="24"/>
          <w:szCs w:val="24"/>
        </w:rPr>
        <w:t>4</w:t>
      </w:r>
      <w:r w:rsidRPr="00F46690">
        <w:rPr>
          <w:rFonts w:ascii="Times New Roman" w:hAnsi="Times New Roman" w:cs="Times New Roman"/>
          <w:sz w:val="24"/>
          <w:szCs w:val="24"/>
          <w:vertAlign w:val="superscript"/>
        </w:rPr>
        <w:t>th</w:t>
      </w:r>
      <w:r w:rsidRPr="00F46690">
        <w:rPr>
          <w:rFonts w:ascii="Times New Roman" w:hAnsi="Times New Roman" w:cs="Times New Roman"/>
          <w:sz w:val="24"/>
          <w:szCs w:val="24"/>
        </w:rPr>
        <w:t xml:space="preserve"> S</w:t>
      </w:r>
      <w:r>
        <w:rPr>
          <w:rFonts w:ascii="Times New Roman" w:hAnsi="Times New Roman" w:cs="Times New Roman"/>
          <w:sz w:val="24"/>
          <w:szCs w:val="24"/>
        </w:rPr>
        <w:t xml:space="preserve">upp. Order (September 27, 1993) </w:t>
      </w:r>
      <w:r>
        <w:rPr>
          <w:rFonts w:ascii="Times New Roman" w:hAnsi="Times New Roman" w:cs="Times New Roman"/>
          <w:sz w:val="24"/>
          <w:szCs w:val="24"/>
        </w:rPr>
        <w:tab/>
      </w:r>
      <w:r w:rsidR="00207738">
        <w:rPr>
          <w:rFonts w:ascii="Times New Roman" w:hAnsi="Times New Roman" w:cs="Times New Roman"/>
          <w:sz w:val="24"/>
          <w:szCs w:val="24"/>
        </w:rPr>
        <w:t>6, 7, 11</w:t>
      </w:r>
    </w:p>
    <w:p w:rsidR="00E445D6"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p>
    <w:p w:rsidR="00E445D6" w:rsidRDefault="00E445D6" w:rsidP="00E445D6">
      <w:pPr>
        <w:pStyle w:val="EndnoteText"/>
        <w:keepNext/>
        <w:tabs>
          <w:tab w:val="left" w:pos="720"/>
          <w:tab w:val="left" w:pos="1440"/>
          <w:tab w:val="left" w:pos="2160"/>
          <w:tab w:val="left" w:pos="2880"/>
          <w:tab w:val="right" w:leader="dot" w:pos="8820"/>
        </w:tabs>
        <w:rPr>
          <w:rFonts w:ascii="Times New Roman" w:hAnsi="Times New Roman" w:cs="Times New Roman"/>
          <w:sz w:val="24"/>
          <w:szCs w:val="24"/>
        </w:rPr>
      </w:pPr>
      <w:r w:rsidRPr="00F46690">
        <w:rPr>
          <w:rFonts w:ascii="Times New Roman" w:hAnsi="Times New Roman" w:cs="Times New Roman"/>
          <w:i/>
          <w:sz w:val="24"/>
          <w:szCs w:val="24"/>
        </w:rPr>
        <w:lastRenderedPageBreak/>
        <w:t>WUTC v. Washington Natural Gas Company</w:t>
      </w:r>
      <w:r w:rsidRPr="00F46690">
        <w:rPr>
          <w:rFonts w:ascii="Times New Roman" w:hAnsi="Times New Roman" w:cs="Times New Roman"/>
          <w:sz w:val="24"/>
          <w:szCs w:val="24"/>
        </w:rPr>
        <w:t xml:space="preserve">, </w:t>
      </w:r>
    </w:p>
    <w:p w:rsidR="00E445D6" w:rsidRDefault="00E445D6" w:rsidP="00E445D6">
      <w:pPr>
        <w:pStyle w:val="EndnoteText"/>
        <w:tabs>
          <w:tab w:val="left" w:pos="720"/>
          <w:tab w:val="left" w:pos="1440"/>
          <w:tab w:val="left" w:pos="2160"/>
          <w:tab w:val="left" w:pos="2880"/>
          <w:tab w:val="right" w:leader="dot" w:pos="8820"/>
        </w:tabs>
        <w:rPr>
          <w:rFonts w:ascii="Times New Roman" w:hAnsi="Times New Roman" w:cs="Times New Roman"/>
          <w:sz w:val="24"/>
          <w:szCs w:val="24"/>
        </w:rPr>
      </w:pPr>
      <w:r>
        <w:rPr>
          <w:rFonts w:ascii="Times New Roman" w:hAnsi="Times New Roman" w:cs="Times New Roman"/>
          <w:sz w:val="24"/>
          <w:szCs w:val="24"/>
        </w:rPr>
        <w:tab/>
      </w:r>
      <w:r w:rsidRPr="00F46690">
        <w:rPr>
          <w:rFonts w:ascii="Times New Roman" w:hAnsi="Times New Roman" w:cs="Times New Roman"/>
          <w:sz w:val="24"/>
          <w:szCs w:val="24"/>
        </w:rPr>
        <w:t>Docket No. UG-920487, Fir</w:t>
      </w:r>
      <w:r>
        <w:rPr>
          <w:rFonts w:ascii="Times New Roman" w:hAnsi="Times New Roman" w:cs="Times New Roman"/>
          <w:sz w:val="24"/>
          <w:szCs w:val="24"/>
        </w:rPr>
        <w:t xml:space="preserve">st Suppl. Order (June 19, 1992) </w:t>
      </w:r>
      <w:r>
        <w:rPr>
          <w:rFonts w:ascii="Times New Roman" w:hAnsi="Times New Roman" w:cs="Times New Roman"/>
          <w:sz w:val="24"/>
          <w:szCs w:val="24"/>
        </w:rPr>
        <w:tab/>
      </w:r>
      <w:r w:rsidR="00207738">
        <w:rPr>
          <w:rFonts w:ascii="Times New Roman" w:hAnsi="Times New Roman" w:cs="Times New Roman"/>
          <w:sz w:val="24"/>
          <w:szCs w:val="24"/>
        </w:rPr>
        <w:t>7, 23</w:t>
      </w:r>
    </w:p>
    <w:p w:rsidR="00E445D6"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Pr="00F46690"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Pr="00F46690" w:rsidRDefault="00E445D6" w:rsidP="00E445D6">
      <w:pPr>
        <w:tabs>
          <w:tab w:val="left" w:pos="720"/>
          <w:tab w:val="left" w:pos="1440"/>
          <w:tab w:val="left" w:pos="2160"/>
          <w:tab w:val="right" w:leader="dot" w:pos="8820"/>
        </w:tabs>
        <w:spacing w:after="0" w:line="240" w:lineRule="exact"/>
        <w:jc w:val="center"/>
        <w:rPr>
          <w:rFonts w:ascii="Times New Roman" w:hAnsi="Times New Roman" w:cs="Times New Roman"/>
          <w:b/>
          <w:sz w:val="24"/>
          <w:szCs w:val="24"/>
        </w:rPr>
      </w:pPr>
      <w:r w:rsidRPr="00F46690">
        <w:rPr>
          <w:rFonts w:ascii="Times New Roman" w:hAnsi="Times New Roman" w:cs="Times New Roman"/>
          <w:b/>
          <w:i/>
          <w:sz w:val="24"/>
          <w:szCs w:val="24"/>
        </w:rPr>
        <w:t>Statutes and Rules</w:t>
      </w:r>
    </w:p>
    <w:p w:rsidR="00E445D6" w:rsidRPr="00F46690" w:rsidRDefault="00E445D6" w:rsidP="00E445D6">
      <w:pPr>
        <w:tabs>
          <w:tab w:val="left" w:pos="720"/>
          <w:tab w:val="left" w:pos="1440"/>
          <w:tab w:val="left" w:pos="2160"/>
          <w:tab w:val="right" w:leader="dot" w:pos="8820"/>
        </w:tabs>
        <w:spacing w:after="0" w:line="240" w:lineRule="exact"/>
        <w:rPr>
          <w:rFonts w:ascii="Times New Roman" w:hAnsi="Times New Roman" w:cs="Times New Roman"/>
          <w:sz w:val="24"/>
          <w:szCs w:val="24"/>
        </w:rPr>
      </w:pPr>
    </w:p>
    <w:p w:rsidR="00E445D6" w:rsidRPr="00F46690" w:rsidRDefault="00E445D6" w:rsidP="00E445D6">
      <w:pPr>
        <w:tabs>
          <w:tab w:val="left" w:pos="720"/>
          <w:tab w:val="left" w:pos="1440"/>
          <w:tab w:val="right" w:leader="dot" w:pos="8820"/>
        </w:tabs>
        <w:spacing w:after="0" w:line="240" w:lineRule="exact"/>
        <w:rPr>
          <w:rFonts w:ascii="Times New Roman" w:hAnsi="Times New Roman" w:cs="Times New Roman"/>
          <w:sz w:val="24"/>
          <w:szCs w:val="24"/>
        </w:rPr>
      </w:pPr>
      <w:r w:rsidRPr="00F46690">
        <w:rPr>
          <w:rFonts w:ascii="Times New Roman" w:hAnsi="Times New Roman" w:cs="Times New Roman"/>
          <w:sz w:val="24"/>
          <w:szCs w:val="24"/>
        </w:rPr>
        <w:t xml:space="preserve">RCW 80.04.250 </w:t>
      </w:r>
      <w:r w:rsidRPr="00F46690">
        <w:rPr>
          <w:rFonts w:ascii="Times New Roman" w:hAnsi="Times New Roman" w:cs="Times New Roman"/>
          <w:sz w:val="24"/>
          <w:szCs w:val="24"/>
        </w:rPr>
        <w:tab/>
      </w:r>
      <w:r w:rsidR="00207738">
        <w:rPr>
          <w:rFonts w:ascii="Times New Roman" w:hAnsi="Times New Roman" w:cs="Times New Roman"/>
          <w:sz w:val="24"/>
          <w:szCs w:val="24"/>
        </w:rPr>
        <w:t>1, 3-5, 26</w:t>
      </w:r>
    </w:p>
    <w:p w:rsidR="00E445D6" w:rsidRPr="00F46690" w:rsidRDefault="00E445D6" w:rsidP="00E445D6">
      <w:pPr>
        <w:tabs>
          <w:tab w:val="left" w:pos="720"/>
          <w:tab w:val="left" w:pos="1440"/>
          <w:tab w:val="right" w:leader="dot" w:pos="8820"/>
        </w:tabs>
        <w:spacing w:after="0" w:line="240" w:lineRule="exact"/>
        <w:rPr>
          <w:rFonts w:ascii="Times New Roman" w:hAnsi="Times New Roman" w:cs="Times New Roman"/>
          <w:sz w:val="24"/>
          <w:szCs w:val="24"/>
        </w:rPr>
      </w:pPr>
    </w:p>
    <w:p w:rsidR="00E445D6" w:rsidRDefault="00E445D6" w:rsidP="00E445D6">
      <w:pPr>
        <w:pStyle w:val="EndnoteText"/>
        <w:tabs>
          <w:tab w:val="left" w:pos="720"/>
          <w:tab w:val="left" w:pos="1440"/>
          <w:tab w:val="right" w:leader="dot" w:pos="8820"/>
        </w:tabs>
        <w:rPr>
          <w:rFonts w:ascii="Times New Roman" w:hAnsi="Times New Roman" w:cs="Times New Roman"/>
          <w:sz w:val="24"/>
          <w:szCs w:val="24"/>
        </w:rPr>
      </w:pPr>
      <w:r>
        <w:rPr>
          <w:rFonts w:ascii="Times New Roman" w:hAnsi="Times New Roman" w:cs="Times New Roman"/>
          <w:sz w:val="24"/>
          <w:szCs w:val="24"/>
        </w:rPr>
        <w:t xml:space="preserve">RCW 80.28.010(2) </w:t>
      </w:r>
      <w:r>
        <w:rPr>
          <w:rFonts w:ascii="Times New Roman" w:hAnsi="Times New Roman" w:cs="Times New Roman"/>
          <w:sz w:val="24"/>
          <w:szCs w:val="24"/>
        </w:rPr>
        <w:tab/>
      </w:r>
      <w:r w:rsidR="00F543B1">
        <w:rPr>
          <w:rFonts w:ascii="Times New Roman" w:hAnsi="Times New Roman" w:cs="Times New Roman"/>
          <w:sz w:val="24"/>
          <w:szCs w:val="24"/>
        </w:rPr>
        <w:t>19</w:t>
      </w:r>
    </w:p>
    <w:p w:rsidR="00E445D6" w:rsidRDefault="00E445D6" w:rsidP="00E445D6">
      <w:pPr>
        <w:pStyle w:val="EndnoteText"/>
        <w:tabs>
          <w:tab w:val="left" w:pos="720"/>
          <w:tab w:val="left" w:pos="1440"/>
          <w:tab w:val="left" w:pos="2160"/>
          <w:tab w:val="right" w:leader="dot" w:pos="8820"/>
        </w:tabs>
        <w:rPr>
          <w:rFonts w:ascii="Times New Roman" w:hAnsi="Times New Roman" w:cs="Times New Roman"/>
          <w:sz w:val="24"/>
          <w:szCs w:val="24"/>
        </w:rPr>
      </w:pPr>
    </w:p>
    <w:p w:rsidR="00E445D6" w:rsidRDefault="00E445D6" w:rsidP="00E445D6">
      <w:pPr>
        <w:tabs>
          <w:tab w:val="left" w:pos="720"/>
          <w:tab w:val="left" w:pos="1440"/>
          <w:tab w:val="right" w:leader="dot" w:pos="88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RCW 80.28.022 </w:t>
      </w:r>
      <w:r>
        <w:rPr>
          <w:rFonts w:ascii="Times New Roman" w:hAnsi="Times New Roman" w:cs="Times New Roman"/>
          <w:sz w:val="24"/>
          <w:szCs w:val="24"/>
        </w:rPr>
        <w:tab/>
      </w:r>
      <w:r w:rsidR="00207738">
        <w:rPr>
          <w:rFonts w:ascii="Times New Roman" w:hAnsi="Times New Roman" w:cs="Times New Roman"/>
          <w:sz w:val="24"/>
          <w:szCs w:val="24"/>
        </w:rPr>
        <w:t>3</w:t>
      </w:r>
    </w:p>
    <w:p w:rsidR="00E36132" w:rsidRDefault="00E36132" w:rsidP="00E445D6">
      <w:pPr>
        <w:tabs>
          <w:tab w:val="left" w:pos="720"/>
          <w:tab w:val="left" w:pos="1440"/>
          <w:tab w:val="right" w:leader="dot" w:pos="8820"/>
        </w:tabs>
        <w:spacing w:after="0" w:line="240" w:lineRule="auto"/>
        <w:rPr>
          <w:rFonts w:ascii="Times New Roman" w:hAnsi="Times New Roman" w:cs="Times New Roman"/>
          <w:sz w:val="24"/>
          <w:szCs w:val="24"/>
        </w:rPr>
      </w:pPr>
    </w:p>
    <w:p w:rsidR="00E36132" w:rsidRPr="00F46690" w:rsidRDefault="00E36132" w:rsidP="00E445D6">
      <w:pPr>
        <w:tabs>
          <w:tab w:val="left" w:pos="720"/>
          <w:tab w:val="left" w:pos="1440"/>
          <w:tab w:val="right" w:leader="dot" w:pos="8820"/>
        </w:tabs>
        <w:spacing w:after="0" w:line="240" w:lineRule="auto"/>
        <w:rPr>
          <w:rFonts w:ascii="Times New Roman" w:hAnsi="Times New Roman" w:cs="Times New Roman"/>
          <w:sz w:val="24"/>
          <w:szCs w:val="24"/>
        </w:rPr>
      </w:pPr>
      <w:r>
        <w:rPr>
          <w:rFonts w:ascii="Times New Roman" w:hAnsi="Times New Roman" w:cs="Times New Roman"/>
          <w:sz w:val="24"/>
          <w:szCs w:val="24"/>
        </w:rPr>
        <w:t>WAC 480-07-505(2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w:t>
      </w:r>
      <w:r>
        <w:rPr>
          <w:rFonts w:ascii="Times New Roman" w:hAnsi="Times New Roman" w:cs="Times New Roman"/>
          <w:sz w:val="24"/>
          <w:szCs w:val="24"/>
        </w:rPr>
        <w:tab/>
        <w:t>8</w:t>
      </w:r>
    </w:p>
    <w:p w:rsidR="00E445D6" w:rsidRDefault="00E445D6" w:rsidP="00E445D6">
      <w:pPr>
        <w:pStyle w:val="EndnoteText"/>
        <w:tabs>
          <w:tab w:val="left" w:pos="720"/>
          <w:tab w:val="left" w:pos="1440"/>
          <w:tab w:val="left" w:pos="2160"/>
          <w:tab w:val="right" w:leader="dot" w:pos="8820"/>
        </w:tabs>
        <w:rPr>
          <w:rFonts w:ascii="Times New Roman" w:hAnsi="Times New Roman" w:cs="Times New Roman"/>
          <w:sz w:val="24"/>
          <w:szCs w:val="24"/>
        </w:rPr>
      </w:pPr>
    </w:p>
    <w:p w:rsidR="00E445D6" w:rsidRPr="00F46690" w:rsidRDefault="00E445D6" w:rsidP="00E445D6">
      <w:pPr>
        <w:tabs>
          <w:tab w:val="left" w:pos="720"/>
          <w:tab w:val="left" w:pos="1440"/>
          <w:tab w:val="right" w:leader="dot" w:pos="8820"/>
        </w:tabs>
        <w:spacing w:after="0" w:line="240" w:lineRule="exact"/>
        <w:rPr>
          <w:rFonts w:ascii="Times New Roman" w:hAnsi="Times New Roman" w:cs="Times New Roman"/>
          <w:sz w:val="24"/>
          <w:szCs w:val="24"/>
        </w:rPr>
      </w:pPr>
    </w:p>
    <w:p w:rsidR="00E445D6" w:rsidRPr="00F46690" w:rsidRDefault="00E445D6" w:rsidP="00E445D6">
      <w:pPr>
        <w:tabs>
          <w:tab w:val="left" w:pos="720"/>
          <w:tab w:val="left" w:pos="1440"/>
          <w:tab w:val="left" w:pos="2160"/>
          <w:tab w:val="right" w:leader="dot" w:pos="8820"/>
        </w:tabs>
        <w:spacing w:after="0" w:line="240" w:lineRule="exact"/>
        <w:jc w:val="center"/>
        <w:rPr>
          <w:rFonts w:ascii="Times New Roman" w:hAnsi="Times New Roman" w:cs="Times New Roman"/>
          <w:b/>
          <w:sz w:val="24"/>
          <w:szCs w:val="24"/>
        </w:rPr>
      </w:pPr>
      <w:r w:rsidRPr="00F46690">
        <w:rPr>
          <w:rFonts w:ascii="Times New Roman" w:hAnsi="Times New Roman" w:cs="Times New Roman"/>
          <w:b/>
          <w:i/>
          <w:sz w:val="24"/>
          <w:szCs w:val="24"/>
        </w:rPr>
        <w:t>Other Authorities</w:t>
      </w:r>
    </w:p>
    <w:p w:rsidR="00E445D6" w:rsidRPr="00F46690" w:rsidRDefault="00E445D6" w:rsidP="00E445D6">
      <w:pPr>
        <w:tabs>
          <w:tab w:val="left" w:pos="720"/>
          <w:tab w:val="left" w:pos="1440"/>
          <w:tab w:val="left" w:pos="2160"/>
          <w:tab w:val="right" w:leader="dot" w:pos="8820"/>
          <w:tab w:val="right" w:leader="dot" w:pos="8910"/>
        </w:tabs>
        <w:spacing w:after="0" w:line="240" w:lineRule="auto"/>
        <w:rPr>
          <w:rFonts w:ascii="Times New Roman" w:eastAsia="Times New Roman" w:hAnsi="Times New Roman" w:cs="Times New Roman"/>
          <w:bCs/>
          <w:sz w:val="24"/>
          <w:szCs w:val="24"/>
        </w:rPr>
      </w:pPr>
    </w:p>
    <w:p w:rsidR="00E445D6" w:rsidRPr="00F46690" w:rsidRDefault="00E445D6" w:rsidP="00E445D6">
      <w:pPr>
        <w:tabs>
          <w:tab w:val="left" w:pos="720"/>
          <w:tab w:val="left" w:pos="1440"/>
          <w:tab w:val="left" w:pos="2160"/>
          <w:tab w:val="right" w:leader="dot" w:pos="8820"/>
          <w:tab w:val="right" w:leader="dot" w:pos="8910"/>
        </w:tabs>
        <w:spacing w:after="0" w:line="240" w:lineRule="auto"/>
        <w:rPr>
          <w:rFonts w:ascii="Times New Roman" w:eastAsia="Times New Roman" w:hAnsi="Times New Roman" w:cs="Times New Roman"/>
          <w:bCs/>
          <w:sz w:val="24"/>
          <w:szCs w:val="24"/>
        </w:rPr>
      </w:pPr>
      <w:r w:rsidRPr="00F46690">
        <w:rPr>
          <w:rFonts w:ascii="Times New Roman" w:eastAsia="Times New Roman" w:hAnsi="Times New Roman" w:cs="Times New Roman"/>
          <w:bCs/>
          <w:sz w:val="24"/>
          <w:szCs w:val="24"/>
        </w:rPr>
        <w:t xml:space="preserve">Leonard Saul Goodman, </w:t>
      </w:r>
    </w:p>
    <w:p w:rsidR="00E445D6" w:rsidRPr="00F46690" w:rsidRDefault="00E445D6" w:rsidP="00E445D6">
      <w:pPr>
        <w:tabs>
          <w:tab w:val="left" w:pos="720"/>
          <w:tab w:val="left" w:pos="1440"/>
          <w:tab w:val="left" w:pos="2160"/>
          <w:tab w:val="right" w:leader="dot" w:pos="8820"/>
        </w:tabs>
        <w:spacing w:after="0" w:line="240" w:lineRule="auto"/>
        <w:rPr>
          <w:rFonts w:ascii="Times New Roman" w:eastAsia="Times New Roman" w:hAnsi="Times New Roman" w:cs="Times New Roman"/>
          <w:bCs/>
          <w:sz w:val="24"/>
          <w:szCs w:val="24"/>
        </w:rPr>
      </w:pPr>
      <w:r w:rsidRPr="00F46690">
        <w:rPr>
          <w:rFonts w:ascii="Times New Roman" w:eastAsia="Times New Roman" w:hAnsi="Times New Roman" w:cs="Times New Roman"/>
          <w:bCs/>
          <w:sz w:val="24"/>
          <w:szCs w:val="24"/>
        </w:rPr>
        <w:tab/>
      </w:r>
      <w:r w:rsidRPr="00F46690">
        <w:rPr>
          <w:rFonts w:ascii="Times New Roman" w:eastAsia="Times New Roman" w:hAnsi="Times New Roman" w:cs="Times New Roman"/>
          <w:bCs/>
          <w:i/>
          <w:sz w:val="24"/>
          <w:szCs w:val="24"/>
        </w:rPr>
        <w:t xml:space="preserve">The Process of Ratemaking </w:t>
      </w:r>
      <w:r>
        <w:rPr>
          <w:rFonts w:ascii="Times New Roman" w:eastAsia="Times New Roman" w:hAnsi="Times New Roman" w:cs="Times New Roman"/>
          <w:bCs/>
          <w:sz w:val="24"/>
          <w:szCs w:val="24"/>
        </w:rPr>
        <w:t xml:space="preserve">(1998) </w:t>
      </w:r>
      <w:r>
        <w:rPr>
          <w:rFonts w:ascii="Times New Roman" w:eastAsia="Times New Roman" w:hAnsi="Times New Roman" w:cs="Times New Roman"/>
          <w:bCs/>
          <w:sz w:val="24"/>
          <w:szCs w:val="24"/>
        </w:rPr>
        <w:tab/>
      </w:r>
      <w:r w:rsidR="00207738">
        <w:rPr>
          <w:rFonts w:ascii="Times New Roman" w:eastAsia="Times New Roman" w:hAnsi="Times New Roman" w:cs="Times New Roman"/>
          <w:bCs/>
          <w:sz w:val="24"/>
          <w:szCs w:val="24"/>
        </w:rPr>
        <w:t>3</w:t>
      </w:r>
    </w:p>
    <w:p w:rsidR="00E445D6" w:rsidRPr="00F46690" w:rsidRDefault="00E445D6" w:rsidP="00E445D6">
      <w:pPr>
        <w:pStyle w:val="EndnoteText"/>
        <w:rPr>
          <w:rFonts w:ascii="Times New Roman" w:hAnsi="Times New Roman" w:cs="Times New Roman"/>
          <w:sz w:val="24"/>
          <w:szCs w:val="24"/>
        </w:rPr>
      </w:pP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BC0007" w:rsidRPr="00BC0007" w:rsidRDefault="00BC0007" w:rsidP="00BC0007">
      <w:pPr>
        <w:tabs>
          <w:tab w:val="left" w:pos="720"/>
          <w:tab w:val="left" w:pos="1440"/>
          <w:tab w:val="left" w:pos="2160"/>
          <w:tab w:val="right" w:leader="dot" w:pos="8820"/>
        </w:tabs>
        <w:spacing w:after="0" w:line="240" w:lineRule="auto"/>
        <w:rPr>
          <w:rFonts w:ascii="Times New Roman" w:hAnsi="Times New Roman" w:cs="Times New Roman"/>
          <w:sz w:val="24"/>
          <w:szCs w:val="24"/>
        </w:rPr>
      </w:pPr>
    </w:p>
    <w:p w:rsidR="00557D2B" w:rsidRDefault="00557D2B" w:rsidP="00CF66EE">
      <w:pPr>
        <w:rPr>
          <w:rFonts w:ascii="Times New Roman" w:hAnsi="Times New Roman" w:cs="Times New Roman"/>
          <w:b/>
          <w:sz w:val="24"/>
          <w:szCs w:val="24"/>
        </w:rPr>
      </w:pPr>
    </w:p>
    <w:p w:rsidR="00557D2B" w:rsidRDefault="00557D2B" w:rsidP="00E81AAC">
      <w:pPr>
        <w:jc w:val="center"/>
        <w:rPr>
          <w:rFonts w:ascii="Times New Roman" w:hAnsi="Times New Roman" w:cs="Times New Roman"/>
          <w:b/>
          <w:sz w:val="24"/>
          <w:szCs w:val="24"/>
        </w:rPr>
        <w:sectPr w:rsidR="00557D2B" w:rsidSect="00557D2B">
          <w:footerReference w:type="default" r:id="rId11"/>
          <w:pgSz w:w="12240" w:h="15840"/>
          <w:pgMar w:top="1440" w:right="1440" w:bottom="1440" w:left="1872" w:header="720" w:footer="720" w:gutter="0"/>
          <w:pgNumType w:fmt="lowerRoman" w:start="1"/>
          <w:cols w:space="720"/>
          <w:docGrid w:linePitch="360"/>
        </w:sectPr>
      </w:pPr>
    </w:p>
    <w:p w:rsidR="00BE628D" w:rsidRDefault="00BE628D" w:rsidP="00E81AAC">
      <w:pPr>
        <w:jc w:val="center"/>
        <w:rPr>
          <w:rFonts w:ascii="Times New Roman" w:hAnsi="Times New Roman" w:cs="Times New Roman"/>
          <w:b/>
          <w:sz w:val="24"/>
          <w:szCs w:val="24"/>
        </w:rPr>
      </w:pPr>
      <w:r>
        <w:rPr>
          <w:rFonts w:ascii="Times New Roman" w:hAnsi="Times New Roman" w:cs="Times New Roman"/>
          <w:b/>
          <w:sz w:val="24"/>
          <w:szCs w:val="24"/>
        </w:rPr>
        <w:lastRenderedPageBreak/>
        <w:t>I.</w:t>
      </w:r>
      <w:r>
        <w:rPr>
          <w:rFonts w:ascii="Times New Roman" w:hAnsi="Times New Roman" w:cs="Times New Roman"/>
          <w:b/>
          <w:sz w:val="24"/>
          <w:szCs w:val="24"/>
        </w:rPr>
        <w:tab/>
        <w:t>INTRODUCTION</w:t>
      </w:r>
    </w:p>
    <w:p w:rsidR="0031776A" w:rsidRPr="00557D2B" w:rsidRDefault="00557D2B" w:rsidP="00557D2B">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E628D" w:rsidRPr="00557D2B">
        <w:rPr>
          <w:rFonts w:ascii="Times New Roman" w:hAnsi="Times New Roman" w:cs="Times New Roman"/>
          <w:sz w:val="24"/>
          <w:szCs w:val="24"/>
        </w:rPr>
        <w:t xml:space="preserve">On April 26, 2011, Puget Sound Energy, Inc. (“PSE” or the “Company”) filed </w:t>
      </w:r>
      <w:r w:rsidR="003F2BC1" w:rsidRPr="00557D2B">
        <w:rPr>
          <w:rFonts w:ascii="Times New Roman" w:hAnsi="Times New Roman" w:cs="Times New Roman"/>
          <w:sz w:val="24"/>
          <w:szCs w:val="24"/>
        </w:rPr>
        <w:t xml:space="preserve">Schedule 134 </w:t>
      </w:r>
      <w:r w:rsidR="0030359C" w:rsidRPr="00557D2B">
        <w:rPr>
          <w:rFonts w:ascii="Times New Roman" w:hAnsi="Times New Roman" w:cs="Times New Roman"/>
          <w:sz w:val="24"/>
          <w:szCs w:val="24"/>
        </w:rPr>
        <w:t>with the Washington Utilities and Transportation Commission (“Commission”)</w:t>
      </w:r>
      <w:r w:rsidR="003F2BC1" w:rsidRPr="00557D2B">
        <w:rPr>
          <w:rFonts w:ascii="Times New Roman" w:hAnsi="Times New Roman" w:cs="Times New Roman"/>
          <w:sz w:val="24"/>
          <w:szCs w:val="24"/>
        </w:rPr>
        <w:t xml:space="preserve">.  </w:t>
      </w:r>
      <w:r w:rsidR="0031776A" w:rsidRPr="00557D2B">
        <w:rPr>
          <w:rFonts w:ascii="Times New Roman" w:hAnsi="Times New Roman" w:cs="Times New Roman"/>
          <w:sz w:val="24"/>
          <w:szCs w:val="24"/>
        </w:rPr>
        <w:t xml:space="preserve">Schedule 134 is a new surcharge dedicated to </w:t>
      </w:r>
      <w:r w:rsidR="00BD40A7" w:rsidRPr="00557D2B">
        <w:rPr>
          <w:rFonts w:ascii="Times New Roman" w:hAnsi="Times New Roman" w:cs="Times New Roman"/>
          <w:sz w:val="24"/>
          <w:szCs w:val="24"/>
        </w:rPr>
        <w:t xml:space="preserve">accelerated recovery of </w:t>
      </w:r>
      <w:r w:rsidR="00BF4386" w:rsidRPr="00557D2B">
        <w:rPr>
          <w:rFonts w:ascii="Times New Roman" w:hAnsi="Times New Roman" w:cs="Times New Roman"/>
          <w:sz w:val="24"/>
          <w:szCs w:val="24"/>
        </w:rPr>
        <w:t xml:space="preserve">Company investments to </w:t>
      </w:r>
      <w:r w:rsidR="0031776A" w:rsidRPr="00557D2B">
        <w:rPr>
          <w:rFonts w:ascii="Times New Roman" w:hAnsi="Times New Roman" w:cs="Times New Roman"/>
          <w:sz w:val="24"/>
          <w:szCs w:val="24"/>
        </w:rPr>
        <w:t xml:space="preserve">replace three types of natural gas pipe:  wrapped steel services, wrapped steel mains and older Polyethylene Pipe (“Older PE”).  </w:t>
      </w:r>
      <w:r w:rsidR="00CA3601" w:rsidRPr="00557D2B">
        <w:rPr>
          <w:rFonts w:ascii="Times New Roman" w:hAnsi="Times New Roman" w:cs="Times New Roman"/>
          <w:sz w:val="24"/>
          <w:szCs w:val="24"/>
        </w:rPr>
        <w:t xml:space="preserve">PSE </w:t>
      </w:r>
      <w:r w:rsidR="00170EAE">
        <w:rPr>
          <w:rFonts w:ascii="Times New Roman" w:hAnsi="Times New Roman" w:cs="Times New Roman"/>
          <w:sz w:val="24"/>
          <w:szCs w:val="24"/>
        </w:rPr>
        <w:t>asserts that the surcharge will</w:t>
      </w:r>
      <w:r w:rsidR="00750D67">
        <w:rPr>
          <w:rFonts w:ascii="Times New Roman" w:hAnsi="Times New Roman" w:cs="Times New Roman"/>
          <w:sz w:val="24"/>
          <w:szCs w:val="24"/>
        </w:rPr>
        <w:t xml:space="preserve"> </w:t>
      </w:r>
      <w:r w:rsidR="00CA3601" w:rsidRPr="00557D2B">
        <w:rPr>
          <w:rFonts w:ascii="Times New Roman" w:hAnsi="Times New Roman" w:cs="Times New Roman"/>
          <w:sz w:val="24"/>
          <w:szCs w:val="24"/>
        </w:rPr>
        <w:t>enhance the safety and reliabil</w:t>
      </w:r>
      <w:r w:rsidR="00C92A3F">
        <w:rPr>
          <w:rFonts w:ascii="Times New Roman" w:hAnsi="Times New Roman" w:cs="Times New Roman"/>
          <w:sz w:val="24"/>
          <w:szCs w:val="24"/>
        </w:rPr>
        <w:t xml:space="preserve">ity of its natural gas </w:t>
      </w:r>
      <w:r w:rsidR="00514B70" w:rsidRPr="00557D2B">
        <w:rPr>
          <w:rFonts w:ascii="Times New Roman" w:hAnsi="Times New Roman" w:cs="Times New Roman"/>
          <w:sz w:val="24"/>
          <w:szCs w:val="24"/>
        </w:rPr>
        <w:t xml:space="preserve">delivery </w:t>
      </w:r>
      <w:r w:rsidR="00CA3601" w:rsidRPr="00557D2B">
        <w:rPr>
          <w:rFonts w:ascii="Times New Roman" w:hAnsi="Times New Roman" w:cs="Times New Roman"/>
          <w:sz w:val="24"/>
          <w:szCs w:val="24"/>
        </w:rPr>
        <w:t>system by allowing a more proactive approach to pipeline integrity management.</w:t>
      </w:r>
      <w:r w:rsidR="00170EAE">
        <w:rPr>
          <w:rStyle w:val="FootnoteReference"/>
          <w:rFonts w:ascii="Times New Roman" w:hAnsi="Times New Roman" w:cs="Times New Roman"/>
          <w:sz w:val="24"/>
          <w:szCs w:val="24"/>
        </w:rPr>
        <w:footnoteReference w:id="1"/>
      </w:r>
      <w:r w:rsidR="00CA3601" w:rsidRPr="00557D2B">
        <w:rPr>
          <w:rFonts w:ascii="Times New Roman" w:hAnsi="Times New Roman" w:cs="Times New Roman"/>
          <w:sz w:val="24"/>
          <w:szCs w:val="24"/>
        </w:rPr>
        <w:t xml:space="preserve">  </w:t>
      </w:r>
      <w:r w:rsidR="0031776A" w:rsidRPr="00557D2B">
        <w:rPr>
          <w:rFonts w:ascii="Times New Roman" w:hAnsi="Times New Roman" w:cs="Times New Roman"/>
          <w:sz w:val="24"/>
          <w:szCs w:val="24"/>
        </w:rPr>
        <w:t xml:space="preserve">The Commission suspended the tariff on July 15, 2011.  </w:t>
      </w:r>
    </w:p>
    <w:p w:rsidR="00CA3601" w:rsidRDefault="00557D2B" w:rsidP="00557D2B">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17CE">
        <w:rPr>
          <w:rFonts w:ascii="Times New Roman" w:hAnsi="Times New Roman" w:cs="Times New Roman"/>
          <w:sz w:val="24"/>
          <w:szCs w:val="24"/>
        </w:rPr>
        <w:t xml:space="preserve">Commission Staff is well aware </w:t>
      </w:r>
      <w:r w:rsidR="00EC1DD8">
        <w:rPr>
          <w:rFonts w:ascii="Times New Roman" w:hAnsi="Times New Roman" w:cs="Times New Roman"/>
          <w:sz w:val="24"/>
          <w:szCs w:val="24"/>
        </w:rPr>
        <w:t xml:space="preserve">that the Company’s provision of </w:t>
      </w:r>
      <w:r w:rsidR="00CD17CE">
        <w:rPr>
          <w:rFonts w:ascii="Times New Roman" w:hAnsi="Times New Roman" w:cs="Times New Roman"/>
          <w:sz w:val="24"/>
          <w:szCs w:val="24"/>
        </w:rPr>
        <w:t>safe and reliable natural gas service</w:t>
      </w:r>
      <w:r w:rsidR="00EC1DD8">
        <w:rPr>
          <w:rFonts w:ascii="Times New Roman" w:hAnsi="Times New Roman" w:cs="Times New Roman"/>
          <w:sz w:val="24"/>
          <w:szCs w:val="24"/>
        </w:rPr>
        <w:t xml:space="preserve"> is of critical importance to the public interest</w:t>
      </w:r>
      <w:r w:rsidR="00CD17CE">
        <w:rPr>
          <w:rFonts w:ascii="Times New Roman" w:hAnsi="Times New Roman" w:cs="Times New Roman"/>
          <w:sz w:val="24"/>
          <w:szCs w:val="24"/>
        </w:rPr>
        <w:t xml:space="preserve">.  </w:t>
      </w:r>
      <w:r w:rsidR="00EC1DD8">
        <w:rPr>
          <w:rFonts w:ascii="Times New Roman" w:hAnsi="Times New Roman" w:cs="Times New Roman"/>
          <w:sz w:val="24"/>
          <w:szCs w:val="24"/>
        </w:rPr>
        <w:t>The Commission’s Pipeline Safety Staff is dedicated to that endeavor throug</w:t>
      </w:r>
      <w:r w:rsidR="000B4D8E">
        <w:rPr>
          <w:rFonts w:ascii="Times New Roman" w:hAnsi="Times New Roman" w:cs="Times New Roman"/>
          <w:sz w:val="24"/>
          <w:szCs w:val="24"/>
        </w:rPr>
        <w:t xml:space="preserve">h its enforcement of </w:t>
      </w:r>
      <w:r w:rsidR="00EC1DD8">
        <w:rPr>
          <w:rFonts w:ascii="Times New Roman" w:hAnsi="Times New Roman" w:cs="Times New Roman"/>
          <w:sz w:val="24"/>
          <w:szCs w:val="24"/>
        </w:rPr>
        <w:t xml:space="preserve">state and federal pipeline safety </w:t>
      </w:r>
      <w:r w:rsidR="000B4D8E">
        <w:rPr>
          <w:rFonts w:ascii="Times New Roman" w:hAnsi="Times New Roman" w:cs="Times New Roman"/>
          <w:sz w:val="24"/>
          <w:szCs w:val="24"/>
        </w:rPr>
        <w:t xml:space="preserve">laws and </w:t>
      </w:r>
      <w:r w:rsidR="00EC1DD8">
        <w:rPr>
          <w:rFonts w:ascii="Times New Roman" w:hAnsi="Times New Roman" w:cs="Times New Roman"/>
          <w:sz w:val="24"/>
          <w:szCs w:val="24"/>
        </w:rPr>
        <w:t>rules.  The Commission</w:t>
      </w:r>
      <w:r w:rsidR="00750D67">
        <w:rPr>
          <w:rFonts w:ascii="Times New Roman" w:hAnsi="Times New Roman" w:cs="Times New Roman"/>
          <w:sz w:val="24"/>
          <w:szCs w:val="24"/>
        </w:rPr>
        <w:t>’s</w:t>
      </w:r>
      <w:r w:rsidR="00EC1DD8">
        <w:rPr>
          <w:rFonts w:ascii="Times New Roman" w:hAnsi="Times New Roman" w:cs="Times New Roman"/>
          <w:sz w:val="24"/>
          <w:szCs w:val="24"/>
        </w:rPr>
        <w:t xml:space="preserve"> Regulatory Services Staff is similarly committed through the rate setting process </w:t>
      </w:r>
      <w:r w:rsidR="00750D67">
        <w:rPr>
          <w:rFonts w:ascii="Times New Roman" w:hAnsi="Times New Roman" w:cs="Times New Roman"/>
          <w:sz w:val="24"/>
          <w:szCs w:val="24"/>
        </w:rPr>
        <w:t>so that PSE receives</w:t>
      </w:r>
      <w:r w:rsidR="00CA3601">
        <w:rPr>
          <w:rFonts w:ascii="Times New Roman" w:hAnsi="Times New Roman" w:cs="Times New Roman"/>
          <w:sz w:val="24"/>
          <w:szCs w:val="24"/>
        </w:rPr>
        <w:t xml:space="preserve"> sufficient revenues to fulfill its public safety obligations.</w:t>
      </w:r>
    </w:p>
    <w:p w:rsidR="00BF4386" w:rsidRPr="00557D2B" w:rsidRDefault="00557D2B" w:rsidP="00557D2B">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17CE" w:rsidRPr="00557D2B">
        <w:rPr>
          <w:rFonts w:ascii="Times New Roman" w:hAnsi="Times New Roman" w:cs="Times New Roman"/>
          <w:sz w:val="24"/>
          <w:szCs w:val="24"/>
        </w:rPr>
        <w:t>However, the proposed surcharge is flawed in several respects that warrant its rejection by the Commission.</w:t>
      </w:r>
      <w:r w:rsidR="00BF4386" w:rsidRPr="00557D2B">
        <w:rPr>
          <w:rFonts w:ascii="Times New Roman" w:hAnsi="Times New Roman" w:cs="Times New Roman"/>
          <w:sz w:val="24"/>
          <w:szCs w:val="24"/>
        </w:rPr>
        <w:t xml:space="preserve">  </w:t>
      </w:r>
      <w:r w:rsidR="00BD40A7" w:rsidRPr="00557D2B">
        <w:rPr>
          <w:rFonts w:ascii="Times New Roman" w:hAnsi="Times New Roman" w:cs="Times New Roman"/>
          <w:sz w:val="24"/>
          <w:szCs w:val="24"/>
        </w:rPr>
        <w:t xml:space="preserve">First, the </w:t>
      </w:r>
      <w:r w:rsidR="00A60E10" w:rsidRPr="00557D2B">
        <w:rPr>
          <w:rFonts w:ascii="Times New Roman" w:hAnsi="Times New Roman" w:cs="Times New Roman"/>
          <w:sz w:val="24"/>
          <w:szCs w:val="24"/>
        </w:rPr>
        <w:t xml:space="preserve">new </w:t>
      </w:r>
      <w:r w:rsidR="00BD40A7" w:rsidRPr="00557D2B">
        <w:rPr>
          <w:rFonts w:ascii="Times New Roman" w:hAnsi="Times New Roman" w:cs="Times New Roman"/>
          <w:sz w:val="24"/>
          <w:szCs w:val="24"/>
        </w:rPr>
        <w:t xml:space="preserve">surcharge will </w:t>
      </w:r>
      <w:r w:rsidR="00A60E10" w:rsidRPr="00557D2B">
        <w:rPr>
          <w:rFonts w:ascii="Times New Roman" w:hAnsi="Times New Roman" w:cs="Times New Roman"/>
          <w:sz w:val="24"/>
          <w:szCs w:val="24"/>
        </w:rPr>
        <w:t xml:space="preserve">require ratepayers to prepay </w:t>
      </w:r>
      <w:r w:rsidR="00BF4386" w:rsidRPr="00557D2B">
        <w:rPr>
          <w:rFonts w:ascii="Times New Roman" w:hAnsi="Times New Roman" w:cs="Times New Roman"/>
          <w:sz w:val="24"/>
          <w:szCs w:val="24"/>
        </w:rPr>
        <w:t xml:space="preserve">the costs of pipeline infrastructure that is not used and useful to provide </w:t>
      </w:r>
      <w:r w:rsidR="00A60E10" w:rsidRPr="00557D2B">
        <w:rPr>
          <w:rFonts w:ascii="Times New Roman" w:hAnsi="Times New Roman" w:cs="Times New Roman"/>
          <w:sz w:val="24"/>
          <w:szCs w:val="24"/>
        </w:rPr>
        <w:t>them service</w:t>
      </w:r>
      <w:r w:rsidR="00BF4386" w:rsidRPr="00557D2B">
        <w:rPr>
          <w:rFonts w:ascii="Times New Roman" w:hAnsi="Times New Roman" w:cs="Times New Roman"/>
          <w:sz w:val="24"/>
          <w:szCs w:val="24"/>
        </w:rPr>
        <w:t>, in violation of RCW 80.04.250.</w:t>
      </w:r>
    </w:p>
    <w:p w:rsidR="00245B57" w:rsidRPr="00557D2B" w:rsidRDefault="00557D2B" w:rsidP="00557D2B">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A3601" w:rsidRPr="00557D2B">
        <w:rPr>
          <w:rFonts w:ascii="Times New Roman" w:hAnsi="Times New Roman" w:cs="Times New Roman"/>
          <w:sz w:val="24"/>
          <w:szCs w:val="24"/>
        </w:rPr>
        <w:t>Second, e</w:t>
      </w:r>
      <w:r w:rsidR="00BF4386" w:rsidRPr="00557D2B">
        <w:rPr>
          <w:rFonts w:ascii="Times New Roman" w:hAnsi="Times New Roman" w:cs="Times New Roman"/>
          <w:sz w:val="24"/>
          <w:szCs w:val="24"/>
        </w:rPr>
        <w:t xml:space="preserve">ven if the Commission </w:t>
      </w:r>
      <w:r w:rsidR="00170EAE">
        <w:rPr>
          <w:rFonts w:ascii="Times New Roman" w:hAnsi="Times New Roman" w:cs="Times New Roman"/>
          <w:sz w:val="24"/>
          <w:szCs w:val="24"/>
        </w:rPr>
        <w:t xml:space="preserve">were not to reject the new </w:t>
      </w:r>
      <w:r w:rsidR="00BF4386" w:rsidRPr="00557D2B">
        <w:rPr>
          <w:rFonts w:ascii="Times New Roman" w:hAnsi="Times New Roman" w:cs="Times New Roman"/>
          <w:sz w:val="24"/>
          <w:szCs w:val="24"/>
        </w:rPr>
        <w:t xml:space="preserve">surcharge as a matter of law, the surcharge </w:t>
      </w:r>
      <w:r w:rsidR="00555661" w:rsidRPr="00557D2B">
        <w:rPr>
          <w:rFonts w:ascii="Times New Roman" w:hAnsi="Times New Roman" w:cs="Times New Roman"/>
          <w:sz w:val="24"/>
          <w:szCs w:val="24"/>
        </w:rPr>
        <w:t>shou</w:t>
      </w:r>
      <w:r w:rsidR="00D303E4" w:rsidRPr="00557D2B">
        <w:rPr>
          <w:rFonts w:ascii="Times New Roman" w:hAnsi="Times New Roman" w:cs="Times New Roman"/>
          <w:sz w:val="24"/>
          <w:szCs w:val="24"/>
        </w:rPr>
        <w:t xml:space="preserve">ld still be rejected because the Company’s </w:t>
      </w:r>
      <w:r w:rsidR="00BF4386" w:rsidRPr="00557D2B">
        <w:rPr>
          <w:rFonts w:ascii="Times New Roman" w:hAnsi="Times New Roman" w:cs="Times New Roman"/>
          <w:sz w:val="24"/>
          <w:szCs w:val="24"/>
        </w:rPr>
        <w:t>natural gas pipeline system is already safe and reliable</w:t>
      </w:r>
      <w:r w:rsidR="009B6995">
        <w:rPr>
          <w:rFonts w:ascii="Times New Roman" w:hAnsi="Times New Roman" w:cs="Times New Roman"/>
          <w:sz w:val="24"/>
          <w:szCs w:val="24"/>
        </w:rPr>
        <w:t>,</w:t>
      </w:r>
      <w:r w:rsidR="00BF4386" w:rsidRPr="00557D2B">
        <w:rPr>
          <w:rFonts w:ascii="Times New Roman" w:hAnsi="Times New Roman" w:cs="Times New Roman"/>
          <w:sz w:val="24"/>
          <w:szCs w:val="24"/>
        </w:rPr>
        <w:t xml:space="preserve"> and the Company </w:t>
      </w:r>
      <w:r w:rsidR="00EA71A1">
        <w:rPr>
          <w:rFonts w:ascii="Times New Roman" w:hAnsi="Times New Roman" w:cs="Times New Roman"/>
          <w:sz w:val="24"/>
          <w:szCs w:val="24"/>
        </w:rPr>
        <w:t xml:space="preserve">states it </w:t>
      </w:r>
      <w:r w:rsidR="00BF4386" w:rsidRPr="00557D2B">
        <w:rPr>
          <w:rFonts w:ascii="Times New Roman" w:hAnsi="Times New Roman" w:cs="Times New Roman"/>
          <w:sz w:val="24"/>
          <w:szCs w:val="24"/>
        </w:rPr>
        <w:t xml:space="preserve">is committed to maintaining </w:t>
      </w:r>
      <w:r w:rsidR="0093242C" w:rsidRPr="00557D2B">
        <w:rPr>
          <w:rFonts w:ascii="Times New Roman" w:hAnsi="Times New Roman" w:cs="Times New Roman"/>
          <w:sz w:val="24"/>
          <w:szCs w:val="24"/>
        </w:rPr>
        <w:t xml:space="preserve">a safe and reliable </w:t>
      </w:r>
      <w:r w:rsidR="00245B57" w:rsidRPr="00557D2B">
        <w:rPr>
          <w:rFonts w:ascii="Times New Roman" w:hAnsi="Times New Roman" w:cs="Times New Roman"/>
          <w:sz w:val="24"/>
          <w:szCs w:val="24"/>
        </w:rPr>
        <w:t xml:space="preserve">pipeline </w:t>
      </w:r>
      <w:r w:rsidR="0093242C" w:rsidRPr="00557D2B">
        <w:rPr>
          <w:rFonts w:ascii="Times New Roman" w:hAnsi="Times New Roman" w:cs="Times New Roman"/>
          <w:sz w:val="24"/>
          <w:szCs w:val="24"/>
        </w:rPr>
        <w:t xml:space="preserve">system </w:t>
      </w:r>
      <w:r w:rsidR="00E46D6E" w:rsidRPr="00557D2B">
        <w:rPr>
          <w:rFonts w:ascii="Times New Roman" w:hAnsi="Times New Roman" w:cs="Times New Roman"/>
          <w:sz w:val="24"/>
          <w:szCs w:val="24"/>
        </w:rPr>
        <w:t xml:space="preserve">even </w:t>
      </w:r>
      <w:r w:rsidR="00BF4386" w:rsidRPr="00557D2B">
        <w:rPr>
          <w:rFonts w:ascii="Times New Roman" w:hAnsi="Times New Roman" w:cs="Times New Roman"/>
          <w:sz w:val="24"/>
          <w:szCs w:val="24"/>
        </w:rPr>
        <w:t xml:space="preserve">without the surcharge.  Indeed, </w:t>
      </w:r>
      <w:r w:rsidR="00170EAE" w:rsidRPr="00557D2B">
        <w:rPr>
          <w:rFonts w:ascii="Times New Roman" w:hAnsi="Times New Roman" w:cs="Times New Roman"/>
          <w:sz w:val="24"/>
          <w:szCs w:val="24"/>
        </w:rPr>
        <w:t xml:space="preserve">as it has done in the </w:t>
      </w:r>
      <w:r w:rsidR="00170EAE" w:rsidRPr="00557D2B">
        <w:rPr>
          <w:rFonts w:ascii="Times New Roman" w:hAnsi="Times New Roman" w:cs="Times New Roman"/>
          <w:sz w:val="24"/>
          <w:szCs w:val="24"/>
        </w:rPr>
        <w:lastRenderedPageBreak/>
        <w:t>past</w:t>
      </w:r>
      <w:r w:rsidR="00170EAE">
        <w:rPr>
          <w:rFonts w:ascii="Times New Roman" w:hAnsi="Times New Roman" w:cs="Times New Roman"/>
          <w:sz w:val="24"/>
          <w:szCs w:val="24"/>
        </w:rPr>
        <w:t>,</w:t>
      </w:r>
      <w:r w:rsidR="00170EAE" w:rsidRPr="00557D2B">
        <w:rPr>
          <w:rFonts w:ascii="Times New Roman" w:hAnsi="Times New Roman" w:cs="Times New Roman"/>
          <w:sz w:val="24"/>
          <w:szCs w:val="24"/>
        </w:rPr>
        <w:t xml:space="preserve"> </w:t>
      </w:r>
      <w:r w:rsidR="00BF4386" w:rsidRPr="00557D2B">
        <w:rPr>
          <w:rFonts w:ascii="Times New Roman" w:hAnsi="Times New Roman" w:cs="Times New Roman"/>
          <w:sz w:val="24"/>
          <w:szCs w:val="24"/>
        </w:rPr>
        <w:t>PSE h</w:t>
      </w:r>
      <w:r w:rsidR="00AB6D0A" w:rsidRPr="00557D2B">
        <w:rPr>
          <w:rFonts w:ascii="Times New Roman" w:hAnsi="Times New Roman" w:cs="Times New Roman"/>
          <w:sz w:val="24"/>
          <w:szCs w:val="24"/>
        </w:rPr>
        <w:t xml:space="preserve">as </w:t>
      </w:r>
      <w:r w:rsidR="00BF4386" w:rsidRPr="00557D2B">
        <w:rPr>
          <w:rFonts w:ascii="Times New Roman" w:hAnsi="Times New Roman" w:cs="Times New Roman"/>
          <w:sz w:val="24"/>
          <w:szCs w:val="24"/>
        </w:rPr>
        <w:t>the financial ability to expand the scope of its pipelin</w:t>
      </w:r>
      <w:r w:rsidR="00AB6D0A" w:rsidRPr="00557D2B">
        <w:rPr>
          <w:rFonts w:ascii="Times New Roman" w:hAnsi="Times New Roman" w:cs="Times New Roman"/>
          <w:sz w:val="24"/>
          <w:szCs w:val="24"/>
        </w:rPr>
        <w:t xml:space="preserve">e integrity efforts </w:t>
      </w:r>
      <w:r w:rsidR="00245B57" w:rsidRPr="00557D2B">
        <w:rPr>
          <w:rFonts w:ascii="Times New Roman" w:hAnsi="Times New Roman" w:cs="Times New Roman"/>
          <w:sz w:val="24"/>
          <w:szCs w:val="24"/>
        </w:rPr>
        <w:t>with</w:t>
      </w:r>
      <w:r w:rsidR="00D303E4" w:rsidRPr="00557D2B">
        <w:rPr>
          <w:rFonts w:ascii="Times New Roman" w:hAnsi="Times New Roman" w:cs="Times New Roman"/>
          <w:sz w:val="24"/>
          <w:szCs w:val="24"/>
        </w:rPr>
        <w:t xml:space="preserve"> </w:t>
      </w:r>
      <w:r w:rsidR="00BF4386" w:rsidRPr="00557D2B">
        <w:rPr>
          <w:rFonts w:ascii="Times New Roman" w:hAnsi="Times New Roman" w:cs="Times New Roman"/>
          <w:sz w:val="24"/>
          <w:szCs w:val="24"/>
        </w:rPr>
        <w:t xml:space="preserve">cost recovery of associated investments accomplished successfully </w:t>
      </w:r>
      <w:r w:rsidR="00245B57" w:rsidRPr="00557D2B">
        <w:rPr>
          <w:rFonts w:ascii="Times New Roman" w:hAnsi="Times New Roman" w:cs="Times New Roman"/>
          <w:sz w:val="24"/>
          <w:szCs w:val="24"/>
        </w:rPr>
        <w:t>through general rate cases.</w:t>
      </w:r>
      <w:r w:rsidR="00BF4386" w:rsidRPr="00557D2B">
        <w:rPr>
          <w:rFonts w:ascii="Times New Roman" w:hAnsi="Times New Roman" w:cs="Times New Roman"/>
          <w:sz w:val="24"/>
          <w:szCs w:val="24"/>
        </w:rPr>
        <w:t xml:space="preserve"> </w:t>
      </w:r>
      <w:r w:rsidR="0093242C" w:rsidRPr="00557D2B">
        <w:rPr>
          <w:rFonts w:ascii="Times New Roman" w:hAnsi="Times New Roman" w:cs="Times New Roman"/>
          <w:sz w:val="24"/>
          <w:szCs w:val="24"/>
        </w:rPr>
        <w:t xml:space="preserve"> </w:t>
      </w:r>
      <w:r w:rsidR="00E46D6E" w:rsidRPr="00557D2B">
        <w:rPr>
          <w:rFonts w:ascii="Times New Roman" w:hAnsi="Times New Roman" w:cs="Times New Roman"/>
          <w:sz w:val="24"/>
          <w:szCs w:val="24"/>
        </w:rPr>
        <w:t>R</w:t>
      </w:r>
      <w:r w:rsidR="00D303E4" w:rsidRPr="00557D2B">
        <w:rPr>
          <w:rFonts w:ascii="Times New Roman" w:hAnsi="Times New Roman" w:cs="Times New Roman"/>
          <w:sz w:val="24"/>
          <w:szCs w:val="24"/>
        </w:rPr>
        <w:t>ecent heightened awareness of pipeline safety issues by other states and the Federal government</w:t>
      </w:r>
      <w:r w:rsidR="0093242C" w:rsidRPr="00557D2B">
        <w:rPr>
          <w:rFonts w:ascii="Times New Roman" w:hAnsi="Times New Roman" w:cs="Times New Roman"/>
          <w:sz w:val="24"/>
          <w:szCs w:val="24"/>
        </w:rPr>
        <w:t xml:space="preserve"> </w:t>
      </w:r>
      <w:r w:rsidR="00E46D6E" w:rsidRPr="00557D2B">
        <w:rPr>
          <w:rFonts w:ascii="Times New Roman" w:hAnsi="Times New Roman" w:cs="Times New Roman"/>
          <w:sz w:val="24"/>
          <w:szCs w:val="24"/>
        </w:rPr>
        <w:t>do</w:t>
      </w:r>
      <w:r w:rsidR="00C92A3F">
        <w:rPr>
          <w:rFonts w:ascii="Times New Roman" w:hAnsi="Times New Roman" w:cs="Times New Roman"/>
          <w:sz w:val="24"/>
          <w:szCs w:val="24"/>
        </w:rPr>
        <w:t>es</w:t>
      </w:r>
      <w:r w:rsidR="00E46D6E" w:rsidRPr="00557D2B">
        <w:rPr>
          <w:rFonts w:ascii="Times New Roman" w:hAnsi="Times New Roman" w:cs="Times New Roman"/>
          <w:sz w:val="24"/>
          <w:szCs w:val="24"/>
        </w:rPr>
        <w:t xml:space="preserve"> not warrant a different approach</w:t>
      </w:r>
      <w:r w:rsidR="00D303E4" w:rsidRPr="00557D2B">
        <w:rPr>
          <w:rFonts w:ascii="Times New Roman" w:hAnsi="Times New Roman" w:cs="Times New Roman"/>
          <w:sz w:val="24"/>
          <w:szCs w:val="24"/>
        </w:rPr>
        <w:t xml:space="preserve">.  </w:t>
      </w:r>
    </w:p>
    <w:p w:rsidR="009064E8" w:rsidRPr="00557D2B" w:rsidRDefault="00557D2B" w:rsidP="00557D2B">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A3601" w:rsidRPr="00557D2B">
        <w:rPr>
          <w:rFonts w:ascii="Times New Roman" w:hAnsi="Times New Roman" w:cs="Times New Roman"/>
          <w:sz w:val="24"/>
          <w:szCs w:val="24"/>
        </w:rPr>
        <w:t xml:space="preserve">Third, </w:t>
      </w:r>
      <w:r w:rsidR="009064E8" w:rsidRPr="00557D2B">
        <w:rPr>
          <w:rFonts w:ascii="Times New Roman" w:hAnsi="Times New Roman" w:cs="Times New Roman"/>
          <w:sz w:val="24"/>
          <w:szCs w:val="24"/>
        </w:rPr>
        <w:t xml:space="preserve">Schedule 134 will guarantee for PSE </w:t>
      </w:r>
      <w:r w:rsidR="00BD40A7" w:rsidRPr="00557D2B">
        <w:rPr>
          <w:rFonts w:ascii="Times New Roman" w:hAnsi="Times New Roman" w:cs="Times New Roman"/>
          <w:sz w:val="24"/>
          <w:szCs w:val="24"/>
        </w:rPr>
        <w:t xml:space="preserve">and its owners </w:t>
      </w:r>
      <w:r w:rsidR="00E46D6E" w:rsidRPr="00557D2B">
        <w:rPr>
          <w:rFonts w:ascii="Times New Roman" w:hAnsi="Times New Roman" w:cs="Times New Roman"/>
          <w:sz w:val="24"/>
          <w:szCs w:val="24"/>
        </w:rPr>
        <w:t xml:space="preserve">the </w:t>
      </w:r>
      <w:r w:rsidR="00DE6B67" w:rsidRPr="00557D2B">
        <w:rPr>
          <w:rFonts w:ascii="Times New Roman" w:hAnsi="Times New Roman" w:cs="Times New Roman"/>
          <w:sz w:val="24"/>
          <w:szCs w:val="24"/>
        </w:rPr>
        <w:t xml:space="preserve">substantial </w:t>
      </w:r>
      <w:r w:rsidR="00E46D6E" w:rsidRPr="00557D2B">
        <w:rPr>
          <w:rFonts w:ascii="Times New Roman" w:hAnsi="Times New Roman" w:cs="Times New Roman"/>
          <w:sz w:val="24"/>
          <w:szCs w:val="24"/>
        </w:rPr>
        <w:t xml:space="preserve">benefit of </w:t>
      </w:r>
      <w:r w:rsidR="00170EAE">
        <w:rPr>
          <w:rFonts w:ascii="Times New Roman" w:hAnsi="Times New Roman" w:cs="Times New Roman"/>
          <w:sz w:val="24"/>
          <w:szCs w:val="24"/>
        </w:rPr>
        <w:t>expedited</w:t>
      </w:r>
      <w:r w:rsidR="00C92A3F">
        <w:rPr>
          <w:rFonts w:ascii="Times New Roman" w:hAnsi="Times New Roman" w:cs="Times New Roman"/>
          <w:sz w:val="24"/>
          <w:szCs w:val="24"/>
        </w:rPr>
        <w:t xml:space="preserve"> cost recovery of </w:t>
      </w:r>
      <w:r w:rsidR="009064E8" w:rsidRPr="00557D2B">
        <w:rPr>
          <w:rFonts w:ascii="Times New Roman" w:hAnsi="Times New Roman" w:cs="Times New Roman"/>
          <w:sz w:val="24"/>
          <w:szCs w:val="24"/>
        </w:rPr>
        <w:t>pipeline investments between general rate cases</w:t>
      </w:r>
      <w:r w:rsidR="00A60E10" w:rsidRPr="00557D2B">
        <w:rPr>
          <w:rFonts w:ascii="Times New Roman" w:hAnsi="Times New Roman" w:cs="Times New Roman"/>
          <w:sz w:val="24"/>
          <w:szCs w:val="24"/>
        </w:rPr>
        <w:t>.  However</w:t>
      </w:r>
      <w:r w:rsidR="009064E8" w:rsidRPr="00557D2B">
        <w:rPr>
          <w:rFonts w:ascii="Times New Roman" w:hAnsi="Times New Roman" w:cs="Times New Roman"/>
          <w:sz w:val="24"/>
          <w:szCs w:val="24"/>
        </w:rPr>
        <w:t xml:space="preserve">, the </w:t>
      </w:r>
      <w:r w:rsidR="00D537AE" w:rsidRPr="00557D2B">
        <w:rPr>
          <w:rFonts w:ascii="Times New Roman" w:hAnsi="Times New Roman" w:cs="Times New Roman"/>
          <w:sz w:val="24"/>
          <w:szCs w:val="24"/>
        </w:rPr>
        <w:t xml:space="preserve">Company did not clarify the </w:t>
      </w:r>
      <w:r w:rsidR="00A60E10" w:rsidRPr="00557D2B">
        <w:rPr>
          <w:rFonts w:ascii="Times New Roman" w:hAnsi="Times New Roman" w:cs="Times New Roman"/>
          <w:sz w:val="24"/>
          <w:szCs w:val="24"/>
        </w:rPr>
        <w:t>scope and timing of pipeline replacement</w:t>
      </w:r>
      <w:r w:rsidR="00D537AE" w:rsidRPr="00557D2B">
        <w:rPr>
          <w:rFonts w:ascii="Times New Roman" w:hAnsi="Times New Roman" w:cs="Times New Roman"/>
          <w:sz w:val="24"/>
          <w:szCs w:val="24"/>
        </w:rPr>
        <w:t xml:space="preserve"> to be funded by the </w:t>
      </w:r>
      <w:r w:rsidR="00A60E10" w:rsidRPr="00557D2B">
        <w:rPr>
          <w:rFonts w:ascii="Times New Roman" w:hAnsi="Times New Roman" w:cs="Times New Roman"/>
          <w:sz w:val="24"/>
          <w:szCs w:val="24"/>
        </w:rPr>
        <w:t>new surcharge</w:t>
      </w:r>
      <w:r w:rsidR="00B75F03" w:rsidRPr="00557D2B">
        <w:rPr>
          <w:rFonts w:ascii="Times New Roman" w:hAnsi="Times New Roman" w:cs="Times New Roman"/>
          <w:sz w:val="24"/>
          <w:szCs w:val="24"/>
        </w:rPr>
        <w:t>,</w:t>
      </w:r>
      <w:r w:rsidR="00A60E10" w:rsidRPr="00557D2B">
        <w:rPr>
          <w:rFonts w:ascii="Times New Roman" w:hAnsi="Times New Roman" w:cs="Times New Roman"/>
          <w:sz w:val="24"/>
          <w:szCs w:val="24"/>
        </w:rPr>
        <w:t xml:space="preserve"> </w:t>
      </w:r>
      <w:r w:rsidR="00D537AE" w:rsidRPr="00557D2B">
        <w:rPr>
          <w:rFonts w:ascii="Times New Roman" w:hAnsi="Times New Roman" w:cs="Times New Roman"/>
          <w:sz w:val="24"/>
          <w:szCs w:val="24"/>
        </w:rPr>
        <w:t xml:space="preserve">other than to design the surcharge to </w:t>
      </w:r>
      <w:r w:rsidR="00B75F03" w:rsidRPr="00557D2B">
        <w:rPr>
          <w:rFonts w:ascii="Times New Roman" w:hAnsi="Times New Roman" w:cs="Times New Roman"/>
          <w:sz w:val="24"/>
          <w:szCs w:val="24"/>
        </w:rPr>
        <w:t xml:space="preserve">expedite </w:t>
      </w:r>
      <w:r w:rsidR="00D537AE" w:rsidRPr="00557D2B">
        <w:rPr>
          <w:rFonts w:ascii="Times New Roman" w:hAnsi="Times New Roman" w:cs="Times New Roman"/>
          <w:sz w:val="24"/>
          <w:szCs w:val="24"/>
        </w:rPr>
        <w:t>recover</w:t>
      </w:r>
      <w:r w:rsidR="00B75F03" w:rsidRPr="00557D2B">
        <w:rPr>
          <w:rFonts w:ascii="Times New Roman" w:hAnsi="Times New Roman" w:cs="Times New Roman"/>
          <w:sz w:val="24"/>
          <w:szCs w:val="24"/>
        </w:rPr>
        <w:t xml:space="preserve">y of investments </w:t>
      </w:r>
      <w:r w:rsidR="00E46D6E" w:rsidRPr="00557D2B">
        <w:rPr>
          <w:rFonts w:ascii="Times New Roman" w:hAnsi="Times New Roman" w:cs="Times New Roman"/>
          <w:sz w:val="24"/>
          <w:szCs w:val="24"/>
        </w:rPr>
        <w:t xml:space="preserve">that are </w:t>
      </w:r>
      <w:r w:rsidR="00D537AE" w:rsidRPr="00557D2B">
        <w:rPr>
          <w:rFonts w:ascii="Times New Roman" w:hAnsi="Times New Roman" w:cs="Times New Roman"/>
          <w:sz w:val="24"/>
          <w:szCs w:val="24"/>
        </w:rPr>
        <w:t xml:space="preserve">already planned </w:t>
      </w:r>
      <w:r w:rsidR="006C3DC9" w:rsidRPr="00557D2B">
        <w:rPr>
          <w:rFonts w:ascii="Times New Roman" w:hAnsi="Times New Roman" w:cs="Times New Roman"/>
          <w:sz w:val="24"/>
          <w:szCs w:val="24"/>
        </w:rPr>
        <w:t xml:space="preserve">even </w:t>
      </w:r>
      <w:r w:rsidR="00D537AE" w:rsidRPr="00557D2B">
        <w:rPr>
          <w:rFonts w:ascii="Times New Roman" w:hAnsi="Times New Roman" w:cs="Times New Roman"/>
          <w:sz w:val="24"/>
          <w:szCs w:val="24"/>
        </w:rPr>
        <w:t xml:space="preserve">without the surcharge.  Thus, </w:t>
      </w:r>
      <w:r w:rsidR="00E46D6E" w:rsidRPr="00557D2B">
        <w:rPr>
          <w:rFonts w:ascii="Times New Roman" w:hAnsi="Times New Roman" w:cs="Times New Roman"/>
          <w:sz w:val="24"/>
          <w:szCs w:val="24"/>
        </w:rPr>
        <w:t>ratepayers will not benefit from the surcharge because they will pay higher rates sooner, but with no assuranc</w:t>
      </w:r>
      <w:r w:rsidR="00DE6B67" w:rsidRPr="00557D2B">
        <w:rPr>
          <w:rFonts w:ascii="Times New Roman" w:hAnsi="Times New Roman" w:cs="Times New Roman"/>
          <w:sz w:val="24"/>
          <w:szCs w:val="24"/>
        </w:rPr>
        <w:t xml:space="preserve">e that their money will </w:t>
      </w:r>
      <w:r w:rsidR="00E46D6E" w:rsidRPr="00557D2B">
        <w:rPr>
          <w:rFonts w:ascii="Times New Roman" w:hAnsi="Times New Roman" w:cs="Times New Roman"/>
          <w:sz w:val="24"/>
          <w:szCs w:val="24"/>
        </w:rPr>
        <w:t>enhance safety through accelerated pipeline replacement.</w:t>
      </w:r>
      <w:r w:rsidR="00B75F03" w:rsidRPr="00557D2B">
        <w:rPr>
          <w:rFonts w:ascii="Times New Roman" w:hAnsi="Times New Roman" w:cs="Times New Roman"/>
          <w:sz w:val="24"/>
          <w:szCs w:val="24"/>
        </w:rPr>
        <w:t xml:space="preserve"> </w:t>
      </w:r>
    </w:p>
    <w:p w:rsidR="00063732" w:rsidRPr="00557D2B" w:rsidRDefault="00557D2B" w:rsidP="00557D2B">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3190D" w:rsidRPr="00557D2B">
        <w:rPr>
          <w:rFonts w:ascii="Times New Roman" w:hAnsi="Times New Roman" w:cs="Times New Roman"/>
          <w:sz w:val="24"/>
          <w:szCs w:val="24"/>
        </w:rPr>
        <w:t xml:space="preserve">Finally, </w:t>
      </w:r>
      <w:r w:rsidR="00C24AD7" w:rsidRPr="00557D2B">
        <w:rPr>
          <w:rFonts w:ascii="Times New Roman" w:hAnsi="Times New Roman" w:cs="Times New Roman"/>
          <w:sz w:val="24"/>
          <w:szCs w:val="24"/>
        </w:rPr>
        <w:t xml:space="preserve">the Company intends the </w:t>
      </w:r>
      <w:r w:rsidR="006E0FD9" w:rsidRPr="00557D2B">
        <w:rPr>
          <w:rFonts w:ascii="Times New Roman" w:hAnsi="Times New Roman" w:cs="Times New Roman"/>
          <w:sz w:val="24"/>
          <w:szCs w:val="24"/>
        </w:rPr>
        <w:t xml:space="preserve">surcharge to be flexible so that additional programs can be added </w:t>
      </w:r>
      <w:r w:rsidR="00BD40A7" w:rsidRPr="00557D2B">
        <w:rPr>
          <w:rFonts w:ascii="Times New Roman" w:hAnsi="Times New Roman" w:cs="Times New Roman"/>
          <w:sz w:val="24"/>
          <w:szCs w:val="24"/>
        </w:rPr>
        <w:t>and a</w:t>
      </w:r>
      <w:r w:rsidR="0093190D" w:rsidRPr="00557D2B">
        <w:rPr>
          <w:rFonts w:ascii="Times New Roman" w:hAnsi="Times New Roman" w:cs="Times New Roman"/>
          <w:sz w:val="24"/>
          <w:szCs w:val="24"/>
        </w:rPr>
        <w:t xml:space="preserve"> $25 million annual cap on capital spending can be increased.</w:t>
      </w:r>
      <w:r w:rsidR="008942FF" w:rsidRPr="00557D2B">
        <w:rPr>
          <w:rFonts w:ascii="Times New Roman" w:hAnsi="Times New Roman" w:cs="Times New Roman"/>
          <w:sz w:val="24"/>
          <w:szCs w:val="24"/>
        </w:rPr>
        <w:t xml:space="preserve">  T</w:t>
      </w:r>
      <w:r w:rsidR="0093190D" w:rsidRPr="00557D2B">
        <w:rPr>
          <w:rFonts w:ascii="Times New Roman" w:hAnsi="Times New Roman" w:cs="Times New Roman"/>
          <w:sz w:val="24"/>
          <w:szCs w:val="24"/>
        </w:rPr>
        <w:t xml:space="preserve">hese changes would require Commission approval, </w:t>
      </w:r>
      <w:r w:rsidR="008942FF" w:rsidRPr="00557D2B">
        <w:rPr>
          <w:rFonts w:ascii="Times New Roman" w:hAnsi="Times New Roman" w:cs="Times New Roman"/>
          <w:sz w:val="24"/>
          <w:szCs w:val="24"/>
        </w:rPr>
        <w:t xml:space="preserve">but do not require the consent of </w:t>
      </w:r>
      <w:r w:rsidR="00E45891" w:rsidRPr="00557D2B">
        <w:rPr>
          <w:rFonts w:ascii="Times New Roman" w:hAnsi="Times New Roman" w:cs="Times New Roman"/>
          <w:sz w:val="24"/>
          <w:szCs w:val="24"/>
        </w:rPr>
        <w:t xml:space="preserve">Staff or </w:t>
      </w:r>
      <w:r w:rsidR="008942FF" w:rsidRPr="00557D2B">
        <w:rPr>
          <w:rFonts w:ascii="Times New Roman" w:hAnsi="Times New Roman" w:cs="Times New Roman"/>
          <w:sz w:val="24"/>
          <w:szCs w:val="24"/>
        </w:rPr>
        <w:t>any other i</w:t>
      </w:r>
      <w:r w:rsidR="002B3B55" w:rsidRPr="00557D2B">
        <w:rPr>
          <w:rFonts w:ascii="Times New Roman" w:hAnsi="Times New Roman" w:cs="Times New Roman"/>
          <w:sz w:val="24"/>
          <w:szCs w:val="24"/>
        </w:rPr>
        <w:t xml:space="preserve">nterested party.  Thus, the </w:t>
      </w:r>
      <w:r w:rsidR="008942FF" w:rsidRPr="00557D2B">
        <w:rPr>
          <w:rFonts w:ascii="Times New Roman" w:hAnsi="Times New Roman" w:cs="Times New Roman"/>
          <w:sz w:val="24"/>
          <w:szCs w:val="24"/>
        </w:rPr>
        <w:t xml:space="preserve">surcharge </w:t>
      </w:r>
      <w:r w:rsidR="0093190D" w:rsidRPr="00557D2B">
        <w:rPr>
          <w:rFonts w:ascii="Times New Roman" w:hAnsi="Times New Roman" w:cs="Times New Roman"/>
          <w:sz w:val="24"/>
          <w:szCs w:val="24"/>
        </w:rPr>
        <w:t xml:space="preserve">opens the door to </w:t>
      </w:r>
      <w:r w:rsidR="00E45891" w:rsidRPr="00557D2B">
        <w:rPr>
          <w:rFonts w:ascii="Times New Roman" w:hAnsi="Times New Roman" w:cs="Times New Roman"/>
          <w:sz w:val="24"/>
          <w:szCs w:val="24"/>
        </w:rPr>
        <w:t>furt</w:t>
      </w:r>
      <w:r w:rsidR="000E19BD" w:rsidRPr="00557D2B">
        <w:rPr>
          <w:rFonts w:ascii="Times New Roman" w:hAnsi="Times New Roman" w:cs="Times New Roman"/>
          <w:sz w:val="24"/>
          <w:szCs w:val="24"/>
        </w:rPr>
        <w:t xml:space="preserve">her efforts by PSE to transfer the risk of cost recovery </w:t>
      </w:r>
      <w:r w:rsidR="00DE6B67" w:rsidRPr="00557D2B">
        <w:rPr>
          <w:rFonts w:ascii="Times New Roman" w:hAnsi="Times New Roman" w:cs="Times New Roman"/>
          <w:sz w:val="24"/>
          <w:szCs w:val="24"/>
        </w:rPr>
        <w:t xml:space="preserve">from its owners </w:t>
      </w:r>
      <w:r w:rsidR="000E19BD" w:rsidRPr="00557D2B">
        <w:rPr>
          <w:rFonts w:ascii="Times New Roman" w:hAnsi="Times New Roman" w:cs="Times New Roman"/>
          <w:sz w:val="24"/>
          <w:szCs w:val="24"/>
        </w:rPr>
        <w:t>to ratepayers</w:t>
      </w:r>
      <w:r w:rsidR="0093190D" w:rsidRPr="00557D2B">
        <w:rPr>
          <w:rFonts w:ascii="Times New Roman" w:hAnsi="Times New Roman" w:cs="Times New Roman"/>
          <w:sz w:val="24"/>
          <w:szCs w:val="24"/>
        </w:rPr>
        <w:t xml:space="preserve">.  It </w:t>
      </w:r>
      <w:r w:rsidR="00063732" w:rsidRPr="00557D2B">
        <w:rPr>
          <w:rFonts w:ascii="Times New Roman" w:hAnsi="Times New Roman" w:cs="Times New Roman"/>
          <w:sz w:val="24"/>
          <w:szCs w:val="24"/>
        </w:rPr>
        <w:t xml:space="preserve">also </w:t>
      </w:r>
      <w:r w:rsidR="0093190D" w:rsidRPr="00557D2B">
        <w:rPr>
          <w:rFonts w:ascii="Times New Roman" w:hAnsi="Times New Roman" w:cs="Times New Roman"/>
          <w:sz w:val="24"/>
          <w:szCs w:val="24"/>
        </w:rPr>
        <w:t>adds another potentially complex and adversarial tariff process to the mult</w:t>
      </w:r>
      <w:r w:rsidR="002B3B55" w:rsidRPr="00557D2B">
        <w:rPr>
          <w:rFonts w:ascii="Times New Roman" w:hAnsi="Times New Roman" w:cs="Times New Roman"/>
          <w:sz w:val="24"/>
          <w:szCs w:val="24"/>
        </w:rPr>
        <w:t>itude of risk-reducing mechanisms</w:t>
      </w:r>
      <w:r w:rsidR="0093190D" w:rsidRPr="00557D2B">
        <w:rPr>
          <w:rFonts w:ascii="Times New Roman" w:hAnsi="Times New Roman" w:cs="Times New Roman"/>
          <w:sz w:val="24"/>
          <w:szCs w:val="24"/>
        </w:rPr>
        <w:t xml:space="preserve"> already enjoyed by PSE.</w:t>
      </w:r>
    </w:p>
    <w:p w:rsidR="000432E7" w:rsidRDefault="00874E31" w:rsidP="000432E7">
      <w:pPr>
        <w:jc w:val="center"/>
        <w:rPr>
          <w:rFonts w:ascii="Times New Roman" w:hAnsi="Times New Roman" w:cs="Times New Roman"/>
          <w:b/>
          <w:sz w:val="24"/>
          <w:szCs w:val="24"/>
        </w:rPr>
      </w:pPr>
      <w:r>
        <w:rPr>
          <w:rFonts w:ascii="Times New Roman" w:hAnsi="Times New Roman" w:cs="Times New Roman"/>
          <w:b/>
          <w:sz w:val="24"/>
          <w:szCs w:val="24"/>
        </w:rPr>
        <w:t>I</w:t>
      </w:r>
      <w:r w:rsidR="00D213C6">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r w:rsidR="00E81AAC">
        <w:rPr>
          <w:rFonts w:ascii="Times New Roman" w:hAnsi="Times New Roman" w:cs="Times New Roman"/>
          <w:b/>
          <w:sz w:val="24"/>
          <w:szCs w:val="24"/>
        </w:rPr>
        <w:t>ARGUMENT</w:t>
      </w:r>
    </w:p>
    <w:p w:rsidR="000432E7" w:rsidRDefault="000432E7" w:rsidP="000432E7">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The C</w:t>
      </w:r>
      <w:r w:rsidR="00AB6D0A">
        <w:rPr>
          <w:rFonts w:ascii="Times New Roman" w:hAnsi="Times New Roman" w:cs="Times New Roman"/>
          <w:b/>
          <w:sz w:val="24"/>
          <w:szCs w:val="24"/>
        </w:rPr>
        <w:t xml:space="preserve">ommission Should Reject the </w:t>
      </w:r>
      <w:r>
        <w:rPr>
          <w:rFonts w:ascii="Times New Roman" w:hAnsi="Times New Roman" w:cs="Times New Roman"/>
          <w:b/>
          <w:sz w:val="24"/>
          <w:szCs w:val="24"/>
        </w:rPr>
        <w:t>Surcharge as a Matter o</w:t>
      </w:r>
      <w:r w:rsidR="00BD40A7">
        <w:rPr>
          <w:rFonts w:ascii="Times New Roman" w:hAnsi="Times New Roman" w:cs="Times New Roman"/>
          <w:b/>
          <w:sz w:val="24"/>
          <w:szCs w:val="24"/>
        </w:rPr>
        <w:t xml:space="preserve">f Law Because It Allows </w:t>
      </w:r>
      <w:r>
        <w:rPr>
          <w:rFonts w:ascii="Times New Roman" w:hAnsi="Times New Roman" w:cs="Times New Roman"/>
          <w:b/>
          <w:sz w:val="24"/>
          <w:szCs w:val="24"/>
        </w:rPr>
        <w:t>Recovery of Investments that are Not “Used and Useful</w:t>
      </w:r>
      <w:r w:rsidR="00BD40A7">
        <w:rPr>
          <w:rFonts w:ascii="Times New Roman" w:hAnsi="Times New Roman" w:cs="Times New Roman"/>
          <w:b/>
          <w:sz w:val="24"/>
          <w:szCs w:val="24"/>
        </w:rPr>
        <w:t>”</w:t>
      </w:r>
    </w:p>
    <w:p w:rsidR="000432E7" w:rsidRDefault="000432E7" w:rsidP="000432E7">
      <w:pPr>
        <w:spacing w:after="0" w:line="240" w:lineRule="auto"/>
        <w:ind w:left="720" w:hanging="720"/>
        <w:rPr>
          <w:rFonts w:ascii="Times New Roman" w:hAnsi="Times New Roman" w:cs="Times New Roman"/>
          <w:b/>
          <w:sz w:val="24"/>
          <w:szCs w:val="24"/>
        </w:rPr>
      </w:pPr>
    </w:p>
    <w:p w:rsidR="000432E7" w:rsidRPr="00557D2B" w:rsidRDefault="00557D2B" w:rsidP="00557D2B">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432E7" w:rsidRPr="00557D2B">
        <w:rPr>
          <w:rFonts w:ascii="Times New Roman" w:hAnsi="Times New Roman" w:cs="Times New Roman"/>
          <w:sz w:val="24"/>
          <w:szCs w:val="24"/>
        </w:rPr>
        <w:t xml:space="preserve">In order for any capital expenditure made by a utility to be included in rate base for ratemaking purposes, the investment must be “used and useful for service” in Washington </w:t>
      </w:r>
      <w:r w:rsidR="000432E7" w:rsidRPr="00557D2B">
        <w:rPr>
          <w:rFonts w:ascii="Times New Roman" w:hAnsi="Times New Roman" w:cs="Times New Roman"/>
          <w:sz w:val="24"/>
          <w:szCs w:val="24"/>
        </w:rPr>
        <w:lastRenderedPageBreak/>
        <w:t>State.</w:t>
      </w:r>
      <w:r w:rsidR="000432E7">
        <w:rPr>
          <w:rStyle w:val="FootnoteReference"/>
          <w:rFonts w:ascii="Times New Roman" w:hAnsi="Times New Roman" w:cs="Times New Roman"/>
          <w:sz w:val="24"/>
          <w:szCs w:val="24"/>
        </w:rPr>
        <w:footnoteReference w:id="2"/>
      </w:r>
      <w:r w:rsidR="000432E7" w:rsidRPr="00557D2B">
        <w:rPr>
          <w:rFonts w:ascii="Times New Roman" w:hAnsi="Times New Roman" w:cs="Times New Roman"/>
          <w:sz w:val="24"/>
          <w:szCs w:val="24"/>
        </w:rPr>
        <w:t xml:space="preserve">  The State Supreme Court has held that “used” means “employed in accomplishing something” and “useful” means “capable of being put to use: having utility: advantageous; producing or having the power to produce good; serviceable for a beneficial end or object.”</w:t>
      </w:r>
      <w:r w:rsidR="000432E7">
        <w:rPr>
          <w:rStyle w:val="FootnoteReference"/>
          <w:rFonts w:ascii="Times New Roman" w:hAnsi="Times New Roman" w:cs="Times New Roman"/>
          <w:sz w:val="24"/>
          <w:szCs w:val="24"/>
        </w:rPr>
        <w:footnoteReference w:id="3"/>
      </w:r>
      <w:r w:rsidR="000432E7" w:rsidRPr="00557D2B">
        <w:rPr>
          <w:rFonts w:ascii="Times New Roman" w:hAnsi="Times New Roman" w:cs="Times New Roman"/>
          <w:sz w:val="24"/>
          <w:szCs w:val="24"/>
        </w:rPr>
        <w:t xml:space="preserve">  </w:t>
      </w:r>
      <w:r w:rsidR="00BD40A7" w:rsidRPr="00557D2B">
        <w:rPr>
          <w:rFonts w:ascii="Times New Roman" w:hAnsi="Times New Roman" w:cs="Times New Roman"/>
          <w:sz w:val="24"/>
          <w:szCs w:val="24"/>
        </w:rPr>
        <w:t>T</w:t>
      </w:r>
      <w:r w:rsidR="000432E7" w:rsidRPr="00557D2B">
        <w:rPr>
          <w:rFonts w:ascii="Times New Roman" w:hAnsi="Times New Roman" w:cs="Times New Roman"/>
          <w:sz w:val="24"/>
          <w:szCs w:val="24"/>
        </w:rPr>
        <w:t>he “used a</w:t>
      </w:r>
      <w:r w:rsidR="00DE6B67" w:rsidRPr="00557D2B">
        <w:rPr>
          <w:rFonts w:ascii="Times New Roman" w:hAnsi="Times New Roman" w:cs="Times New Roman"/>
          <w:sz w:val="24"/>
          <w:szCs w:val="24"/>
        </w:rPr>
        <w:t xml:space="preserve">nd useful” standard presupposes </w:t>
      </w:r>
      <w:r w:rsidR="000432E7" w:rsidRPr="00557D2B">
        <w:rPr>
          <w:rFonts w:ascii="Times New Roman" w:hAnsi="Times New Roman" w:cs="Times New Roman"/>
          <w:sz w:val="24"/>
          <w:szCs w:val="24"/>
        </w:rPr>
        <w:t>that actual expenditures have been made for an asset that is operational, before the asset can be included in rate base and recovered from ratepayers.</w:t>
      </w:r>
      <w:r w:rsidR="000432E7">
        <w:rPr>
          <w:rStyle w:val="FootnoteReference"/>
          <w:rFonts w:ascii="Times New Roman" w:hAnsi="Times New Roman" w:cs="Times New Roman"/>
          <w:sz w:val="24"/>
          <w:szCs w:val="24"/>
        </w:rPr>
        <w:footnoteReference w:id="4"/>
      </w:r>
    </w:p>
    <w:p w:rsidR="000432E7" w:rsidRPr="00557D2B" w:rsidRDefault="00557D2B" w:rsidP="00557D2B">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D2586" w:rsidRPr="00557D2B">
        <w:rPr>
          <w:rFonts w:ascii="Times New Roman" w:hAnsi="Times New Roman" w:cs="Times New Roman"/>
          <w:sz w:val="24"/>
          <w:szCs w:val="24"/>
        </w:rPr>
        <w:t xml:space="preserve">The Company’s proposed </w:t>
      </w:r>
      <w:r w:rsidR="000432E7" w:rsidRPr="00557D2B">
        <w:rPr>
          <w:rFonts w:ascii="Times New Roman" w:hAnsi="Times New Roman" w:cs="Times New Roman"/>
          <w:sz w:val="24"/>
          <w:szCs w:val="24"/>
        </w:rPr>
        <w:t>surcharge violates the “used and useful” standard because, by its very</w:t>
      </w:r>
      <w:r w:rsidR="00AB6D0A" w:rsidRPr="00557D2B">
        <w:rPr>
          <w:rFonts w:ascii="Times New Roman" w:hAnsi="Times New Roman" w:cs="Times New Roman"/>
          <w:sz w:val="24"/>
          <w:szCs w:val="24"/>
        </w:rPr>
        <w:t xml:space="preserve"> design, it recovers </w:t>
      </w:r>
      <w:r w:rsidR="00E910F9" w:rsidRPr="00557D2B">
        <w:rPr>
          <w:rFonts w:ascii="Times New Roman" w:hAnsi="Times New Roman" w:cs="Times New Roman"/>
          <w:sz w:val="24"/>
          <w:szCs w:val="24"/>
        </w:rPr>
        <w:t xml:space="preserve">forecasted </w:t>
      </w:r>
      <w:r w:rsidR="000432E7" w:rsidRPr="00557D2B">
        <w:rPr>
          <w:rFonts w:ascii="Times New Roman" w:hAnsi="Times New Roman" w:cs="Times New Roman"/>
          <w:sz w:val="24"/>
          <w:szCs w:val="24"/>
        </w:rPr>
        <w:t>invest</w:t>
      </w:r>
      <w:r w:rsidR="00AE16B0" w:rsidRPr="00557D2B">
        <w:rPr>
          <w:rFonts w:ascii="Times New Roman" w:hAnsi="Times New Roman" w:cs="Times New Roman"/>
          <w:sz w:val="24"/>
          <w:szCs w:val="24"/>
        </w:rPr>
        <w:t>ment through October 31st of an</w:t>
      </w:r>
      <w:r w:rsidR="000432E7" w:rsidRPr="00557D2B">
        <w:rPr>
          <w:rFonts w:ascii="Times New Roman" w:hAnsi="Times New Roman" w:cs="Times New Roman"/>
          <w:sz w:val="24"/>
          <w:szCs w:val="24"/>
        </w:rPr>
        <w:t xml:space="preserve"> upcoming program year.</w:t>
      </w:r>
      <w:r w:rsidR="000432E7">
        <w:rPr>
          <w:rStyle w:val="FootnoteReference"/>
          <w:rFonts w:ascii="Times New Roman" w:hAnsi="Times New Roman" w:cs="Times New Roman"/>
          <w:sz w:val="24"/>
          <w:szCs w:val="24"/>
        </w:rPr>
        <w:footnoteReference w:id="5"/>
      </w:r>
      <w:r w:rsidR="000432E7" w:rsidRPr="00557D2B">
        <w:rPr>
          <w:rFonts w:ascii="Times New Roman" w:hAnsi="Times New Roman" w:cs="Times New Roman"/>
          <w:sz w:val="24"/>
          <w:szCs w:val="24"/>
        </w:rPr>
        <w:t xml:space="preserve">  Thus, beginning on November 1st of eac</w:t>
      </w:r>
      <w:r w:rsidR="00E910F9" w:rsidRPr="00557D2B">
        <w:rPr>
          <w:rFonts w:ascii="Times New Roman" w:hAnsi="Times New Roman" w:cs="Times New Roman"/>
          <w:sz w:val="24"/>
          <w:szCs w:val="24"/>
        </w:rPr>
        <w:t xml:space="preserve">h program year, ratepayers prepay </w:t>
      </w:r>
      <w:r w:rsidR="000432E7" w:rsidRPr="00557D2B">
        <w:rPr>
          <w:rFonts w:ascii="Times New Roman" w:hAnsi="Times New Roman" w:cs="Times New Roman"/>
          <w:sz w:val="24"/>
          <w:szCs w:val="24"/>
        </w:rPr>
        <w:t>PSE for expen</w:t>
      </w:r>
      <w:r w:rsidR="00DE6B67" w:rsidRPr="00557D2B">
        <w:rPr>
          <w:rFonts w:ascii="Times New Roman" w:hAnsi="Times New Roman" w:cs="Times New Roman"/>
          <w:sz w:val="24"/>
          <w:szCs w:val="24"/>
        </w:rPr>
        <w:t xml:space="preserve">ditures the Company has not </w:t>
      </w:r>
      <w:r w:rsidR="000432E7" w:rsidRPr="00557D2B">
        <w:rPr>
          <w:rFonts w:ascii="Times New Roman" w:hAnsi="Times New Roman" w:cs="Times New Roman"/>
          <w:sz w:val="24"/>
          <w:szCs w:val="24"/>
        </w:rPr>
        <w:t xml:space="preserve">incurred on plant that is neither in service nor capable of providing service.  The budgeted funds recovered through the surcharge also do not qualify for the construction work in progress exemption from the “used and useful” standard </w:t>
      </w:r>
      <w:r w:rsidR="00AE16B0" w:rsidRPr="00557D2B">
        <w:rPr>
          <w:rFonts w:ascii="Times New Roman" w:hAnsi="Times New Roman" w:cs="Times New Roman"/>
          <w:sz w:val="24"/>
          <w:szCs w:val="24"/>
        </w:rPr>
        <w:t>because the funds</w:t>
      </w:r>
      <w:r w:rsidR="00F12D09" w:rsidRPr="00557D2B">
        <w:rPr>
          <w:rFonts w:ascii="Times New Roman" w:hAnsi="Times New Roman" w:cs="Times New Roman"/>
          <w:sz w:val="24"/>
          <w:szCs w:val="24"/>
        </w:rPr>
        <w:t xml:space="preserve"> are collected from ratepayers for plant construction that has not begun.  </w:t>
      </w:r>
      <w:r w:rsidR="000432E7" w:rsidRPr="00557D2B">
        <w:rPr>
          <w:rFonts w:ascii="Times New Roman" w:hAnsi="Times New Roman" w:cs="Times New Roman"/>
          <w:sz w:val="24"/>
          <w:szCs w:val="24"/>
        </w:rPr>
        <w:t>Therefore, the C</w:t>
      </w:r>
      <w:r w:rsidR="00FD2586" w:rsidRPr="00557D2B">
        <w:rPr>
          <w:rFonts w:ascii="Times New Roman" w:hAnsi="Times New Roman" w:cs="Times New Roman"/>
          <w:sz w:val="24"/>
          <w:szCs w:val="24"/>
        </w:rPr>
        <w:t xml:space="preserve">ommission should reject the </w:t>
      </w:r>
      <w:r w:rsidR="000432E7" w:rsidRPr="00557D2B">
        <w:rPr>
          <w:rFonts w:ascii="Times New Roman" w:hAnsi="Times New Roman" w:cs="Times New Roman"/>
          <w:sz w:val="24"/>
          <w:szCs w:val="24"/>
        </w:rPr>
        <w:t>surcharge as a matter of law.</w:t>
      </w:r>
    </w:p>
    <w:p w:rsidR="000432E7" w:rsidRPr="003421EE" w:rsidRDefault="003421EE" w:rsidP="003421E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432E7" w:rsidRPr="003421EE">
        <w:rPr>
          <w:rFonts w:ascii="Times New Roman" w:hAnsi="Times New Roman" w:cs="Times New Roman"/>
          <w:sz w:val="24"/>
          <w:szCs w:val="24"/>
        </w:rPr>
        <w:t xml:space="preserve">The Company attempts to challenge this conclusion, but none of its arguments have merit.  First, PSE argues that the “used and useful” standard is of no concern because the surcharge is based on an average of monthly average of </w:t>
      </w:r>
      <w:r w:rsidR="00FD2586" w:rsidRPr="003421EE">
        <w:rPr>
          <w:rFonts w:ascii="Times New Roman" w:hAnsi="Times New Roman" w:cs="Times New Roman"/>
          <w:sz w:val="24"/>
          <w:szCs w:val="24"/>
        </w:rPr>
        <w:t xml:space="preserve">planned </w:t>
      </w:r>
      <w:r w:rsidR="000432E7" w:rsidRPr="003421EE">
        <w:rPr>
          <w:rFonts w:ascii="Times New Roman" w:hAnsi="Times New Roman" w:cs="Times New Roman"/>
          <w:sz w:val="24"/>
          <w:szCs w:val="24"/>
        </w:rPr>
        <w:t>a</w:t>
      </w:r>
      <w:r w:rsidR="00FD2586" w:rsidRPr="003421EE">
        <w:rPr>
          <w:rFonts w:ascii="Times New Roman" w:hAnsi="Times New Roman" w:cs="Times New Roman"/>
          <w:sz w:val="24"/>
          <w:szCs w:val="24"/>
        </w:rPr>
        <w:t>dditions to plant</w:t>
      </w:r>
      <w:r w:rsidR="000432E7" w:rsidRPr="003421EE">
        <w:rPr>
          <w:rFonts w:ascii="Times New Roman" w:hAnsi="Times New Roman" w:cs="Times New Roman"/>
          <w:sz w:val="24"/>
          <w:szCs w:val="24"/>
        </w:rPr>
        <w:t>.</w:t>
      </w:r>
      <w:r w:rsidR="000432E7">
        <w:rPr>
          <w:rStyle w:val="FootnoteReference"/>
          <w:rFonts w:ascii="Times New Roman" w:hAnsi="Times New Roman" w:cs="Times New Roman"/>
          <w:sz w:val="24"/>
          <w:szCs w:val="24"/>
        </w:rPr>
        <w:footnoteReference w:id="6"/>
      </w:r>
      <w:r w:rsidR="000432E7" w:rsidRPr="003421EE">
        <w:rPr>
          <w:rFonts w:ascii="Times New Roman" w:hAnsi="Times New Roman" w:cs="Times New Roman"/>
          <w:sz w:val="24"/>
          <w:szCs w:val="24"/>
        </w:rPr>
        <w:t xml:space="preserve">  </w:t>
      </w:r>
      <w:r w:rsidR="00E910F9" w:rsidRPr="003421EE">
        <w:rPr>
          <w:rFonts w:ascii="Times New Roman" w:hAnsi="Times New Roman" w:cs="Times New Roman"/>
          <w:sz w:val="24"/>
          <w:szCs w:val="24"/>
        </w:rPr>
        <w:t>T</w:t>
      </w:r>
      <w:r w:rsidR="000432E7" w:rsidRPr="003421EE">
        <w:rPr>
          <w:rFonts w:ascii="Times New Roman" w:hAnsi="Times New Roman" w:cs="Times New Roman"/>
          <w:sz w:val="24"/>
          <w:szCs w:val="24"/>
        </w:rPr>
        <w:t xml:space="preserve">his argument is a smokescreen because the average of monthly average calculation </w:t>
      </w:r>
      <w:r w:rsidR="00AE16B0" w:rsidRPr="003421EE">
        <w:rPr>
          <w:rFonts w:ascii="Times New Roman" w:hAnsi="Times New Roman" w:cs="Times New Roman"/>
          <w:sz w:val="24"/>
          <w:szCs w:val="24"/>
        </w:rPr>
        <w:t xml:space="preserve">still </w:t>
      </w:r>
      <w:r w:rsidR="000432E7" w:rsidRPr="003421EE">
        <w:rPr>
          <w:rFonts w:ascii="Times New Roman" w:hAnsi="Times New Roman" w:cs="Times New Roman"/>
          <w:sz w:val="24"/>
          <w:szCs w:val="24"/>
        </w:rPr>
        <w:t>includes the budgeted cost</w:t>
      </w:r>
      <w:r w:rsidR="00DE6B67" w:rsidRPr="003421EE">
        <w:rPr>
          <w:rFonts w:ascii="Times New Roman" w:hAnsi="Times New Roman" w:cs="Times New Roman"/>
          <w:sz w:val="24"/>
          <w:szCs w:val="24"/>
        </w:rPr>
        <w:t>s</w:t>
      </w:r>
      <w:r w:rsidR="000432E7" w:rsidRPr="003421EE">
        <w:rPr>
          <w:rFonts w:ascii="Times New Roman" w:hAnsi="Times New Roman" w:cs="Times New Roman"/>
          <w:sz w:val="24"/>
          <w:szCs w:val="24"/>
        </w:rPr>
        <w:t xml:space="preserve"> of plant that is not in service at the beginning of a program year</w:t>
      </w:r>
      <w:r w:rsidR="00E910F9" w:rsidRPr="003421EE">
        <w:rPr>
          <w:rFonts w:ascii="Times New Roman" w:hAnsi="Times New Roman" w:cs="Times New Roman"/>
          <w:sz w:val="24"/>
          <w:szCs w:val="24"/>
        </w:rPr>
        <w:t xml:space="preserve"> when</w:t>
      </w:r>
      <w:r w:rsidR="000432E7" w:rsidRPr="003421EE">
        <w:rPr>
          <w:rFonts w:ascii="Times New Roman" w:hAnsi="Times New Roman" w:cs="Times New Roman"/>
          <w:sz w:val="24"/>
          <w:szCs w:val="24"/>
        </w:rPr>
        <w:t xml:space="preserve"> ratepayers </w:t>
      </w:r>
      <w:r w:rsidR="00FD2586" w:rsidRPr="003421EE">
        <w:rPr>
          <w:rFonts w:ascii="Times New Roman" w:hAnsi="Times New Roman" w:cs="Times New Roman"/>
          <w:sz w:val="24"/>
          <w:szCs w:val="24"/>
        </w:rPr>
        <w:t xml:space="preserve">begin to pay the </w:t>
      </w:r>
      <w:r w:rsidR="000432E7" w:rsidRPr="003421EE">
        <w:rPr>
          <w:rFonts w:ascii="Times New Roman" w:hAnsi="Times New Roman" w:cs="Times New Roman"/>
          <w:sz w:val="24"/>
          <w:szCs w:val="24"/>
        </w:rPr>
        <w:t>surcharge.</w:t>
      </w:r>
      <w:r w:rsidR="000432E7">
        <w:rPr>
          <w:rStyle w:val="FootnoteReference"/>
          <w:rFonts w:ascii="Times New Roman" w:hAnsi="Times New Roman" w:cs="Times New Roman"/>
          <w:sz w:val="24"/>
          <w:szCs w:val="24"/>
        </w:rPr>
        <w:footnoteReference w:id="7"/>
      </w:r>
    </w:p>
    <w:p w:rsidR="000432E7" w:rsidRPr="003421EE" w:rsidRDefault="003421EE" w:rsidP="003421E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432E7" w:rsidRPr="003421EE">
        <w:rPr>
          <w:rFonts w:ascii="Times New Roman" w:hAnsi="Times New Roman" w:cs="Times New Roman"/>
          <w:sz w:val="24"/>
          <w:szCs w:val="24"/>
        </w:rPr>
        <w:t>Next, the Company says the “used and useful” standard is not an issue because of a</w:t>
      </w:r>
      <w:r w:rsidR="003B5B3E" w:rsidRPr="003421EE">
        <w:rPr>
          <w:rFonts w:ascii="Times New Roman" w:hAnsi="Times New Roman" w:cs="Times New Roman"/>
          <w:sz w:val="24"/>
          <w:szCs w:val="24"/>
        </w:rPr>
        <w:t xml:space="preserve"> process under which the </w:t>
      </w:r>
      <w:r w:rsidR="000432E7" w:rsidRPr="003421EE">
        <w:rPr>
          <w:rFonts w:ascii="Times New Roman" w:hAnsi="Times New Roman" w:cs="Times New Roman"/>
          <w:sz w:val="24"/>
          <w:szCs w:val="24"/>
        </w:rPr>
        <w:t xml:space="preserve">amounts PSE collects </w:t>
      </w:r>
      <w:r w:rsidR="003B5B3E" w:rsidRPr="003421EE">
        <w:rPr>
          <w:rFonts w:ascii="Times New Roman" w:hAnsi="Times New Roman" w:cs="Times New Roman"/>
          <w:sz w:val="24"/>
          <w:szCs w:val="24"/>
        </w:rPr>
        <w:t xml:space="preserve">in revenues </w:t>
      </w:r>
      <w:r w:rsidR="000432E7" w:rsidRPr="003421EE">
        <w:rPr>
          <w:rFonts w:ascii="Times New Roman" w:hAnsi="Times New Roman" w:cs="Times New Roman"/>
          <w:sz w:val="24"/>
          <w:szCs w:val="24"/>
        </w:rPr>
        <w:t>will be compared to the actual amounts PSE should have collected, and any differences will be trued-up.</w:t>
      </w:r>
      <w:r w:rsidR="000432E7">
        <w:rPr>
          <w:rStyle w:val="FootnoteReference"/>
          <w:rFonts w:ascii="Times New Roman" w:hAnsi="Times New Roman" w:cs="Times New Roman"/>
          <w:sz w:val="24"/>
          <w:szCs w:val="24"/>
        </w:rPr>
        <w:footnoteReference w:id="8"/>
      </w:r>
      <w:r w:rsidR="008C77C1" w:rsidRPr="003421EE">
        <w:rPr>
          <w:rFonts w:ascii="Times New Roman" w:hAnsi="Times New Roman" w:cs="Times New Roman"/>
          <w:sz w:val="24"/>
          <w:szCs w:val="24"/>
        </w:rPr>
        <w:t xml:space="preserve">  The Commission should acknowledge</w:t>
      </w:r>
      <w:r w:rsidR="000432E7" w:rsidRPr="003421EE">
        <w:rPr>
          <w:rFonts w:ascii="Times New Roman" w:hAnsi="Times New Roman" w:cs="Times New Roman"/>
          <w:sz w:val="24"/>
          <w:szCs w:val="24"/>
        </w:rPr>
        <w:t xml:space="preserve"> this Comp</w:t>
      </w:r>
      <w:r w:rsidR="003B5B3E" w:rsidRPr="003421EE">
        <w:rPr>
          <w:rFonts w:ascii="Times New Roman" w:hAnsi="Times New Roman" w:cs="Times New Roman"/>
          <w:sz w:val="24"/>
          <w:szCs w:val="24"/>
        </w:rPr>
        <w:t xml:space="preserve">any argument and reject the </w:t>
      </w:r>
      <w:r w:rsidR="000432E7" w:rsidRPr="003421EE">
        <w:rPr>
          <w:rFonts w:ascii="Times New Roman" w:hAnsi="Times New Roman" w:cs="Times New Roman"/>
          <w:sz w:val="24"/>
          <w:szCs w:val="24"/>
        </w:rPr>
        <w:t xml:space="preserve">surcharge, because PSE concedes that the surcharge will require ratepayers to prepay for investment PSE has not yet made for plant and, thus, is not used and useful for service.  </w:t>
      </w:r>
    </w:p>
    <w:p w:rsidR="000432E7" w:rsidRPr="003421EE" w:rsidRDefault="003421EE" w:rsidP="003421EE">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432E7" w:rsidRPr="003421EE">
        <w:rPr>
          <w:rFonts w:ascii="Times New Roman" w:hAnsi="Times New Roman" w:cs="Times New Roman"/>
          <w:sz w:val="24"/>
          <w:szCs w:val="24"/>
        </w:rPr>
        <w:t>The Company also offers some examples in an attempt to support its arguments, but upon e</w:t>
      </w:r>
      <w:r w:rsidR="003B5B3E" w:rsidRPr="003421EE">
        <w:rPr>
          <w:rFonts w:ascii="Times New Roman" w:hAnsi="Times New Roman" w:cs="Times New Roman"/>
          <w:sz w:val="24"/>
          <w:szCs w:val="24"/>
        </w:rPr>
        <w:t xml:space="preserve">xamination, none excuse the </w:t>
      </w:r>
      <w:r w:rsidR="000432E7" w:rsidRPr="003421EE">
        <w:rPr>
          <w:rFonts w:ascii="Times New Roman" w:hAnsi="Times New Roman" w:cs="Times New Roman"/>
          <w:sz w:val="24"/>
          <w:szCs w:val="24"/>
        </w:rPr>
        <w:t>surcharge from compliance with RCW 80.</w:t>
      </w:r>
      <w:r w:rsidR="002A2809">
        <w:rPr>
          <w:rFonts w:ascii="Times New Roman" w:hAnsi="Times New Roman" w:cs="Times New Roman"/>
          <w:sz w:val="24"/>
          <w:szCs w:val="24"/>
        </w:rPr>
        <w:t>04.250.  First, the Company state</w:t>
      </w:r>
      <w:r w:rsidR="000432E7" w:rsidRPr="003421EE">
        <w:rPr>
          <w:rFonts w:ascii="Times New Roman" w:hAnsi="Times New Roman" w:cs="Times New Roman"/>
          <w:sz w:val="24"/>
          <w:szCs w:val="24"/>
        </w:rPr>
        <w:t>s that conservation expenditures are also forecast and trued-up to actual for the rate year.</w:t>
      </w:r>
      <w:r w:rsidR="000432E7">
        <w:rPr>
          <w:rStyle w:val="FootnoteReference"/>
          <w:rFonts w:ascii="Times New Roman" w:hAnsi="Times New Roman" w:cs="Times New Roman"/>
          <w:sz w:val="24"/>
          <w:szCs w:val="24"/>
        </w:rPr>
        <w:footnoteReference w:id="9"/>
      </w:r>
      <w:r w:rsidR="000432E7" w:rsidRPr="003421EE">
        <w:rPr>
          <w:rFonts w:ascii="Times New Roman" w:hAnsi="Times New Roman" w:cs="Times New Roman"/>
          <w:sz w:val="24"/>
          <w:szCs w:val="24"/>
        </w:rPr>
        <w:t xml:space="preserve">  Howeve</w:t>
      </w:r>
      <w:r w:rsidR="002A2809">
        <w:rPr>
          <w:rFonts w:ascii="Times New Roman" w:hAnsi="Times New Roman" w:cs="Times New Roman"/>
          <w:sz w:val="24"/>
          <w:szCs w:val="24"/>
        </w:rPr>
        <w:t xml:space="preserve">r, what PSE did not </w:t>
      </w:r>
      <w:r w:rsidR="000432E7" w:rsidRPr="003421EE">
        <w:rPr>
          <w:rFonts w:ascii="Times New Roman" w:hAnsi="Times New Roman" w:cs="Times New Roman"/>
          <w:sz w:val="24"/>
          <w:szCs w:val="24"/>
        </w:rPr>
        <w:t xml:space="preserve">disclose </w:t>
      </w:r>
      <w:r w:rsidR="002A2809">
        <w:rPr>
          <w:rFonts w:ascii="Times New Roman" w:hAnsi="Times New Roman" w:cs="Times New Roman"/>
          <w:sz w:val="24"/>
          <w:szCs w:val="24"/>
        </w:rPr>
        <w:t xml:space="preserve">until hearing </w:t>
      </w:r>
      <w:r w:rsidR="000432E7" w:rsidRPr="003421EE">
        <w:rPr>
          <w:rFonts w:ascii="Times New Roman" w:hAnsi="Times New Roman" w:cs="Times New Roman"/>
          <w:sz w:val="24"/>
          <w:szCs w:val="24"/>
        </w:rPr>
        <w:t xml:space="preserve">is that conservation expenses are </w:t>
      </w:r>
      <w:r w:rsidR="002A2809">
        <w:rPr>
          <w:rFonts w:ascii="Times New Roman" w:hAnsi="Times New Roman" w:cs="Times New Roman"/>
          <w:sz w:val="24"/>
          <w:szCs w:val="24"/>
        </w:rPr>
        <w:t xml:space="preserve">expenses that are </w:t>
      </w:r>
      <w:r w:rsidR="000432E7" w:rsidRPr="003421EE">
        <w:rPr>
          <w:rFonts w:ascii="Times New Roman" w:hAnsi="Times New Roman" w:cs="Times New Roman"/>
          <w:sz w:val="24"/>
          <w:szCs w:val="24"/>
        </w:rPr>
        <w:t>not included in rate base and, therefore, do not implicate RCW 80.04.250.</w:t>
      </w:r>
      <w:r w:rsidR="00AE16B0">
        <w:rPr>
          <w:rStyle w:val="FootnoteReference"/>
          <w:rFonts w:ascii="Times New Roman" w:hAnsi="Times New Roman" w:cs="Times New Roman"/>
          <w:sz w:val="24"/>
          <w:szCs w:val="24"/>
        </w:rPr>
        <w:footnoteReference w:id="10"/>
      </w:r>
      <w:r w:rsidR="000432E7" w:rsidRPr="003421EE">
        <w:rPr>
          <w:rFonts w:ascii="Times New Roman" w:hAnsi="Times New Roman" w:cs="Times New Roman"/>
          <w:sz w:val="24"/>
          <w:szCs w:val="24"/>
        </w:rPr>
        <w:t xml:space="preserve">  </w:t>
      </w:r>
    </w:p>
    <w:p w:rsidR="000432E7"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432E7" w:rsidRPr="005431CD">
        <w:rPr>
          <w:rFonts w:ascii="Times New Roman" w:hAnsi="Times New Roman" w:cs="Times New Roman"/>
          <w:sz w:val="24"/>
          <w:szCs w:val="24"/>
        </w:rPr>
        <w:t>The Company then refers to the inclusion in rate base of new electric generation facilities.</w:t>
      </w:r>
      <w:r w:rsidR="000432E7">
        <w:rPr>
          <w:rStyle w:val="FootnoteReference"/>
          <w:rFonts w:ascii="Times New Roman" w:hAnsi="Times New Roman" w:cs="Times New Roman"/>
          <w:sz w:val="24"/>
          <w:szCs w:val="24"/>
        </w:rPr>
        <w:footnoteReference w:id="11"/>
      </w:r>
      <w:r w:rsidR="000432E7" w:rsidRPr="005431CD">
        <w:rPr>
          <w:rFonts w:ascii="Times New Roman" w:hAnsi="Times New Roman" w:cs="Times New Roman"/>
          <w:sz w:val="24"/>
          <w:szCs w:val="24"/>
        </w:rPr>
        <w:t xml:space="preserve">  However, the Commission cannot test this example because PSE did not provide </w:t>
      </w:r>
      <w:r w:rsidR="000432E7" w:rsidRPr="005431CD">
        <w:rPr>
          <w:rFonts w:ascii="Times New Roman" w:hAnsi="Times New Roman" w:cs="Times New Roman"/>
          <w:sz w:val="24"/>
          <w:szCs w:val="24"/>
        </w:rPr>
        <w:lastRenderedPageBreak/>
        <w:t>the Commission the name of even one such facility that was included in rate base before that facility actually went into service.  Like PSE, Staff also cannot name any facility that somehow escaped application of the “used and useful” standard, and was placed in rate base before it became operational.  This is not su</w:t>
      </w:r>
      <w:r w:rsidR="003B5B3E" w:rsidRPr="005431CD">
        <w:rPr>
          <w:rFonts w:ascii="Times New Roman" w:hAnsi="Times New Roman" w:cs="Times New Roman"/>
          <w:sz w:val="24"/>
          <w:szCs w:val="24"/>
        </w:rPr>
        <w:t>rprising, because, as PSE agrees</w:t>
      </w:r>
      <w:r w:rsidR="000432E7" w:rsidRPr="005431CD">
        <w:rPr>
          <w:rFonts w:ascii="Times New Roman" w:hAnsi="Times New Roman" w:cs="Times New Roman"/>
          <w:sz w:val="24"/>
          <w:szCs w:val="24"/>
        </w:rPr>
        <w:t xml:space="preserve">, the very purpose of the Power Cost Only Rate Case procedure is to synchronize rate recovery </w:t>
      </w:r>
      <w:r w:rsidR="003B5B3E" w:rsidRPr="005431CD">
        <w:rPr>
          <w:rFonts w:ascii="Times New Roman" w:hAnsi="Times New Roman" w:cs="Times New Roman"/>
          <w:sz w:val="24"/>
          <w:szCs w:val="24"/>
        </w:rPr>
        <w:t xml:space="preserve">of a new generation facility with the date the </w:t>
      </w:r>
      <w:r w:rsidR="000432E7" w:rsidRPr="005431CD">
        <w:rPr>
          <w:rFonts w:ascii="Times New Roman" w:hAnsi="Times New Roman" w:cs="Times New Roman"/>
          <w:sz w:val="24"/>
          <w:szCs w:val="24"/>
        </w:rPr>
        <w:t>facility begins providing service to ratepayers,</w:t>
      </w:r>
      <w:r w:rsidR="000432E7">
        <w:rPr>
          <w:rStyle w:val="FootnoteReference"/>
          <w:rFonts w:ascii="Times New Roman" w:hAnsi="Times New Roman" w:cs="Times New Roman"/>
          <w:sz w:val="24"/>
          <w:szCs w:val="24"/>
        </w:rPr>
        <w:footnoteReference w:id="12"/>
      </w:r>
      <w:r w:rsidR="000432E7" w:rsidRPr="005431CD">
        <w:rPr>
          <w:rFonts w:ascii="Times New Roman" w:hAnsi="Times New Roman" w:cs="Times New Roman"/>
          <w:sz w:val="24"/>
          <w:szCs w:val="24"/>
        </w:rPr>
        <w:t xml:space="preserve"> thereby complying with RCW 80.04.250.  </w:t>
      </w:r>
    </w:p>
    <w:p w:rsidR="00C55F6C"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432E7" w:rsidRPr="005431CD">
        <w:rPr>
          <w:rFonts w:ascii="Times New Roman" w:hAnsi="Times New Roman" w:cs="Times New Roman"/>
          <w:sz w:val="24"/>
          <w:szCs w:val="24"/>
        </w:rPr>
        <w:t>Finally, PSE refers to the</w:t>
      </w:r>
      <w:r w:rsidR="00C55F6C" w:rsidRPr="005431CD">
        <w:rPr>
          <w:rFonts w:ascii="Times New Roman" w:hAnsi="Times New Roman" w:cs="Times New Roman"/>
          <w:sz w:val="24"/>
          <w:szCs w:val="24"/>
        </w:rPr>
        <w:t xml:space="preserve"> Commission’s recent discussion</w:t>
      </w:r>
      <w:r w:rsidR="000432E7" w:rsidRPr="005431CD">
        <w:rPr>
          <w:rFonts w:ascii="Times New Roman" w:hAnsi="Times New Roman" w:cs="Times New Roman"/>
          <w:sz w:val="24"/>
          <w:szCs w:val="24"/>
        </w:rPr>
        <w:t xml:space="preserve"> of a “flexible approach” to determining whether plant is “used and useful”.</w:t>
      </w:r>
      <w:r w:rsidR="000432E7">
        <w:rPr>
          <w:rStyle w:val="FootnoteReference"/>
          <w:rFonts w:ascii="Times New Roman" w:hAnsi="Times New Roman" w:cs="Times New Roman"/>
          <w:sz w:val="24"/>
          <w:szCs w:val="24"/>
        </w:rPr>
        <w:footnoteReference w:id="13"/>
      </w:r>
      <w:r w:rsidR="000432E7" w:rsidRPr="005431CD">
        <w:rPr>
          <w:rFonts w:ascii="Times New Roman" w:hAnsi="Times New Roman" w:cs="Times New Roman"/>
          <w:sz w:val="24"/>
          <w:szCs w:val="24"/>
        </w:rPr>
        <w:t xml:space="preserve">  </w:t>
      </w:r>
      <w:r w:rsidR="00C55F6C" w:rsidRPr="005431CD">
        <w:rPr>
          <w:rFonts w:ascii="Times New Roman" w:hAnsi="Times New Roman" w:cs="Times New Roman"/>
          <w:sz w:val="24"/>
          <w:szCs w:val="24"/>
        </w:rPr>
        <w:t>The context of that discussion, however, was the statutory mandate for electricity utilities to acquire renewable resources of sufficient amounts to meet the portfolio standards of the</w:t>
      </w:r>
      <w:r w:rsidR="00392A48">
        <w:rPr>
          <w:rFonts w:ascii="Times New Roman" w:hAnsi="Times New Roman" w:cs="Times New Roman"/>
          <w:sz w:val="24"/>
          <w:szCs w:val="24"/>
        </w:rPr>
        <w:t xml:space="preserve"> Energy Independence Act, </w:t>
      </w:r>
      <w:r w:rsidR="00C55F6C" w:rsidRPr="005431CD">
        <w:rPr>
          <w:rFonts w:ascii="Times New Roman" w:hAnsi="Times New Roman" w:cs="Times New Roman"/>
          <w:sz w:val="24"/>
          <w:szCs w:val="24"/>
        </w:rPr>
        <w:t>RCW 19.285.  In contrast, the Company agrees that the surcharge proposed in this docket is not necessary for PSE to meet its statutory obligation to maintain a safe natural gas delivery system.</w:t>
      </w:r>
      <w:r w:rsidR="00197742">
        <w:rPr>
          <w:rStyle w:val="FootnoteReference"/>
          <w:rFonts w:ascii="Times New Roman" w:hAnsi="Times New Roman" w:cs="Times New Roman"/>
          <w:sz w:val="24"/>
          <w:szCs w:val="24"/>
        </w:rPr>
        <w:footnoteReference w:id="14"/>
      </w:r>
    </w:p>
    <w:p w:rsidR="000432E7"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97742" w:rsidRPr="005431CD">
        <w:rPr>
          <w:rFonts w:ascii="Times New Roman" w:hAnsi="Times New Roman" w:cs="Times New Roman"/>
          <w:sz w:val="24"/>
          <w:szCs w:val="24"/>
        </w:rPr>
        <w:t>More important</w:t>
      </w:r>
      <w:r w:rsidR="000432E7" w:rsidRPr="005431CD">
        <w:rPr>
          <w:rFonts w:ascii="Times New Roman" w:hAnsi="Times New Roman" w:cs="Times New Roman"/>
          <w:sz w:val="24"/>
          <w:szCs w:val="24"/>
        </w:rPr>
        <w:t xml:space="preserve">, the Company fails to describe fully the Commission’s thinking.  While PSE correctly notes the Commission’s statement that it will consider whether plant provides benefits to customers, PSE fails to note the Commission’s admonition that the plant must </w:t>
      </w:r>
      <w:r w:rsidR="00AE16B0" w:rsidRPr="005431CD">
        <w:rPr>
          <w:rFonts w:ascii="Times New Roman" w:hAnsi="Times New Roman" w:cs="Times New Roman"/>
          <w:sz w:val="24"/>
          <w:szCs w:val="24"/>
        </w:rPr>
        <w:t xml:space="preserve">still </w:t>
      </w:r>
      <w:r w:rsidR="000432E7" w:rsidRPr="005431CD">
        <w:rPr>
          <w:rFonts w:ascii="Times New Roman" w:hAnsi="Times New Roman" w:cs="Times New Roman"/>
          <w:sz w:val="24"/>
          <w:szCs w:val="24"/>
        </w:rPr>
        <w:t>be “employed” in accomplishing something beneficial.</w:t>
      </w:r>
      <w:r w:rsidR="000432E7">
        <w:rPr>
          <w:rStyle w:val="FootnoteReference"/>
          <w:rFonts w:ascii="Times New Roman" w:hAnsi="Times New Roman" w:cs="Times New Roman"/>
          <w:sz w:val="24"/>
          <w:szCs w:val="24"/>
        </w:rPr>
        <w:footnoteReference w:id="15"/>
      </w:r>
      <w:r w:rsidR="000432E7" w:rsidRPr="005431CD">
        <w:rPr>
          <w:rFonts w:ascii="Times New Roman" w:hAnsi="Times New Roman" w:cs="Times New Roman"/>
          <w:sz w:val="24"/>
          <w:szCs w:val="24"/>
        </w:rPr>
        <w:t xml:space="preserve"> It is this aspect of the “used and useful” st</w:t>
      </w:r>
      <w:r w:rsidR="003B5B3E" w:rsidRPr="005431CD">
        <w:rPr>
          <w:rFonts w:ascii="Times New Roman" w:hAnsi="Times New Roman" w:cs="Times New Roman"/>
          <w:sz w:val="24"/>
          <w:szCs w:val="24"/>
        </w:rPr>
        <w:t xml:space="preserve">andard that disqualifies the proposed </w:t>
      </w:r>
      <w:r w:rsidR="00D23475" w:rsidRPr="005431CD">
        <w:rPr>
          <w:rFonts w:ascii="Times New Roman" w:hAnsi="Times New Roman" w:cs="Times New Roman"/>
          <w:sz w:val="24"/>
          <w:szCs w:val="24"/>
        </w:rPr>
        <w:t>surcharge</w:t>
      </w:r>
      <w:r w:rsidR="000432E7" w:rsidRPr="005431CD">
        <w:rPr>
          <w:rFonts w:ascii="Times New Roman" w:hAnsi="Times New Roman" w:cs="Times New Roman"/>
          <w:sz w:val="24"/>
          <w:szCs w:val="24"/>
        </w:rPr>
        <w:t xml:space="preserve">.   </w:t>
      </w:r>
    </w:p>
    <w:p w:rsidR="000432E7" w:rsidRPr="005431CD" w:rsidRDefault="005431CD" w:rsidP="005431CD">
      <w:pPr>
        <w:pStyle w:val="ListParagraph"/>
        <w:numPr>
          <w:ilvl w:val="0"/>
          <w:numId w:val="14"/>
        </w:num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0432E7" w:rsidRPr="005431CD">
        <w:rPr>
          <w:rFonts w:ascii="Times New Roman" w:hAnsi="Times New Roman" w:cs="Times New Roman"/>
          <w:sz w:val="24"/>
          <w:szCs w:val="24"/>
        </w:rPr>
        <w:t xml:space="preserve">In fact, some of the plant that the Company seeks to include in rate base for recovery through the surcharge is </w:t>
      </w:r>
      <w:r w:rsidR="002A2809">
        <w:rPr>
          <w:rFonts w:ascii="Times New Roman" w:hAnsi="Times New Roman" w:cs="Times New Roman"/>
          <w:sz w:val="24"/>
          <w:szCs w:val="24"/>
        </w:rPr>
        <w:t xml:space="preserve">not </w:t>
      </w:r>
      <w:r w:rsidR="000432E7" w:rsidRPr="005431CD">
        <w:rPr>
          <w:rFonts w:ascii="Times New Roman" w:hAnsi="Times New Roman" w:cs="Times New Roman"/>
          <w:sz w:val="24"/>
          <w:szCs w:val="24"/>
        </w:rPr>
        <w:t xml:space="preserve">employed in accomplishing </w:t>
      </w:r>
      <w:r w:rsidR="002A2809">
        <w:rPr>
          <w:rFonts w:ascii="Times New Roman" w:hAnsi="Times New Roman" w:cs="Times New Roman"/>
          <w:sz w:val="24"/>
          <w:szCs w:val="24"/>
        </w:rPr>
        <w:t>anything</w:t>
      </w:r>
      <w:r w:rsidR="000432E7" w:rsidRPr="005431CD">
        <w:rPr>
          <w:rFonts w:ascii="Times New Roman" w:hAnsi="Times New Roman" w:cs="Times New Roman"/>
          <w:i/>
          <w:sz w:val="24"/>
          <w:szCs w:val="24"/>
        </w:rPr>
        <w:t xml:space="preserve"> </w:t>
      </w:r>
      <w:r w:rsidR="000432E7" w:rsidRPr="005431CD">
        <w:rPr>
          <w:rFonts w:ascii="Times New Roman" w:hAnsi="Times New Roman" w:cs="Times New Roman"/>
          <w:sz w:val="24"/>
          <w:szCs w:val="24"/>
        </w:rPr>
        <w:t>at the</w:t>
      </w:r>
      <w:r w:rsidR="00D23475" w:rsidRPr="005431CD">
        <w:rPr>
          <w:rFonts w:ascii="Times New Roman" w:hAnsi="Times New Roman" w:cs="Times New Roman"/>
          <w:sz w:val="24"/>
          <w:szCs w:val="24"/>
        </w:rPr>
        <w:t xml:space="preserve"> time ratepayers pay </w:t>
      </w:r>
      <w:r w:rsidR="00D23475" w:rsidRPr="005431CD">
        <w:rPr>
          <w:rFonts w:ascii="Times New Roman" w:hAnsi="Times New Roman" w:cs="Times New Roman"/>
          <w:sz w:val="24"/>
          <w:szCs w:val="24"/>
        </w:rPr>
        <w:lastRenderedPageBreak/>
        <w:t>the surcharge</w:t>
      </w:r>
      <w:r w:rsidR="002A2809">
        <w:rPr>
          <w:rFonts w:ascii="Times New Roman" w:hAnsi="Times New Roman" w:cs="Times New Roman"/>
          <w:sz w:val="24"/>
          <w:szCs w:val="24"/>
        </w:rPr>
        <w:t xml:space="preserve"> because the plant literally does not even exist</w:t>
      </w:r>
      <w:r w:rsidR="00D23475" w:rsidRPr="005431CD">
        <w:rPr>
          <w:rFonts w:ascii="Times New Roman" w:hAnsi="Times New Roman" w:cs="Times New Roman"/>
          <w:sz w:val="24"/>
          <w:szCs w:val="24"/>
        </w:rPr>
        <w:t>.</w:t>
      </w:r>
      <w:r w:rsidR="000432E7" w:rsidRPr="005431CD">
        <w:rPr>
          <w:rFonts w:ascii="Times New Roman" w:hAnsi="Times New Roman" w:cs="Times New Roman"/>
          <w:sz w:val="24"/>
          <w:szCs w:val="24"/>
        </w:rPr>
        <w:t xml:space="preserve"> </w:t>
      </w:r>
      <w:r w:rsidR="00D23475" w:rsidRPr="005431CD">
        <w:rPr>
          <w:rFonts w:ascii="Times New Roman" w:hAnsi="Times New Roman" w:cs="Times New Roman"/>
          <w:sz w:val="24"/>
          <w:szCs w:val="24"/>
        </w:rPr>
        <w:t xml:space="preserve"> </w:t>
      </w:r>
      <w:r w:rsidR="000432E7" w:rsidRPr="005431CD">
        <w:rPr>
          <w:rFonts w:ascii="Times New Roman" w:hAnsi="Times New Roman" w:cs="Times New Roman"/>
          <w:sz w:val="24"/>
          <w:szCs w:val="24"/>
        </w:rPr>
        <w:t xml:space="preserve">The Commission’s most recent writing on the “used and useful” standard fully supports </w:t>
      </w:r>
      <w:r w:rsidR="003B5B3E" w:rsidRPr="005431CD">
        <w:rPr>
          <w:rFonts w:ascii="Times New Roman" w:hAnsi="Times New Roman" w:cs="Times New Roman"/>
          <w:sz w:val="24"/>
          <w:szCs w:val="24"/>
        </w:rPr>
        <w:t xml:space="preserve">Staff’s conclusion that the </w:t>
      </w:r>
      <w:r w:rsidR="000432E7" w:rsidRPr="005431CD">
        <w:rPr>
          <w:rFonts w:ascii="Times New Roman" w:hAnsi="Times New Roman" w:cs="Times New Roman"/>
          <w:sz w:val="24"/>
          <w:szCs w:val="24"/>
        </w:rPr>
        <w:t>surcharge should be rejected as a matter of law.</w:t>
      </w:r>
    </w:p>
    <w:p w:rsidR="00A136B8" w:rsidRDefault="00F0509E" w:rsidP="000B4D8E">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A136B8" w:rsidRPr="00F0509E">
        <w:rPr>
          <w:rFonts w:ascii="Times New Roman" w:hAnsi="Times New Roman" w:cs="Times New Roman"/>
          <w:b/>
          <w:sz w:val="24"/>
          <w:szCs w:val="24"/>
        </w:rPr>
        <w:t>Th</w:t>
      </w:r>
      <w:r w:rsidR="00D23475">
        <w:rPr>
          <w:rFonts w:ascii="Times New Roman" w:hAnsi="Times New Roman" w:cs="Times New Roman"/>
          <w:b/>
          <w:sz w:val="24"/>
          <w:szCs w:val="24"/>
        </w:rPr>
        <w:t xml:space="preserve">e Proposed </w:t>
      </w:r>
      <w:r w:rsidR="00A136B8" w:rsidRPr="00F0509E">
        <w:rPr>
          <w:rFonts w:ascii="Times New Roman" w:hAnsi="Times New Roman" w:cs="Times New Roman"/>
          <w:b/>
          <w:sz w:val="24"/>
          <w:szCs w:val="24"/>
        </w:rPr>
        <w:t xml:space="preserve">Surcharge </w:t>
      </w:r>
      <w:r w:rsidR="003C2ADF">
        <w:rPr>
          <w:rFonts w:ascii="Times New Roman" w:hAnsi="Times New Roman" w:cs="Times New Roman"/>
          <w:b/>
          <w:sz w:val="24"/>
          <w:szCs w:val="24"/>
        </w:rPr>
        <w:t>Should Be Rejected Because It Is</w:t>
      </w:r>
      <w:r w:rsidR="00A136B8" w:rsidRPr="00F0509E">
        <w:rPr>
          <w:rFonts w:ascii="Times New Roman" w:hAnsi="Times New Roman" w:cs="Times New Roman"/>
          <w:b/>
          <w:sz w:val="24"/>
          <w:szCs w:val="24"/>
        </w:rPr>
        <w:t xml:space="preserve"> Single-Issue Ratemaking </w:t>
      </w:r>
      <w:r w:rsidR="003B5B3E">
        <w:rPr>
          <w:rFonts w:ascii="Times New Roman" w:hAnsi="Times New Roman" w:cs="Times New Roman"/>
          <w:b/>
          <w:sz w:val="24"/>
          <w:szCs w:val="24"/>
        </w:rPr>
        <w:t xml:space="preserve">with No </w:t>
      </w:r>
      <w:r w:rsidR="00D23475">
        <w:rPr>
          <w:rFonts w:ascii="Times New Roman" w:hAnsi="Times New Roman" w:cs="Times New Roman"/>
          <w:b/>
          <w:sz w:val="24"/>
          <w:szCs w:val="24"/>
        </w:rPr>
        <w:t xml:space="preserve">Justification or </w:t>
      </w:r>
      <w:r w:rsidR="005111DC" w:rsidRPr="00F0509E">
        <w:rPr>
          <w:rFonts w:ascii="Times New Roman" w:hAnsi="Times New Roman" w:cs="Times New Roman"/>
          <w:b/>
          <w:sz w:val="24"/>
          <w:szCs w:val="24"/>
        </w:rPr>
        <w:t>Ratepayer Benefit</w:t>
      </w:r>
    </w:p>
    <w:p w:rsidR="00624D53" w:rsidRPr="00F0509E" w:rsidRDefault="00624D53" w:rsidP="00624D53">
      <w:pPr>
        <w:spacing w:after="0" w:line="240" w:lineRule="auto"/>
        <w:ind w:left="1440" w:hanging="720"/>
        <w:rPr>
          <w:rFonts w:ascii="Times New Roman" w:hAnsi="Times New Roman" w:cs="Times New Roman"/>
          <w:b/>
          <w:sz w:val="24"/>
          <w:szCs w:val="24"/>
        </w:rPr>
      </w:pPr>
    </w:p>
    <w:p w:rsidR="00BD2BAD"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B5B3E" w:rsidRPr="005431CD">
        <w:rPr>
          <w:rFonts w:ascii="Times New Roman" w:hAnsi="Times New Roman" w:cs="Times New Roman"/>
          <w:sz w:val="24"/>
          <w:szCs w:val="24"/>
        </w:rPr>
        <w:t xml:space="preserve">The proposed </w:t>
      </w:r>
      <w:r w:rsidR="003C2ADF" w:rsidRPr="005431CD">
        <w:rPr>
          <w:rFonts w:ascii="Times New Roman" w:hAnsi="Times New Roman" w:cs="Times New Roman"/>
          <w:sz w:val="24"/>
          <w:szCs w:val="24"/>
        </w:rPr>
        <w:t xml:space="preserve">surcharge would </w:t>
      </w:r>
      <w:r w:rsidR="00BD2BAD" w:rsidRPr="005431CD">
        <w:rPr>
          <w:rFonts w:ascii="Times New Roman" w:hAnsi="Times New Roman" w:cs="Times New Roman"/>
          <w:sz w:val="24"/>
          <w:szCs w:val="24"/>
        </w:rPr>
        <w:t xml:space="preserve">separate cost recovery for pipeline replacement </w:t>
      </w:r>
      <w:r w:rsidR="00F42515" w:rsidRPr="005431CD">
        <w:rPr>
          <w:rFonts w:ascii="Times New Roman" w:hAnsi="Times New Roman" w:cs="Times New Roman"/>
          <w:sz w:val="24"/>
          <w:szCs w:val="24"/>
        </w:rPr>
        <w:t xml:space="preserve">activities </w:t>
      </w:r>
      <w:r w:rsidR="00BD2BAD" w:rsidRPr="005431CD">
        <w:rPr>
          <w:rFonts w:ascii="Times New Roman" w:hAnsi="Times New Roman" w:cs="Times New Roman"/>
          <w:sz w:val="24"/>
          <w:szCs w:val="24"/>
        </w:rPr>
        <w:t xml:space="preserve">without consideration of all other components of the Company’s overall revenue requirement.  </w:t>
      </w:r>
      <w:r w:rsidR="00F42515" w:rsidRPr="005431CD">
        <w:rPr>
          <w:rFonts w:ascii="Times New Roman" w:hAnsi="Times New Roman" w:cs="Times New Roman"/>
          <w:sz w:val="24"/>
          <w:szCs w:val="24"/>
        </w:rPr>
        <w:t>This</w:t>
      </w:r>
      <w:r w:rsidR="00BD2BAD" w:rsidRPr="005431CD">
        <w:rPr>
          <w:rFonts w:ascii="Times New Roman" w:hAnsi="Times New Roman" w:cs="Times New Roman"/>
          <w:sz w:val="24"/>
          <w:szCs w:val="24"/>
        </w:rPr>
        <w:t xml:space="preserve"> constitutes “s</w:t>
      </w:r>
      <w:r w:rsidR="00E81AAC" w:rsidRPr="005431CD">
        <w:rPr>
          <w:rFonts w:ascii="Times New Roman" w:hAnsi="Times New Roman" w:cs="Times New Roman"/>
          <w:sz w:val="24"/>
          <w:szCs w:val="24"/>
        </w:rPr>
        <w:t xml:space="preserve">ingle-issue ratemaking” which is generally </w:t>
      </w:r>
      <w:r w:rsidR="00BD2BAD" w:rsidRPr="005431CD">
        <w:rPr>
          <w:rFonts w:ascii="Times New Roman" w:hAnsi="Times New Roman" w:cs="Times New Roman"/>
          <w:sz w:val="24"/>
          <w:szCs w:val="24"/>
        </w:rPr>
        <w:t>disfavored by the Commission:</w:t>
      </w:r>
    </w:p>
    <w:p w:rsidR="00BD2BAD" w:rsidRDefault="00BD2BAD" w:rsidP="00427C85">
      <w:pPr>
        <w:spacing w:after="0" w:line="240" w:lineRule="auto"/>
        <w:ind w:left="720"/>
        <w:rPr>
          <w:rFonts w:ascii="Times New Roman" w:hAnsi="Times New Roman" w:cs="Times New Roman"/>
          <w:sz w:val="24"/>
          <w:szCs w:val="24"/>
        </w:rPr>
      </w:pPr>
      <w:r w:rsidRPr="00427C85">
        <w:rPr>
          <w:rFonts w:ascii="Times New Roman" w:hAnsi="Times New Roman" w:cs="Times New Roman"/>
          <w:sz w:val="24"/>
          <w:szCs w:val="24"/>
        </w:rPr>
        <w:t>In particular, we disfavor and typically avoid single-issue ratemaking and we are careful to preserve so far as is reasonable the “matching principle” that relies on our consideration of all revenues, costs and adjustments in the context of a test year with a definite ending date.</w:t>
      </w:r>
      <w:r w:rsidRPr="00427C85">
        <w:rPr>
          <w:rStyle w:val="FootnoteReference"/>
          <w:rFonts w:ascii="Times New Roman" w:hAnsi="Times New Roman" w:cs="Times New Roman"/>
          <w:sz w:val="24"/>
          <w:szCs w:val="24"/>
        </w:rPr>
        <w:footnoteReference w:id="16"/>
      </w:r>
      <w:r w:rsidRPr="00427C85">
        <w:rPr>
          <w:rFonts w:ascii="Times New Roman" w:hAnsi="Times New Roman" w:cs="Times New Roman"/>
          <w:sz w:val="24"/>
          <w:szCs w:val="24"/>
        </w:rPr>
        <w:t xml:space="preserve"> </w:t>
      </w:r>
    </w:p>
    <w:p w:rsidR="00427C85" w:rsidRDefault="00427C85" w:rsidP="00427C85">
      <w:pPr>
        <w:spacing w:after="0" w:line="240" w:lineRule="auto"/>
        <w:ind w:left="720"/>
        <w:rPr>
          <w:rFonts w:ascii="Times New Roman" w:hAnsi="Times New Roman" w:cs="Times New Roman"/>
          <w:sz w:val="24"/>
          <w:szCs w:val="24"/>
        </w:rPr>
      </w:pPr>
    </w:p>
    <w:p w:rsidR="00427C85" w:rsidRDefault="00427C85" w:rsidP="00427C85">
      <w:pPr>
        <w:spacing w:after="0" w:line="480" w:lineRule="auto"/>
        <w:rPr>
          <w:rFonts w:ascii="Times New Roman" w:hAnsi="Times New Roman" w:cs="Times New Roman"/>
          <w:sz w:val="24"/>
          <w:szCs w:val="24"/>
        </w:rPr>
      </w:pPr>
      <w:r>
        <w:rPr>
          <w:rFonts w:ascii="Times New Roman" w:hAnsi="Times New Roman" w:cs="Times New Roman"/>
          <w:sz w:val="24"/>
          <w:szCs w:val="24"/>
        </w:rPr>
        <w:t>The Commi</w:t>
      </w:r>
      <w:r w:rsidR="004074D6">
        <w:rPr>
          <w:rFonts w:ascii="Times New Roman" w:hAnsi="Times New Roman" w:cs="Times New Roman"/>
          <w:sz w:val="24"/>
          <w:szCs w:val="24"/>
        </w:rPr>
        <w:t>ssion confirmed</w:t>
      </w:r>
      <w:r w:rsidR="001E4A87">
        <w:rPr>
          <w:rFonts w:ascii="Times New Roman" w:hAnsi="Times New Roman" w:cs="Times New Roman"/>
          <w:sz w:val="24"/>
          <w:szCs w:val="24"/>
        </w:rPr>
        <w:t xml:space="preserve"> </w:t>
      </w:r>
      <w:r w:rsidR="0051773C">
        <w:rPr>
          <w:rFonts w:ascii="Times New Roman" w:hAnsi="Times New Roman" w:cs="Times New Roman"/>
          <w:sz w:val="24"/>
          <w:szCs w:val="24"/>
        </w:rPr>
        <w:t xml:space="preserve">in PSE’s 2006 general rate case </w:t>
      </w:r>
      <w:r>
        <w:rPr>
          <w:rFonts w:ascii="Times New Roman" w:hAnsi="Times New Roman" w:cs="Times New Roman"/>
          <w:sz w:val="24"/>
          <w:szCs w:val="24"/>
        </w:rPr>
        <w:t>that</w:t>
      </w:r>
      <w:r w:rsidR="00F42515">
        <w:rPr>
          <w:rFonts w:ascii="Times New Roman" w:hAnsi="Times New Roman" w:cs="Times New Roman"/>
          <w:sz w:val="24"/>
          <w:szCs w:val="24"/>
        </w:rPr>
        <w:t xml:space="preserve"> it will not approve </w:t>
      </w:r>
      <w:r>
        <w:rPr>
          <w:rFonts w:ascii="Times New Roman" w:hAnsi="Times New Roman" w:cs="Times New Roman"/>
          <w:sz w:val="24"/>
          <w:szCs w:val="24"/>
        </w:rPr>
        <w:t>mechanisms that constitute single-issue ra</w:t>
      </w:r>
      <w:r w:rsidR="00674658">
        <w:rPr>
          <w:rFonts w:ascii="Times New Roman" w:hAnsi="Times New Roman" w:cs="Times New Roman"/>
          <w:sz w:val="24"/>
          <w:szCs w:val="24"/>
        </w:rPr>
        <w:t xml:space="preserve">temaking without evidence of </w:t>
      </w:r>
      <w:r>
        <w:rPr>
          <w:rFonts w:ascii="Times New Roman" w:hAnsi="Times New Roman" w:cs="Times New Roman"/>
          <w:sz w:val="24"/>
          <w:szCs w:val="24"/>
        </w:rPr>
        <w:t>extraordinary and compelling reason</w:t>
      </w:r>
      <w:r w:rsidR="00674658">
        <w:rPr>
          <w:rFonts w:ascii="Times New Roman" w:hAnsi="Times New Roman" w:cs="Times New Roman"/>
          <w:sz w:val="24"/>
          <w:szCs w:val="24"/>
        </w:rPr>
        <w:t>s</w:t>
      </w:r>
      <w:r>
        <w:rPr>
          <w:rFonts w:ascii="Times New Roman" w:hAnsi="Times New Roman" w:cs="Times New Roman"/>
          <w:sz w:val="24"/>
          <w:szCs w:val="24"/>
        </w:rPr>
        <w:t>:</w:t>
      </w:r>
    </w:p>
    <w:p w:rsidR="00427C85" w:rsidRPr="00810354" w:rsidRDefault="00427C85" w:rsidP="00810354">
      <w:pPr>
        <w:spacing w:after="0" w:line="240" w:lineRule="auto"/>
        <w:ind w:left="720"/>
        <w:rPr>
          <w:rFonts w:ascii="Times New Roman" w:hAnsi="Times New Roman" w:cs="Times New Roman"/>
          <w:sz w:val="24"/>
          <w:szCs w:val="24"/>
        </w:rPr>
      </w:pPr>
      <w:r w:rsidRPr="00427C85">
        <w:rPr>
          <w:rFonts w:ascii="Times New Roman" w:hAnsi="Times New Roman" w:cs="Times New Roman"/>
          <w:sz w:val="24"/>
          <w:szCs w:val="24"/>
        </w:rPr>
        <w:t>It requires extraordinary circumstances to support a departure from fundamental</w:t>
      </w:r>
      <w:r w:rsidRPr="00427C85">
        <w:rPr>
          <w:rFonts w:ascii="Times New Roman" w:hAnsi="Times New Roman" w:cs="Times New Roman"/>
          <w:i/>
          <w:sz w:val="24"/>
          <w:szCs w:val="24"/>
        </w:rPr>
        <w:t xml:space="preserve"> </w:t>
      </w:r>
      <w:r w:rsidRPr="00427C85">
        <w:rPr>
          <w:rFonts w:ascii="Times New Roman" w:hAnsi="Times New Roman" w:cs="Times New Roman"/>
          <w:sz w:val="24"/>
          <w:szCs w:val="24"/>
        </w:rPr>
        <w:t xml:space="preserve">ratemaking principles.  In prior cases the Commission has required </w:t>
      </w:r>
      <w:r>
        <w:rPr>
          <w:rFonts w:ascii="Times New Roman" w:hAnsi="Times New Roman" w:cs="Times New Roman"/>
          <w:sz w:val="24"/>
          <w:szCs w:val="24"/>
        </w:rPr>
        <w:t>‘</w:t>
      </w:r>
      <w:r w:rsidRPr="00427C85">
        <w:rPr>
          <w:rFonts w:ascii="Times New Roman" w:hAnsi="Times New Roman" w:cs="Times New Roman"/>
          <w:sz w:val="24"/>
          <w:szCs w:val="24"/>
        </w:rPr>
        <w:t xml:space="preserve">a clear and convincing showing that the Company will be denied any reasonable opportunity to earn </w:t>
      </w:r>
      <w:r w:rsidRPr="00810354">
        <w:rPr>
          <w:rFonts w:ascii="Times New Roman" w:hAnsi="Times New Roman" w:cs="Times New Roman"/>
          <w:sz w:val="24"/>
          <w:szCs w:val="24"/>
        </w:rPr>
        <w:t>its authorized rate of return without extraordinary relief.</w:t>
      </w:r>
      <w:r w:rsidR="00F42515" w:rsidRPr="00810354">
        <w:rPr>
          <w:rFonts w:ascii="Times New Roman" w:hAnsi="Times New Roman" w:cs="Times New Roman"/>
          <w:sz w:val="24"/>
          <w:szCs w:val="24"/>
        </w:rPr>
        <w:t>’</w:t>
      </w:r>
      <w:r w:rsidR="00F42515" w:rsidRPr="00810354">
        <w:rPr>
          <w:rStyle w:val="FootnoteReference"/>
          <w:rFonts w:ascii="Times New Roman" w:hAnsi="Times New Roman" w:cs="Times New Roman"/>
          <w:sz w:val="24"/>
          <w:szCs w:val="24"/>
        </w:rPr>
        <w:footnoteReference w:id="17"/>
      </w:r>
    </w:p>
    <w:p w:rsidR="00BD2BAD" w:rsidRPr="00810354" w:rsidRDefault="00BD2BAD" w:rsidP="00810354">
      <w:pPr>
        <w:spacing w:after="0" w:line="240" w:lineRule="auto"/>
        <w:ind w:left="1440"/>
        <w:rPr>
          <w:rFonts w:ascii="Times New Roman" w:hAnsi="Times New Roman" w:cs="Times New Roman"/>
          <w:sz w:val="24"/>
          <w:szCs w:val="24"/>
        </w:rPr>
      </w:pPr>
    </w:p>
    <w:p w:rsidR="00F25F40"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B5B3E" w:rsidRPr="005431CD">
        <w:rPr>
          <w:rFonts w:ascii="Times New Roman" w:hAnsi="Times New Roman" w:cs="Times New Roman"/>
          <w:sz w:val="24"/>
          <w:szCs w:val="24"/>
        </w:rPr>
        <w:t>Like the proposed</w:t>
      </w:r>
      <w:r w:rsidR="003C2ADF" w:rsidRPr="005431CD">
        <w:rPr>
          <w:rFonts w:ascii="Times New Roman" w:hAnsi="Times New Roman" w:cs="Times New Roman"/>
          <w:sz w:val="24"/>
          <w:szCs w:val="24"/>
        </w:rPr>
        <w:t xml:space="preserve"> surcharge</w:t>
      </w:r>
      <w:r w:rsidR="00E910F9" w:rsidRPr="005431CD">
        <w:rPr>
          <w:rFonts w:ascii="Times New Roman" w:hAnsi="Times New Roman" w:cs="Times New Roman"/>
          <w:sz w:val="24"/>
          <w:szCs w:val="24"/>
        </w:rPr>
        <w:t xml:space="preserve"> here</w:t>
      </w:r>
      <w:r w:rsidR="0051773C" w:rsidRPr="005431CD">
        <w:rPr>
          <w:rFonts w:ascii="Times New Roman" w:hAnsi="Times New Roman" w:cs="Times New Roman"/>
          <w:sz w:val="24"/>
          <w:szCs w:val="24"/>
        </w:rPr>
        <w:t xml:space="preserve">, </w:t>
      </w:r>
      <w:r w:rsidR="008C4D44" w:rsidRPr="005431CD">
        <w:rPr>
          <w:rFonts w:ascii="Times New Roman" w:hAnsi="Times New Roman" w:cs="Times New Roman"/>
          <w:sz w:val="24"/>
          <w:szCs w:val="24"/>
        </w:rPr>
        <w:t xml:space="preserve">the Company’s </w:t>
      </w:r>
      <w:r w:rsidR="004074D6" w:rsidRPr="005431CD">
        <w:rPr>
          <w:rFonts w:ascii="Times New Roman" w:hAnsi="Times New Roman" w:cs="Times New Roman"/>
          <w:sz w:val="24"/>
          <w:szCs w:val="24"/>
        </w:rPr>
        <w:t xml:space="preserve">proposal in 2006 was a tracker to address regulatory lag in the recovery of </w:t>
      </w:r>
      <w:r w:rsidR="0051773C" w:rsidRPr="005431CD">
        <w:rPr>
          <w:rFonts w:ascii="Times New Roman" w:hAnsi="Times New Roman" w:cs="Times New Roman"/>
          <w:sz w:val="24"/>
          <w:szCs w:val="24"/>
        </w:rPr>
        <w:t xml:space="preserve">infrastructure replacement </w:t>
      </w:r>
      <w:r w:rsidR="004074D6" w:rsidRPr="005431CD">
        <w:rPr>
          <w:rFonts w:ascii="Times New Roman" w:hAnsi="Times New Roman" w:cs="Times New Roman"/>
          <w:sz w:val="24"/>
          <w:szCs w:val="24"/>
        </w:rPr>
        <w:t>costs incurred</w:t>
      </w:r>
      <w:r w:rsidR="0051773C" w:rsidRPr="005431CD">
        <w:rPr>
          <w:rFonts w:ascii="Times New Roman" w:hAnsi="Times New Roman" w:cs="Times New Roman"/>
          <w:sz w:val="24"/>
          <w:szCs w:val="24"/>
        </w:rPr>
        <w:t xml:space="preserve"> between general rate cases.</w:t>
      </w:r>
      <w:r w:rsidR="004074D6">
        <w:rPr>
          <w:rStyle w:val="FootnoteReference"/>
          <w:rFonts w:ascii="Times New Roman" w:hAnsi="Times New Roman" w:cs="Times New Roman"/>
          <w:sz w:val="24"/>
          <w:szCs w:val="24"/>
        </w:rPr>
        <w:footnoteReference w:id="18"/>
      </w:r>
      <w:r w:rsidR="0051773C" w:rsidRPr="005431CD">
        <w:rPr>
          <w:rFonts w:ascii="Times New Roman" w:hAnsi="Times New Roman" w:cs="Times New Roman"/>
          <w:sz w:val="24"/>
          <w:szCs w:val="24"/>
        </w:rPr>
        <w:t xml:space="preserve">  </w:t>
      </w:r>
      <w:r w:rsidR="00F25F40" w:rsidRPr="005431CD">
        <w:rPr>
          <w:rFonts w:ascii="Times New Roman" w:hAnsi="Times New Roman" w:cs="Times New Roman"/>
          <w:sz w:val="24"/>
          <w:szCs w:val="24"/>
        </w:rPr>
        <w:t>The Commission rejected the tracker, stating:</w:t>
      </w:r>
    </w:p>
    <w:p w:rsidR="00F25F40" w:rsidRPr="005431CD" w:rsidRDefault="00F25F40" w:rsidP="003C2ADF">
      <w:pPr>
        <w:spacing w:after="0" w:line="240" w:lineRule="auto"/>
        <w:ind w:left="720"/>
        <w:rPr>
          <w:rFonts w:ascii="Times New Roman" w:hAnsi="Times New Roman" w:cs="Times New Roman"/>
          <w:sz w:val="24"/>
          <w:szCs w:val="24"/>
        </w:rPr>
      </w:pPr>
      <w:r w:rsidRPr="005431CD">
        <w:rPr>
          <w:rFonts w:ascii="Times New Roman" w:hAnsi="Times New Roman" w:cs="Times New Roman"/>
          <w:sz w:val="24"/>
          <w:szCs w:val="24"/>
        </w:rPr>
        <w:lastRenderedPageBreak/>
        <w:t xml:space="preserve">PSE has not demonstrated financial circumstances that might justify the extraordinary relief represented by the proposed tracker mechanism.  Nor has the Company demonstrated that regulatory lag will prevent it from making investments necessary to maintain reliable service to its electric and gas customers.  </w:t>
      </w:r>
    </w:p>
    <w:p w:rsidR="003C2ADF" w:rsidRPr="00F25F40" w:rsidRDefault="003C2ADF" w:rsidP="003C2ADF">
      <w:pPr>
        <w:spacing w:after="0" w:line="240" w:lineRule="auto"/>
        <w:ind w:left="720"/>
        <w:rPr>
          <w:rFonts w:ascii="Times New Roman" w:hAnsi="Times New Roman" w:cs="Times New Roman"/>
        </w:rPr>
      </w:pPr>
    </w:p>
    <w:p w:rsidR="00F25F40" w:rsidRPr="005431CD" w:rsidRDefault="00F25F40" w:rsidP="00F25F40">
      <w:pPr>
        <w:spacing w:after="0" w:line="240" w:lineRule="auto"/>
        <w:ind w:left="720"/>
        <w:rPr>
          <w:rFonts w:ascii="Times New Roman" w:hAnsi="Times New Roman" w:cs="Times New Roman"/>
          <w:sz w:val="24"/>
          <w:szCs w:val="24"/>
        </w:rPr>
      </w:pPr>
      <w:r w:rsidRPr="005431CD">
        <w:rPr>
          <w:rFonts w:ascii="Times New Roman" w:hAnsi="Times New Roman" w:cs="Times New Roman"/>
          <w:sz w:val="24"/>
          <w:szCs w:val="24"/>
        </w:rPr>
        <w:t>In short, the record simply does not support and we cannot approve a novel mechanism to change rates that will shift risks and costs to ratepayers without the benefit of a full review of revenue and expenses.</w:t>
      </w:r>
      <w:r w:rsidRPr="005431CD">
        <w:rPr>
          <w:rStyle w:val="FootnoteReference"/>
          <w:rFonts w:ascii="Times New Roman" w:hAnsi="Times New Roman" w:cs="Times New Roman"/>
          <w:sz w:val="24"/>
          <w:szCs w:val="24"/>
        </w:rPr>
        <w:footnoteReference w:id="19"/>
      </w:r>
    </w:p>
    <w:p w:rsidR="00F25F40" w:rsidRPr="00F25F40" w:rsidRDefault="00F25F40" w:rsidP="00F25F40">
      <w:pPr>
        <w:spacing w:after="0" w:line="240" w:lineRule="auto"/>
        <w:ind w:left="720"/>
        <w:rPr>
          <w:rFonts w:ascii="Times New Roman" w:hAnsi="Times New Roman" w:cs="Times New Roman"/>
          <w:sz w:val="24"/>
          <w:szCs w:val="24"/>
        </w:rPr>
      </w:pPr>
    </w:p>
    <w:p w:rsidR="00A577A3"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4D6" w:rsidRPr="005431CD">
        <w:rPr>
          <w:rFonts w:ascii="Times New Roman" w:hAnsi="Times New Roman" w:cs="Times New Roman"/>
          <w:sz w:val="24"/>
          <w:szCs w:val="24"/>
        </w:rPr>
        <w:t>T</w:t>
      </w:r>
      <w:r w:rsidR="008C4D44" w:rsidRPr="005431CD">
        <w:rPr>
          <w:rFonts w:ascii="Times New Roman" w:hAnsi="Times New Roman" w:cs="Times New Roman"/>
          <w:sz w:val="24"/>
          <w:szCs w:val="24"/>
        </w:rPr>
        <w:t xml:space="preserve">he Commission has also rejected </w:t>
      </w:r>
      <w:r w:rsidR="004074D6" w:rsidRPr="005431CD">
        <w:rPr>
          <w:rFonts w:ascii="Times New Roman" w:hAnsi="Times New Roman" w:cs="Times New Roman"/>
          <w:sz w:val="24"/>
          <w:szCs w:val="24"/>
        </w:rPr>
        <w:t xml:space="preserve">a tracker </w:t>
      </w:r>
      <w:r w:rsidR="008A597F" w:rsidRPr="005431CD">
        <w:rPr>
          <w:rFonts w:ascii="Times New Roman" w:hAnsi="Times New Roman" w:cs="Times New Roman"/>
          <w:sz w:val="24"/>
          <w:szCs w:val="24"/>
        </w:rPr>
        <w:t>to recover</w:t>
      </w:r>
      <w:r w:rsidR="00D23475" w:rsidRPr="005431CD">
        <w:rPr>
          <w:rFonts w:ascii="Times New Roman" w:hAnsi="Times New Roman" w:cs="Times New Roman"/>
          <w:sz w:val="24"/>
          <w:szCs w:val="24"/>
        </w:rPr>
        <w:t xml:space="preserve"> the </w:t>
      </w:r>
      <w:r w:rsidR="004074D6" w:rsidRPr="005431CD">
        <w:rPr>
          <w:rFonts w:ascii="Times New Roman" w:hAnsi="Times New Roman" w:cs="Times New Roman"/>
          <w:sz w:val="24"/>
          <w:szCs w:val="24"/>
        </w:rPr>
        <w:t xml:space="preserve">costs of </w:t>
      </w:r>
      <w:r w:rsidR="008C4D44" w:rsidRPr="005431CD">
        <w:rPr>
          <w:rFonts w:ascii="Times New Roman" w:hAnsi="Times New Roman" w:cs="Times New Roman"/>
          <w:sz w:val="24"/>
          <w:szCs w:val="24"/>
        </w:rPr>
        <w:t xml:space="preserve">a Company pipeline replacement program, even when that program </w:t>
      </w:r>
      <w:r w:rsidR="00E910F9" w:rsidRPr="005431CD">
        <w:rPr>
          <w:rFonts w:ascii="Times New Roman" w:hAnsi="Times New Roman" w:cs="Times New Roman"/>
          <w:sz w:val="24"/>
          <w:szCs w:val="24"/>
        </w:rPr>
        <w:t xml:space="preserve">itself </w:t>
      </w:r>
      <w:r w:rsidR="008C4D44" w:rsidRPr="005431CD">
        <w:rPr>
          <w:rFonts w:ascii="Times New Roman" w:hAnsi="Times New Roman" w:cs="Times New Roman"/>
          <w:sz w:val="24"/>
          <w:szCs w:val="24"/>
        </w:rPr>
        <w:t>was ordered expressly by the Commission</w:t>
      </w:r>
      <w:r w:rsidR="003C2ADF" w:rsidRPr="005431CD">
        <w:rPr>
          <w:rFonts w:ascii="Times New Roman" w:hAnsi="Times New Roman" w:cs="Times New Roman"/>
          <w:sz w:val="24"/>
          <w:szCs w:val="24"/>
        </w:rPr>
        <w:t xml:space="preserve"> to address public safety</w:t>
      </w:r>
      <w:r w:rsidR="00C92A3F">
        <w:rPr>
          <w:rFonts w:ascii="Times New Roman" w:hAnsi="Times New Roman" w:cs="Times New Roman"/>
          <w:sz w:val="24"/>
          <w:szCs w:val="24"/>
        </w:rPr>
        <w:t xml:space="preserve">.  While the Commission did not at that time frame the test in the same terms as it </w:t>
      </w:r>
      <w:r w:rsidR="00131A76">
        <w:rPr>
          <w:rFonts w:ascii="Times New Roman" w:hAnsi="Times New Roman" w:cs="Times New Roman"/>
          <w:sz w:val="24"/>
          <w:szCs w:val="24"/>
        </w:rPr>
        <w:t>later did in PSE’s</w:t>
      </w:r>
      <w:r w:rsidR="00C92A3F">
        <w:rPr>
          <w:rFonts w:ascii="Times New Roman" w:hAnsi="Times New Roman" w:cs="Times New Roman"/>
          <w:sz w:val="24"/>
          <w:szCs w:val="24"/>
        </w:rPr>
        <w:t xml:space="preserve"> 2006 rate case, the Commission still did require a showing of unique circumstances before it would </w:t>
      </w:r>
      <w:r w:rsidR="00131A76">
        <w:rPr>
          <w:rFonts w:ascii="Times New Roman" w:hAnsi="Times New Roman" w:cs="Times New Roman"/>
          <w:sz w:val="24"/>
          <w:szCs w:val="24"/>
        </w:rPr>
        <w:t>diverge from base rate recovery of safety-related expenses</w:t>
      </w:r>
      <w:r w:rsidR="008C4D44" w:rsidRPr="005431CD">
        <w:rPr>
          <w:rFonts w:ascii="Times New Roman" w:hAnsi="Times New Roman" w:cs="Times New Roman"/>
          <w:sz w:val="24"/>
          <w:szCs w:val="24"/>
        </w:rPr>
        <w:t>:</w:t>
      </w:r>
      <w:r w:rsidR="004074D6" w:rsidRPr="005431CD">
        <w:rPr>
          <w:rFonts w:ascii="Times New Roman" w:hAnsi="Times New Roman" w:cs="Times New Roman"/>
          <w:sz w:val="24"/>
          <w:szCs w:val="24"/>
        </w:rPr>
        <w:t xml:space="preserve"> </w:t>
      </w:r>
    </w:p>
    <w:p w:rsidR="008C4D44" w:rsidRDefault="008C4D44" w:rsidP="008A597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Commission rejects the use of a tracker mechanism to recover compliance-related expenditures.  A tracker is a unique method of recovering costs and a departure from ordinary ratemaking treatment.  Earlier in this proceeding, the Commission stated the factors to be considered in determining when a tracker</w:t>
      </w:r>
      <w:r w:rsidR="008A597F">
        <w:rPr>
          <w:rFonts w:ascii="Times New Roman" w:hAnsi="Times New Roman" w:cs="Times New Roman"/>
          <w:sz w:val="24"/>
          <w:szCs w:val="24"/>
        </w:rPr>
        <w:t xml:space="preserve"> </w:t>
      </w:r>
      <w:r>
        <w:rPr>
          <w:rFonts w:ascii="Times New Roman" w:hAnsi="Times New Roman" w:cs="Times New Roman"/>
          <w:sz w:val="24"/>
          <w:szCs w:val="24"/>
        </w:rPr>
        <w:t>is appropriate.  Expenses which are easily measurable, beyond the company’s control,</w:t>
      </w:r>
      <w:r w:rsidR="008A597F">
        <w:rPr>
          <w:rFonts w:ascii="Times New Roman" w:hAnsi="Times New Roman" w:cs="Times New Roman"/>
          <w:sz w:val="24"/>
          <w:szCs w:val="24"/>
        </w:rPr>
        <w:t xml:space="preserve"> </w:t>
      </w:r>
      <w:r>
        <w:rPr>
          <w:rFonts w:ascii="Times New Roman" w:hAnsi="Times New Roman" w:cs="Times New Roman"/>
          <w:sz w:val="24"/>
          <w:szCs w:val="24"/>
        </w:rPr>
        <w:t>and which are both substantial and essential to the company’s operations may be</w:t>
      </w:r>
      <w:r w:rsidR="008A597F">
        <w:rPr>
          <w:rFonts w:ascii="Times New Roman" w:hAnsi="Times New Roman" w:cs="Times New Roman"/>
          <w:sz w:val="24"/>
          <w:szCs w:val="24"/>
        </w:rPr>
        <w:t xml:space="preserve"> </w:t>
      </w:r>
      <w:r>
        <w:rPr>
          <w:rFonts w:ascii="Times New Roman" w:hAnsi="Times New Roman" w:cs="Times New Roman"/>
          <w:sz w:val="24"/>
          <w:szCs w:val="24"/>
        </w:rPr>
        <w:t>recovered through a tracker.  The Commission has also generally required that there be</w:t>
      </w:r>
      <w:r w:rsidR="008A597F">
        <w:rPr>
          <w:rFonts w:ascii="Times New Roman" w:hAnsi="Times New Roman" w:cs="Times New Roman"/>
          <w:sz w:val="24"/>
          <w:szCs w:val="24"/>
        </w:rPr>
        <w:t xml:space="preserve"> </w:t>
      </w:r>
      <w:r>
        <w:rPr>
          <w:rFonts w:ascii="Times New Roman" w:hAnsi="Times New Roman" w:cs="Times New Roman"/>
          <w:sz w:val="24"/>
          <w:szCs w:val="24"/>
        </w:rPr>
        <w:t>substantial ratepayer benefit.</w:t>
      </w:r>
    </w:p>
    <w:p w:rsidR="008C4D44" w:rsidRDefault="008C4D44" w:rsidP="008C4D44">
      <w:pPr>
        <w:spacing w:after="0" w:line="240" w:lineRule="auto"/>
        <w:ind w:firstLine="720"/>
        <w:rPr>
          <w:rFonts w:ascii="Times New Roman" w:hAnsi="Times New Roman" w:cs="Times New Roman"/>
          <w:sz w:val="24"/>
          <w:szCs w:val="24"/>
        </w:rPr>
      </w:pPr>
    </w:p>
    <w:p w:rsidR="008C4D44" w:rsidRDefault="008C4D44" w:rsidP="008A597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 this case, the tracker would offer dollar-for-dollar recovery of certain safety-related expenditures, most of which have not been shown by </w:t>
      </w:r>
      <w:r w:rsidR="008A597F">
        <w:rPr>
          <w:rFonts w:ascii="Times New Roman" w:hAnsi="Times New Roman" w:cs="Times New Roman"/>
          <w:sz w:val="24"/>
          <w:szCs w:val="24"/>
        </w:rPr>
        <w:t>the company to be incremental to its normal operations.  Additionally, the total amount to be expended is unknown at this time, but the expenditures are within the company’s control.  To the extent these safety-related expenditures, for which recovery is sought via a tracker, are prudently incurred and required by the company’s obligation to serve, they are recoverable as operating expenses or as incremental investment when they are known and measurable.  Recovery will be considered in future proceedings.</w:t>
      </w:r>
      <w:r w:rsidR="00542985">
        <w:rPr>
          <w:rStyle w:val="FootnoteReference"/>
          <w:rFonts w:ascii="Times New Roman" w:hAnsi="Times New Roman" w:cs="Times New Roman"/>
          <w:sz w:val="24"/>
          <w:szCs w:val="24"/>
        </w:rPr>
        <w:footnoteReference w:id="20"/>
      </w:r>
    </w:p>
    <w:p w:rsidR="008A597F" w:rsidRDefault="008A597F" w:rsidP="008A597F">
      <w:pPr>
        <w:spacing w:after="0" w:line="240" w:lineRule="auto"/>
        <w:ind w:left="720"/>
        <w:rPr>
          <w:rFonts w:ascii="Times New Roman" w:hAnsi="Times New Roman" w:cs="Times New Roman"/>
          <w:sz w:val="24"/>
          <w:szCs w:val="24"/>
        </w:rPr>
      </w:pPr>
    </w:p>
    <w:p w:rsidR="00542985" w:rsidRDefault="005431CD" w:rsidP="005431CD">
      <w:pPr>
        <w:pStyle w:val="FootnoteText"/>
        <w:numPr>
          <w:ilvl w:val="0"/>
          <w:numId w:val="14"/>
        </w:numPr>
        <w:spacing w:line="480" w:lineRule="auto"/>
        <w:rPr>
          <w:sz w:val="24"/>
          <w:szCs w:val="24"/>
        </w:rPr>
      </w:pPr>
      <w:r>
        <w:rPr>
          <w:rFonts w:cs="Times New Roman"/>
          <w:sz w:val="24"/>
          <w:szCs w:val="24"/>
        </w:rPr>
        <w:lastRenderedPageBreak/>
        <w:tab/>
      </w:r>
      <w:r w:rsidR="007E7A18" w:rsidRPr="00542985">
        <w:rPr>
          <w:rFonts w:cs="Times New Roman"/>
          <w:sz w:val="24"/>
          <w:szCs w:val="24"/>
        </w:rPr>
        <w:t xml:space="preserve">PSE argues </w:t>
      </w:r>
      <w:r w:rsidR="00E81AAC" w:rsidRPr="00542985">
        <w:rPr>
          <w:rFonts w:cs="Times New Roman"/>
          <w:sz w:val="24"/>
          <w:szCs w:val="24"/>
        </w:rPr>
        <w:t>that it must not show extraordinary circumstances for the Commission to app</w:t>
      </w:r>
      <w:r w:rsidR="00542985" w:rsidRPr="00542985">
        <w:rPr>
          <w:rFonts w:cs="Times New Roman"/>
          <w:sz w:val="24"/>
          <w:szCs w:val="24"/>
        </w:rPr>
        <w:t xml:space="preserve">rove the </w:t>
      </w:r>
      <w:r w:rsidR="003C2ADF" w:rsidRPr="00542985">
        <w:rPr>
          <w:rFonts w:cs="Times New Roman"/>
          <w:sz w:val="24"/>
          <w:szCs w:val="24"/>
        </w:rPr>
        <w:t xml:space="preserve">surcharge </w:t>
      </w:r>
      <w:r w:rsidR="00542985" w:rsidRPr="00542985">
        <w:rPr>
          <w:rFonts w:cs="Times New Roman"/>
          <w:sz w:val="24"/>
          <w:szCs w:val="24"/>
        </w:rPr>
        <w:t xml:space="preserve">because </w:t>
      </w:r>
      <w:r w:rsidR="00542985" w:rsidRPr="00542985">
        <w:rPr>
          <w:sz w:val="24"/>
          <w:szCs w:val="24"/>
        </w:rPr>
        <w:t>WAC 480-07-505(2)(a) recognizes that the Commission can authorize per</w:t>
      </w:r>
      <w:r w:rsidR="00542985">
        <w:rPr>
          <w:sz w:val="24"/>
          <w:szCs w:val="24"/>
        </w:rPr>
        <w:t xml:space="preserve">iodic rate adjustments and </w:t>
      </w:r>
      <w:r w:rsidR="00542985" w:rsidRPr="00542985">
        <w:rPr>
          <w:sz w:val="24"/>
          <w:szCs w:val="24"/>
        </w:rPr>
        <w:t>the Commission has done so in the past.</w:t>
      </w:r>
      <w:r w:rsidR="00542985">
        <w:rPr>
          <w:rStyle w:val="FootnoteReference"/>
          <w:sz w:val="24"/>
          <w:szCs w:val="24"/>
        </w:rPr>
        <w:footnoteReference w:id="21"/>
      </w:r>
      <w:r w:rsidR="00542985">
        <w:rPr>
          <w:sz w:val="24"/>
          <w:szCs w:val="24"/>
        </w:rPr>
        <w:t xml:space="preserve">  </w:t>
      </w:r>
      <w:r w:rsidR="00542985" w:rsidRPr="00542985">
        <w:rPr>
          <w:sz w:val="24"/>
          <w:szCs w:val="24"/>
        </w:rPr>
        <w:t>The issue, however, is not whether the Commission has the authority to approve a periodic rate adjustment and that it has previou</w:t>
      </w:r>
      <w:r w:rsidR="00542985">
        <w:rPr>
          <w:sz w:val="24"/>
          <w:szCs w:val="24"/>
        </w:rPr>
        <w:t xml:space="preserve">sly exercised that authority.  </w:t>
      </w:r>
      <w:r w:rsidR="009529A5">
        <w:rPr>
          <w:sz w:val="24"/>
          <w:szCs w:val="24"/>
        </w:rPr>
        <w:t xml:space="preserve">Clearly it </w:t>
      </w:r>
      <w:r w:rsidR="00292171">
        <w:rPr>
          <w:sz w:val="24"/>
          <w:szCs w:val="24"/>
        </w:rPr>
        <w:t>has that authority and clearly that authority has been exercised</w:t>
      </w:r>
      <w:r w:rsidR="009529A5">
        <w:rPr>
          <w:sz w:val="24"/>
          <w:szCs w:val="24"/>
        </w:rPr>
        <w:t>.  Rather, t</w:t>
      </w:r>
      <w:r w:rsidR="00542985" w:rsidRPr="00542985">
        <w:rPr>
          <w:sz w:val="24"/>
          <w:szCs w:val="24"/>
        </w:rPr>
        <w:t>he issue is the standard to be applied for approval.  PSE’s argument is irrelevant to that issue.</w:t>
      </w:r>
    </w:p>
    <w:p w:rsidR="009529A5"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42985" w:rsidRPr="005431CD">
        <w:rPr>
          <w:rFonts w:ascii="Times New Roman" w:hAnsi="Times New Roman" w:cs="Times New Roman"/>
          <w:sz w:val="24"/>
          <w:szCs w:val="24"/>
        </w:rPr>
        <w:t xml:space="preserve">But even if PSE is correct that extraordinary circumstances need </w:t>
      </w:r>
      <w:r w:rsidR="00542985" w:rsidRPr="009B6995">
        <w:rPr>
          <w:rFonts w:ascii="Times New Roman" w:hAnsi="Times New Roman" w:cs="Times New Roman"/>
          <w:sz w:val="24"/>
          <w:szCs w:val="24"/>
        </w:rPr>
        <w:t xml:space="preserve">not </w:t>
      </w:r>
      <w:r w:rsidR="00542985" w:rsidRPr="005431CD">
        <w:rPr>
          <w:rFonts w:ascii="Times New Roman" w:hAnsi="Times New Roman" w:cs="Times New Roman"/>
          <w:sz w:val="24"/>
          <w:szCs w:val="24"/>
        </w:rPr>
        <w:t xml:space="preserve">be </w:t>
      </w:r>
      <w:r w:rsidR="009529A5" w:rsidRPr="005431CD">
        <w:rPr>
          <w:rFonts w:ascii="Times New Roman" w:hAnsi="Times New Roman" w:cs="Times New Roman"/>
          <w:sz w:val="24"/>
          <w:szCs w:val="24"/>
        </w:rPr>
        <w:t xml:space="preserve">proven, PSE failed to present evidence of any reason, extraordinary, compelling or otherwise, that would justify Commission approval of the </w:t>
      </w:r>
      <w:r w:rsidR="00E910F9" w:rsidRPr="005431CD">
        <w:rPr>
          <w:rFonts w:ascii="Times New Roman" w:hAnsi="Times New Roman" w:cs="Times New Roman"/>
          <w:sz w:val="24"/>
          <w:szCs w:val="24"/>
        </w:rPr>
        <w:t>new</w:t>
      </w:r>
      <w:r w:rsidR="009529A5" w:rsidRPr="005431CD">
        <w:rPr>
          <w:rFonts w:ascii="Times New Roman" w:hAnsi="Times New Roman" w:cs="Times New Roman"/>
          <w:sz w:val="24"/>
          <w:szCs w:val="24"/>
        </w:rPr>
        <w:t xml:space="preserve"> surcharge.  Nor has the Company demonstrated that approval of the surcharge is essential to PSE’s operations or will create substantial ratepayer benefits.  In fact, just the opposite has been proven on this record.</w:t>
      </w:r>
    </w:p>
    <w:p w:rsidR="00197742" w:rsidRDefault="00197742" w:rsidP="00197742">
      <w:pPr>
        <w:spacing w:after="0" w:line="240" w:lineRule="auto"/>
        <w:ind w:left="1170" w:hanging="45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The Surcharge Will Benefit the Company with Guaranteed Accelerated Cost Recovery </w:t>
      </w:r>
      <w:r w:rsidR="00426E4B">
        <w:rPr>
          <w:rFonts w:ascii="Times New Roman" w:hAnsi="Times New Roman" w:cs="Times New Roman"/>
          <w:b/>
          <w:sz w:val="24"/>
          <w:szCs w:val="24"/>
        </w:rPr>
        <w:t>b</w:t>
      </w:r>
      <w:r w:rsidR="00E910F9">
        <w:rPr>
          <w:rFonts w:ascii="Times New Roman" w:hAnsi="Times New Roman" w:cs="Times New Roman"/>
          <w:b/>
          <w:sz w:val="24"/>
          <w:szCs w:val="24"/>
        </w:rPr>
        <w:t xml:space="preserve">ut with No Assurance </w:t>
      </w:r>
      <w:r>
        <w:rPr>
          <w:rFonts w:ascii="Times New Roman" w:hAnsi="Times New Roman" w:cs="Times New Roman"/>
          <w:b/>
          <w:sz w:val="24"/>
          <w:szCs w:val="24"/>
        </w:rPr>
        <w:t>for Ratep</w:t>
      </w:r>
      <w:r w:rsidR="00426E4B">
        <w:rPr>
          <w:rFonts w:ascii="Times New Roman" w:hAnsi="Times New Roman" w:cs="Times New Roman"/>
          <w:b/>
          <w:sz w:val="24"/>
          <w:szCs w:val="24"/>
        </w:rPr>
        <w:t>ayers of Enhanced Safety through</w:t>
      </w:r>
      <w:r>
        <w:rPr>
          <w:rFonts w:ascii="Times New Roman" w:hAnsi="Times New Roman" w:cs="Times New Roman"/>
          <w:b/>
          <w:sz w:val="24"/>
          <w:szCs w:val="24"/>
        </w:rPr>
        <w:t xml:space="preserve"> Accelerated Pipeline Replacement </w:t>
      </w:r>
    </w:p>
    <w:p w:rsidR="00197742" w:rsidRDefault="00197742" w:rsidP="00197742">
      <w:pPr>
        <w:spacing w:after="0" w:line="240" w:lineRule="auto"/>
        <w:ind w:left="1170" w:hanging="450"/>
        <w:rPr>
          <w:rFonts w:ascii="Times New Roman" w:hAnsi="Times New Roman" w:cs="Times New Roman"/>
          <w:b/>
          <w:sz w:val="24"/>
          <w:szCs w:val="24"/>
        </w:rPr>
      </w:pPr>
    </w:p>
    <w:p w:rsidR="0062468C" w:rsidRDefault="00142E80" w:rsidP="005431CD">
      <w:pPr>
        <w:spacing w:after="0" w:line="240" w:lineRule="auto"/>
        <w:ind w:left="2160"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0D70DA">
        <w:rPr>
          <w:rFonts w:ascii="Times New Roman" w:hAnsi="Times New Roman" w:cs="Times New Roman"/>
          <w:b/>
          <w:sz w:val="24"/>
          <w:szCs w:val="24"/>
        </w:rPr>
        <w:t>Ratepayer Benefit</w:t>
      </w:r>
      <w:r>
        <w:rPr>
          <w:rFonts w:ascii="Times New Roman" w:hAnsi="Times New Roman" w:cs="Times New Roman"/>
          <w:b/>
          <w:sz w:val="24"/>
          <w:szCs w:val="24"/>
        </w:rPr>
        <w:t>s</w:t>
      </w:r>
      <w:r w:rsidR="0062468C">
        <w:rPr>
          <w:rFonts w:ascii="Times New Roman" w:hAnsi="Times New Roman" w:cs="Times New Roman"/>
          <w:b/>
          <w:sz w:val="24"/>
          <w:szCs w:val="24"/>
        </w:rPr>
        <w:t xml:space="preserve"> f</w:t>
      </w:r>
      <w:r w:rsidR="0062468C" w:rsidRPr="0062468C">
        <w:rPr>
          <w:rFonts w:ascii="Times New Roman" w:hAnsi="Times New Roman" w:cs="Times New Roman"/>
          <w:b/>
          <w:sz w:val="24"/>
          <w:szCs w:val="24"/>
        </w:rPr>
        <w:t xml:space="preserve">rom the Surcharge Cannot Be Assessed Because the Scope, Timing and Cost of Pipeline Replacement </w:t>
      </w:r>
      <w:r w:rsidR="00750D67">
        <w:rPr>
          <w:rFonts w:ascii="Times New Roman" w:hAnsi="Times New Roman" w:cs="Times New Roman"/>
          <w:b/>
          <w:sz w:val="24"/>
          <w:szCs w:val="24"/>
        </w:rPr>
        <w:t>has</w:t>
      </w:r>
      <w:r w:rsidR="0062468C">
        <w:rPr>
          <w:rFonts w:ascii="Times New Roman" w:hAnsi="Times New Roman" w:cs="Times New Roman"/>
          <w:b/>
          <w:sz w:val="24"/>
          <w:szCs w:val="24"/>
        </w:rPr>
        <w:t xml:space="preserve"> Not Been Determi</w:t>
      </w:r>
      <w:r w:rsidR="0062468C" w:rsidRPr="0062468C">
        <w:rPr>
          <w:rFonts w:ascii="Times New Roman" w:hAnsi="Times New Roman" w:cs="Times New Roman"/>
          <w:b/>
          <w:sz w:val="24"/>
          <w:szCs w:val="24"/>
        </w:rPr>
        <w:t>ned</w:t>
      </w:r>
      <w:r w:rsidR="000D70DA">
        <w:rPr>
          <w:rFonts w:ascii="Times New Roman" w:hAnsi="Times New Roman" w:cs="Times New Roman"/>
          <w:b/>
          <w:sz w:val="24"/>
          <w:szCs w:val="24"/>
        </w:rPr>
        <w:t xml:space="preserve"> </w:t>
      </w:r>
    </w:p>
    <w:p w:rsidR="0062468C" w:rsidRPr="0062468C" w:rsidRDefault="0062468C" w:rsidP="0062468C">
      <w:pPr>
        <w:spacing w:after="0" w:line="240" w:lineRule="auto"/>
        <w:ind w:left="1440" w:hanging="270"/>
        <w:rPr>
          <w:rFonts w:ascii="Times New Roman" w:hAnsi="Times New Roman" w:cs="Times New Roman"/>
          <w:b/>
          <w:sz w:val="24"/>
          <w:szCs w:val="24"/>
        </w:rPr>
      </w:pPr>
    </w:p>
    <w:p w:rsidR="00197742"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97742" w:rsidRPr="005431CD">
        <w:rPr>
          <w:rFonts w:ascii="Times New Roman" w:hAnsi="Times New Roman" w:cs="Times New Roman"/>
          <w:sz w:val="24"/>
          <w:szCs w:val="24"/>
        </w:rPr>
        <w:t xml:space="preserve">The Company states that the proposed surcharge </w:t>
      </w:r>
      <w:r w:rsidR="006C3DC9" w:rsidRPr="005431CD">
        <w:rPr>
          <w:rFonts w:ascii="Times New Roman" w:hAnsi="Times New Roman" w:cs="Times New Roman"/>
          <w:sz w:val="24"/>
          <w:szCs w:val="24"/>
        </w:rPr>
        <w:t xml:space="preserve">is intended to </w:t>
      </w:r>
      <w:r w:rsidR="00DE6B67" w:rsidRPr="005431CD">
        <w:rPr>
          <w:rFonts w:ascii="Times New Roman" w:hAnsi="Times New Roman" w:cs="Times New Roman"/>
          <w:sz w:val="24"/>
          <w:szCs w:val="24"/>
        </w:rPr>
        <w:t>“</w:t>
      </w:r>
      <w:r w:rsidR="006C3DC9" w:rsidRPr="005431CD">
        <w:rPr>
          <w:rFonts w:ascii="Times New Roman" w:hAnsi="Times New Roman" w:cs="Times New Roman"/>
          <w:sz w:val="24"/>
          <w:szCs w:val="24"/>
        </w:rPr>
        <w:t xml:space="preserve">promote a more proactive approach to pipeline integrity management that </w:t>
      </w:r>
      <w:r w:rsidR="00197742" w:rsidRPr="005431CD">
        <w:rPr>
          <w:rFonts w:ascii="Times New Roman" w:hAnsi="Times New Roman" w:cs="Times New Roman"/>
          <w:sz w:val="24"/>
          <w:szCs w:val="24"/>
        </w:rPr>
        <w:t xml:space="preserve">will benefit ratepayers by encouraging increased levels of investment in pipeline replacement that will enhance the </w:t>
      </w:r>
      <w:r w:rsidR="00197742" w:rsidRPr="005431CD">
        <w:rPr>
          <w:rFonts w:ascii="Times New Roman" w:hAnsi="Times New Roman" w:cs="Times New Roman"/>
          <w:sz w:val="24"/>
          <w:szCs w:val="24"/>
        </w:rPr>
        <w:lastRenderedPageBreak/>
        <w:t>safety and reliability of PSE’s natural gas delivery system.</w:t>
      </w:r>
      <w:r w:rsidR="00DE6B67" w:rsidRPr="005431CD">
        <w:rPr>
          <w:rFonts w:ascii="Times New Roman" w:hAnsi="Times New Roman" w:cs="Times New Roman"/>
          <w:sz w:val="24"/>
          <w:szCs w:val="24"/>
        </w:rPr>
        <w:t>”</w:t>
      </w:r>
      <w:r w:rsidR="00197742">
        <w:rPr>
          <w:rStyle w:val="FootnoteReference"/>
          <w:rFonts w:ascii="Times New Roman" w:hAnsi="Times New Roman" w:cs="Times New Roman"/>
          <w:sz w:val="24"/>
          <w:szCs w:val="24"/>
        </w:rPr>
        <w:footnoteReference w:id="22"/>
      </w:r>
      <w:r w:rsidR="00197742" w:rsidRPr="005431CD">
        <w:rPr>
          <w:rFonts w:ascii="Times New Roman" w:hAnsi="Times New Roman" w:cs="Times New Roman"/>
          <w:sz w:val="24"/>
          <w:szCs w:val="24"/>
        </w:rPr>
        <w:t xml:space="preserve">  P</w:t>
      </w:r>
      <w:r w:rsidR="00125823" w:rsidRPr="005431CD">
        <w:rPr>
          <w:rFonts w:ascii="Times New Roman" w:hAnsi="Times New Roman" w:cs="Times New Roman"/>
          <w:sz w:val="24"/>
          <w:szCs w:val="24"/>
        </w:rPr>
        <w:t xml:space="preserve">SE makes this claim </w:t>
      </w:r>
      <w:r w:rsidR="00E81E55" w:rsidRPr="005431CD">
        <w:rPr>
          <w:rFonts w:ascii="Times New Roman" w:hAnsi="Times New Roman" w:cs="Times New Roman"/>
          <w:sz w:val="24"/>
          <w:szCs w:val="24"/>
        </w:rPr>
        <w:t xml:space="preserve">even though it did not </w:t>
      </w:r>
      <w:r w:rsidR="00656AB3" w:rsidRPr="005431CD">
        <w:rPr>
          <w:rFonts w:ascii="Times New Roman" w:hAnsi="Times New Roman" w:cs="Times New Roman"/>
          <w:sz w:val="24"/>
          <w:szCs w:val="24"/>
        </w:rPr>
        <w:t xml:space="preserve">first </w:t>
      </w:r>
      <w:r w:rsidR="00E81E55" w:rsidRPr="005431CD">
        <w:rPr>
          <w:rFonts w:ascii="Times New Roman" w:hAnsi="Times New Roman" w:cs="Times New Roman"/>
          <w:sz w:val="24"/>
          <w:szCs w:val="24"/>
        </w:rPr>
        <w:t>analyze the costs and benefits for ratepayers of an accelerat</w:t>
      </w:r>
      <w:r w:rsidR="00656AB3" w:rsidRPr="005431CD">
        <w:rPr>
          <w:rFonts w:ascii="Times New Roman" w:hAnsi="Times New Roman" w:cs="Times New Roman"/>
          <w:sz w:val="24"/>
          <w:szCs w:val="24"/>
        </w:rPr>
        <w:t>ed pipeline replacement program</w:t>
      </w:r>
      <w:r w:rsidR="00E81E55" w:rsidRPr="005431CD">
        <w:rPr>
          <w:rFonts w:ascii="Times New Roman" w:hAnsi="Times New Roman" w:cs="Times New Roman"/>
          <w:sz w:val="24"/>
          <w:szCs w:val="24"/>
        </w:rPr>
        <w:t>.</w:t>
      </w:r>
      <w:r w:rsidR="00E81E55">
        <w:rPr>
          <w:rStyle w:val="FootnoteReference"/>
          <w:rFonts w:ascii="Times New Roman" w:hAnsi="Times New Roman" w:cs="Times New Roman"/>
          <w:sz w:val="24"/>
          <w:szCs w:val="24"/>
        </w:rPr>
        <w:footnoteReference w:id="23"/>
      </w:r>
      <w:r w:rsidR="00656AB3" w:rsidRPr="005431CD">
        <w:rPr>
          <w:rFonts w:ascii="Times New Roman" w:hAnsi="Times New Roman" w:cs="Times New Roman"/>
          <w:sz w:val="24"/>
          <w:szCs w:val="24"/>
        </w:rPr>
        <w:t xml:space="preserve">  Nor did the Company p</w:t>
      </w:r>
      <w:r w:rsidR="00125823" w:rsidRPr="005431CD">
        <w:rPr>
          <w:rFonts w:ascii="Times New Roman" w:hAnsi="Times New Roman" w:cs="Times New Roman"/>
          <w:sz w:val="24"/>
          <w:szCs w:val="24"/>
        </w:rPr>
        <w:t>ropo</w:t>
      </w:r>
      <w:r w:rsidR="00656AB3" w:rsidRPr="005431CD">
        <w:rPr>
          <w:rFonts w:ascii="Times New Roman" w:hAnsi="Times New Roman" w:cs="Times New Roman"/>
          <w:sz w:val="24"/>
          <w:szCs w:val="24"/>
        </w:rPr>
        <w:t xml:space="preserve">se any ongoing </w:t>
      </w:r>
      <w:r w:rsidR="00197742" w:rsidRPr="005431CD">
        <w:rPr>
          <w:rFonts w:ascii="Times New Roman" w:hAnsi="Times New Roman" w:cs="Times New Roman"/>
          <w:sz w:val="24"/>
          <w:szCs w:val="24"/>
        </w:rPr>
        <w:t xml:space="preserve">method to evaluate </w:t>
      </w:r>
      <w:r w:rsidR="00131A76">
        <w:rPr>
          <w:rFonts w:ascii="Times New Roman" w:hAnsi="Times New Roman" w:cs="Times New Roman"/>
          <w:sz w:val="24"/>
          <w:szCs w:val="24"/>
        </w:rPr>
        <w:t xml:space="preserve">the success or failure of the surcharge in </w:t>
      </w:r>
      <w:r w:rsidR="006D7171">
        <w:rPr>
          <w:rFonts w:ascii="Times New Roman" w:hAnsi="Times New Roman" w:cs="Times New Roman"/>
          <w:sz w:val="24"/>
          <w:szCs w:val="24"/>
        </w:rPr>
        <w:t xml:space="preserve">achieving </w:t>
      </w:r>
      <w:r w:rsidR="00142E80" w:rsidRPr="005431CD">
        <w:rPr>
          <w:rFonts w:ascii="Times New Roman" w:hAnsi="Times New Roman" w:cs="Times New Roman"/>
          <w:sz w:val="24"/>
          <w:szCs w:val="24"/>
        </w:rPr>
        <w:t xml:space="preserve">ratepayer </w:t>
      </w:r>
      <w:r w:rsidR="00131A76">
        <w:rPr>
          <w:rFonts w:ascii="Times New Roman" w:hAnsi="Times New Roman" w:cs="Times New Roman"/>
          <w:sz w:val="24"/>
          <w:szCs w:val="24"/>
        </w:rPr>
        <w:t>benefits</w:t>
      </w:r>
      <w:r w:rsidR="00125823" w:rsidRPr="005431CD">
        <w:rPr>
          <w:rFonts w:ascii="Times New Roman" w:hAnsi="Times New Roman" w:cs="Times New Roman"/>
          <w:sz w:val="24"/>
          <w:szCs w:val="24"/>
        </w:rPr>
        <w:t>.</w:t>
      </w:r>
      <w:r w:rsidR="00197742">
        <w:rPr>
          <w:rStyle w:val="FootnoteReference"/>
          <w:rFonts w:ascii="Times New Roman" w:hAnsi="Times New Roman" w:cs="Times New Roman"/>
          <w:sz w:val="24"/>
          <w:szCs w:val="24"/>
        </w:rPr>
        <w:footnoteReference w:id="24"/>
      </w:r>
      <w:r w:rsidR="00197742" w:rsidRPr="005431CD">
        <w:rPr>
          <w:rFonts w:ascii="Times New Roman" w:hAnsi="Times New Roman" w:cs="Times New Roman"/>
          <w:sz w:val="24"/>
          <w:szCs w:val="24"/>
        </w:rPr>
        <w:t xml:space="preserve">  </w:t>
      </w:r>
    </w:p>
    <w:p w:rsidR="00197742"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403B" w:rsidRPr="005431CD">
        <w:rPr>
          <w:rFonts w:ascii="Times New Roman" w:hAnsi="Times New Roman" w:cs="Times New Roman"/>
          <w:sz w:val="24"/>
          <w:szCs w:val="24"/>
        </w:rPr>
        <w:t>T</w:t>
      </w:r>
      <w:r w:rsidR="00197742" w:rsidRPr="005431CD">
        <w:rPr>
          <w:rFonts w:ascii="Times New Roman" w:hAnsi="Times New Roman" w:cs="Times New Roman"/>
          <w:sz w:val="24"/>
          <w:szCs w:val="24"/>
        </w:rPr>
        <w:t xml:space="preserve">he Company argues that </w:t>
      </w:r>
      <w:r w:rsidR="00B66FC4" w:rsidRPr="005431CD">
        <w:rPr>
          <w:rFonts w:ascii="Times New Roman" w:hAnsi="Times New Roman" w:cs="Times New Roman"/>
          <w:sz w:val="24"/>
          <w:szCs w:val="24"/>
        </w:rPr>
        <w:t xml:space="preserve">specific </w:t>
      </w:r>
      <w:r w:rsidR="00197742" w:rsidRPr="005431CD">
        <w:rPr>
          <w:rFonts w:ascii="Times New Roman" w:hAnsi="Times New Roman" w:cs="Times New Roman"/>
          <w:sz w:val="24"/>
          <w:szCs w:val="24"/>
        </w:rPr>
        <w:t xml:space="preserve">performance criteria and </w:t>
      </w:r>
      <w:r w:rsidR="00A27FB1" w:rsidRPr="005431CD">
        <w:rPr>
          <w:rFonts w:ascii="Times New Roman" w:hAnsi="Times New Roman" w:cs="Times New Roman"/>
          <w:sz w:val="24"/>
          <w:szCs w:val="24"/>
        </w:rPr>
        <w:t xml:space="preserve">cost/benefit </w:t>
      </w:r>
      <w:r w:rsidR="00197742" w:rsidRPr="005431CD">
        <w:rPr>
          <w:rFonts w:ascii="Times New Roman" w:hAnsi="Times New Roman" w:cs="Times New Roman"/>
          <w:sz w:val="24"/>
          <w:szCs w:val="24"/>
        </w:rPr>
        <w:t>analysis are unnecessary because ratepayer</w:t>
      </w:r>
      <w:r w:rsidR="00EE0454" w:rsidRPr="005431CD">
        <w:rPr>
          <w:rFonts w:ascii="Times New Roman" w:hAnsi="Times New Roman" w:cs="Times New Roman"/>
          <w:sz w:val="24"/>
          <w:szCs w:val="24"/>
        </w:rPr>
        <w:t xml:space="preserve"> ben</w:t>
      </w:r>
      <w:r w:rsidR="00B50B48" w:rsidRPr="005431CD">
        <w:rPr>
          <w:rFonts w:ascii="Times New Roman" w:hAnsi="Times New Roman" w:cs="Times New Roman"/>
          <w:sz w:val="24"/>
          <w:szCs w:val="24"/>
        </w:rPr>
        <w:t>efits from the surcharge are</w:t>
      </w:r>
      <w:r w:rsidR="00197742" w:rsidRPr="005431CD">
        <w:rPr>
          <w:rFonts w:ascii="Times New Roman" w:hAnsi="Times New Roman" w:cs="Times New Roman"/>
          <w:sz w:val="24"/>
          <w:szCs w:val="24"/>
        </w:rPr>
        <w:t xml:space="preserve"> qualitative in nature and should be accepted </w:t>
      </w:r>
      <w:r w:rsidR="008E403B" w:rsidRPr="005431CD">
        <w:rPr>
          <w:rFonts w:ascii="Times New Roman" w:hAnsi="Times New Roman" w:cs="Times New Roman"/>
          <w:sz w:val="24"/>
          <w:szCs w:val="24"/>
        </w:rPr>
        <w:t xml:space="preserve">by the Commission </w:t>
      </w:r>
      <w:r w:rsidR="00197742" w:rsidRPr="005431CD">
        <w:rPr>
          <w:rFonts w:ascii="Times New Roman" w:hAnsi="Times New Roman" w:cs="Times New Roman"/>
          <w:sz w:val="24"/>
          <w:szCs w:val="24"/>
        </w:rPr>
        <w:t>on the basis of intuition alone.</w:t>
      </w:r>
      <w:r w:rsidR="00197742">
        <w:rPr>
          <w:rStyle w:val="FootnoteReference"/>
          <w:rFonts w:ascii="Times New Roman" w:hAnsi="Times New Roman" w:cs="Times New Roman"/>
          <w:sz w:val="24"/>
          <w:szCs w:val="24"/>
        </w:rPr>
        <w:footnoteReference w:id="25"/>
      </w:r>
      <w:r w:rsidR="00197742" w:rsidRPr="005431CD">
        <w:rPr>
          <w:rFonts w:ascii="Times New Roman" w:hAnsi="Times New Roman" w:cs="Times New Roman"/>
          <w:sz w:val="24"/>
          <w:szCs w:val="24"/>
        </w:rPr>
        <w:t xml:space="preserve">  </w:t>
      </w:r>
      <w:r w:rsidR="00D12084" w:rsidRPr="005431CD">
        <w:rPr>
          <w:rFonts w:ascii="Times New Roman" w:hAnsi="Times New Roman" w:cs="Times New Roman"/>
          <w:sz w:val="24"/>
          <w:szCs w:val="24"/>
        </w:rPr>
        <w:t xml:space="preserve">However, PSE </w:t>
      </w:r>
      <w:r w:rsidR="00A27FB1" w:rsidRPr="005431CD">
        <w:rPr>
          <w:rFonts w:ascii="Times New Roman" w:hAnsi="Times New Roman" w:cs="Times New Roman"/>
          <w:sz w:val="24"/>
          <w:szCs w:val="24"/>
        </w:rPr>
        <w:t>did not estimate</w:t>
      </w:r>
      <w:r w:rsidR="00EE0454" w:rsidRPr="005431CD">
        <w:rPr>
          <w:rFonts w:ascii="Times New Roman" w:hAnsi="Times New Roman" w:cs="Times New Roman"/>
          <w:sz w:val="24"/>
          <w:szCs w:val="24"/>
        </w:rPr>
        <w:t xml:space="preserve"> th</w:t>
      </w:r>
      <w:r w:rsidR="00A27FB1" w:rsidRPr="005431CD">
        <w:rPr>
          <w:rFonts w:ascii="Times New Roman" w:hAnsi="Times New Roman" w:cs="Times New Roman"/>
          <w:sz w:val="24"/>
          <w:szCs w:val="24"/>
        </w:rPr>
        <w:t xml:space="preserve">e amount of pipeline that would </w:t>
      </w:r>
      <w:r w:rsidR="00EE0454" w:rsidRPr="005431CD">
        <w:rPr>
          <w:rFonts w:ascii="Times New Roman" w:hAnsi="Times New Roman" w:cs="Times New Roman"/>
          <w:sz w:val="24"/>
          <w:szCs w:val="24"/>
        </w:rPr>
        <w:t>be replace</w:t>
      </w:r>
      <w:r w:rsidR="00D12084" w:rsidRPr="005431CD">
        <w:rPr>
          <w:rFonts w:ascii="Times New Roman" w:hAnsi="Times New Roman" w:cs="Times New Roman"/>
          <w:sz w:val="24"/>
          <w:szCs w:val="24"/>
        </w:rPr>
        <w:t xml:space="preserve">d </w:t>
      </w:r>
      <w:r w:rsidR="00C50CD1">
        <w:rPr>
          <w:rFonts w:ascii="Times New Roman" w:hAnsi="Times New Roman" w:cs="Times New Roman"/>
          <w:sz w:val="24"/>
          <w:szCs w:val="24"/>
        </w:rPr>
        <w:t xml:space="preserve">with the new surcharge in effect </w:t>
      </w:r>
      <w:r w:rsidR="00EE0454" w:rsidRPr="005431CD">
        <w:rPr>
          <w:rFonts w:ascii="Times New Roman" w:hAnsi="Times New Roman" w:cs="Times New Roman"/>
          <w:sz w:val="24"/>
          <w:szCs w:val="24"/>
        </w:rPr>
        <w:t xml:space="preserve">nor </w:t>
      </w:r>
      <w:r w:rsidR="00D12084" w:rsidRPr="005431CD">
        <w:rPr>
          <w:rFonts w:ascii="Times New Roman" w:hAnsi="Times New Roman" w:cs="Times New Roman"/>
          <w:sz w:val="24"/>
          <w:szCs w:val="24"/>
        </w:rPr>
        <w:t>did</w:t>
      </w:r>
      <w:r w:rsidR="008E403B" w:rsidRPr="005431CD">
        <w:rPr>
          <w:rFonts w:ascii="Times New Roman" w:hAnsi="Times New Roman" w:cs="Times New Roman"/>
          <w:sz w:val="24"/>
          <w:szCs w:val="24"/>
        </w:rPr>
        <w:t xml:space="preserve"> it </w:t>
      </w:r>
      <w:r w:rsidR="00D12084" w:rsidRPr="005431CD">
        <w:rPr>
          <w:rFonts w:ascii="Times New Roman" w:hAnsi="Times New Roman" w:cs="Times New Roman"/>
          <w:sz w:val="24"/>
          <w:szCs w:val="24"/>
        </w:rPr>
        <w:t>develop</w:t>
      </w:r>
      <w:r w:rsidR="00A27FB1" w:rsidRPr="005431CD">
        <w:rPr>
          <w:rFonts w:ascii="Times New Roman" w:hAnsi="Times New Roman" w:cs="Times New Roman"/>
          <w:sz w:val="24"/>
          <w:szCs w:val="24"/>
        </w:rPr>
        <w:t xml:space="preserve"> a schedule</w:t>
      </w:r>
      <w:r w:rsidR="00EE0454" w:rsidRPr="005431CD">
        <w:rPr>
          <w:rFonts w:ascii="Times New Roman" w:hAnsi="Times New Roman" w:cs="Times New Roman"/>
          <w:sz w:val="24"/>
          <w:szCs w:val="24"/>
        </w:rPr>
        <w:t xml:space="preserve"> over whi</w:t>
      </w:r>
      <w:r w:rsidR="00A27FB1" w:rsidRPr="005431CD">
        <w:rPr>
          <w:rFonts w:ascii="Times New Roman" w:hAnsi="Times New Roman" w:cs="Times New Roman"/>
          <w:sz w:val="24"/>
          <w:szCs w:val="24"/>
        </w:rPr>
        <w:t xml:space="preserve">ch pipeline remediation </w:t>
      </w:r>
      <w:r w:rsidR="00EE0454" w:rsidRPr="005431CD">
        <w:rPr>
          <w:rFonts w:ascii="Times New Roman" w:hAnsi="Times New Roman" w:cs="Times New Roman"/>
          <w:sz w:val="24"/>
          <w:szCs w:val="24"/>
        </w:rPr>
        <w:t>will occur.</w:t>
      </w:r>
      <w:r w:rsidR="00EE0454">
        <w:rPr>
          <w:rStyle w:val="FootnoteReference"/>
          <w:rFonts w:ascii="Times New Roman" w:hAnsi="Times New Roman" w:cs="Times New Roman"/>
          <w:sz w:val="24"/>
          <w:szCs w:val="24"/>
        </w:rPr>
        <w:footnoteReference w:id="26"/>
      </w:r>
      <w:r w:rsidR="00EE0454" w:rsidRPr="005431CD">
        <w:rPr>
          <w:rFonts w:ascii="Times New Roman" w:hAnsi="Times New Roman" w:cs="Times New Roman"/>
          <w:sz w:val="24"/>
          <w:szCs w:val="24"/>
        </w:rPr>
        <w:t xml:space="preserve">  With</w:t>
      </w:r>
      <w:r w:rsidR="00A27FB1" w:rsidRPr="005431CD">
        <w:rPr>
          <w:rFonts w:ascii="Times New Roman" w:hAnsi="Times New Roman" w:cs="Times New Roman"/>
          <w:sz w:val="24"/>
          <w:szCs w:val="24"/>
        </w:rPr>
        <w:t xml:space="preserve">out this information, </w:t>
      </w:r>
      <w:r w:rsidR="00EE0454" w:rsidRPr="005431CD">
        <w:rPr>
          <w:rFonts w:ascii="Times New Roman" w:hAnsi="Times New Roman" w:cs="Times New Roman"/>
          <w:sz w:val="24"/>
          <w:szCs w:val="24"/>
        </w:rPr>
        <w:t xml:space="preserve">the Commission </w:t>
      </w:r>
      <w:r w:rsidR="00B66FC4" w:rsidRPr="005431CD">
        <w:rPr>
          <w:rFonts w:ascii="Times New Roman" w:hAnsi="Times New Roman" w:cs="Times New Roman"/>
          <w:sz w:val="24"/>
          <w:szCs w:val="24"/>
        </w:rPr>
        <w:t xml:space="preserve">has no </w:t>
      </w:r>
      <w:r w:rsidR="0095530A" w:rsidRPr="005431CD">
        <w:rPr>
          <w:rFonts w:ascii="Times New Roman" w:hAnsi="Times New Roman" w:cs="Times New Roman"/>
          <w:sz w:val="24"/>
          <w:szCs w:val="24"/>
        </w:rPr>
        <w:t>reason to take the leap of faith</w:t>
      </w:r>
      <w:r w:rsidR="00B50B48" w:rsidRPr="005431CD">
        <w:rPr>
          <w:rFonts w:ascii="Times New Roman" w:hAnsi="Times New Roman" w:cs="Times New Roman"/>
          <w:sz w:val="24"/>
          <w:szCs w:val="24"/>
        </w:rPr>
        <w:t xml:space="preserve"> PSE request</w:t>
      </w:r>
      <w:r w:rsidR="00142E80" w:rsidRPr="005431CD">
        <w:rPr>
          <w:rFonts w:ascii="Times New Roman" w:hAnsi="Times New Roman" w:cs="Times New Roman"/>
          <w:sz w:val="24"/>
          <w:szCs w:val="24"/>
        </w:rPr>
        <w:t xml:space="preserve">s because the Commission cannot </w:t>
      </w:r>
      <w:r w:rsidR="00EE0454" w:rsidRPr="005431CD">
        <w:rPr>
          <w:rFonts w:ascii="Times New Roman" w:hAnsi="Times New Roman" w:cs="Times New Roman"/>
          <w:sz w:val="24"/>
          <w:szCs w:val="24"/>
        </w:rPr>
        <w:t>judge</w:t>
      </w:r>
      <w:r w:rsidR="008E403B" w:rsidRPr="005431CD">
        <w:rPr>
          <w:rFonts w:ascii="Times New Roman" w:hAnsi="Times New Roman" w:cs="Times New Roman"/>
          <w:sz w:val="24"/>
          <w:szCs w:val="24"/>
        </w:rPr>
        <w:t xml:space="preserve"> </w:t>
      </w:r>
      <w:r w:rsidR="00B50B48" w:rsidRPr="005431CD">
        <w:rPr>
          <w:rFonts w:ascii="Times New Roman" w:hAnsi="Times New Roman" w:cs="Times New Roman"/>
          <w:sz w:val="24"/>
          <w:szCs w:val="24"/>
        </w:rPr>
        <w:t>whether</w:t>
      </w:r>
      <w:r w:rsidR="00EE0454" w:rsidRPr="005431CD">
        <w:rPr>
          <w:rFonts w:ascii="Times New Roman" w:hAnsi="Times New Roman" w:cs="Times New Roman"/>
          <w:sz w:val="24"/>
          <w:szCs w:val="24"/>
        </w:rPr>
        <w:t xml:space="preserve"> efforts funde</w:t>
      </w:r>
      <w:r w:rsidR="00C50CD1">
        <w:rPr>
          <w:rFonts w:ascii="Times New Roman" w:hAnsi="Times New Roman" w:cs="Times New Roman"/>
          <w:sz w:val="24"/>
          <w:szCs w:val="24"/>
        </w:rPr>
        <w:t xml:space="preserve">d by the </w:t>
      </w:r>
      <w:r w:rsidR="00B50B48" w:rsidRPr="005431CD">
        <w:rPr>
          <w:rFonts w:ascii="Times New Roman" w:hAnsi="Times New Roman" w:cs="Times New Roman"/>
          <w:sz w:val="24"/>
          <w:szCs w:val="24"/>
        </w:rPr>
        <w:t xml:space="preserve">surcharge </w:t>
      </w:r>
      <w:r w:rsidR="006F0154" w:rsidRPr="005431CD">
        <w:rPr>
          <w:rFonts w:ascii="Times New Roman" w:hAnsi="Times New Roman" w:cs="Times New Roman"/>
          <w:sz w:val="24"/>
          <w:szCs w:val="24"/>
        </w:rPr>
        <w:t xml:space="preserve">will </w:t>
      </w:r>
      <w:r w:rsidR="0095530A" w:rsidRPr="005431CD">
        <w:rPr>
          <w:rFonts w:ascii="Times New Roman" w:hAnsi="Times New Roman" w:cs="Times New Roman"/>
          <w:sz w:val="24"/>
          <w:szCs w:val="24"/>
        </w:rPr>
        <w:t xml:space="preserve">actually </w:t>
      </w:r>
      <w:r w:rsidR="00EE0454" w:rsidRPr="005431CD">
        <w:rPr>
          <w:rFonts w:ascii="Times New Roman" w:hAnsi="Times New Roman" w:cs="Times New Roman"/>
          <w:sz w:val="24"/>
          <w:szCs w:val="24"/>
        </w:rPr>
        <w:t>result in accelerated pipeline replacement and</w:t>
      </w:r>
      <w:r w:rsidR="00D12084" w:rsidRPr="005431CD">
        <w:rPr>
          <w:rFonts w:ascii="Times New Roman" w:hAnsi="Times New Roman" w:cs="Times New Roman"/>
          <w:sz w:val="24"/>
          <w:szCs w:val="24"/>
        </w:rPr>
        <w:t>, even if it does,</w:t>
      </w:r>
      <w:r w:rsidR="00EE0454" w:rsidRPr="005431CD">
        <w:rPr>
          <w:rFonts w:ascii="Times New Roman" w:hAnsi="Times New Roman" w:cs="Times New Roman"/>
          <w:sz w:val="24"/>
          <w:szCs w:val="24"/>
        </w:rPr>
        <w:t xml:space="preserve"> </w:t>
      </w:r>
      <w:r w:rsidR="00B50B48" w:rsidRPr="005431CD">
        <w:rPr>
          <w:rFonts w:ascii="Times New Roman" w:hAnsi="Times New Roman" w:cs="Times New Roman"/>
          <w:sz w:val="24"/>
          <w:szCs w:val="24"/>
        </w:rPr>
        <w:t xml:space="preserve">whether the </w:t>
      </w:r>
      <w:r w:rsidR="00EE0454" w:rsidRPr="005431CD">
        <w:rPr>
          <w:rFonts w:ascii="Times New Roman" w:hAnsi="Times New Roman" w:cs="Times New Roman"/>
          <w:sz w:val="24"/>
          <w:szCs w:val="24"/>
        </w:rPr>
        <w:t>cost to</w:t>
      </w:r>
      <w:r w:rsidR="00142E80" w:rsidRPr="005431CD">
        <w:rPr>
          <w:rFonts w:ascii="Times New Roman" w:hAnsi="Times New Roman" w:cs="Times New Roman"/>
          <w:sz w:val="24"/>
          <w:szCs w:val="24"/>
        </w:rPr>
        <w:t xml:space="preserve"> ratepayers is worth those efforts</w:t>
      </w:r>
      <w:r w:rsidR="00EE0454" w:rsidRPr="005431CD">
        <w:rPr>
          <w:rFonts w:ascii="Times New Roman" w:hAnsi="Times New Roman" w:cs="Times New Roman"/>
          <w:sz w:val="24"/>
          <w:szCs w:val="24"/>
        </w:rPr>
        <w:t>.</w:t>
      </w:r>
      <w:r w:rsidR="008D5105">
        <w:rPr>
          <w:rStyle w:val="FootnoteReference"/>
          <w:rFonts w:ascii="Times New Roman" w:hAnsi="Times New Roman" w:cs="Times New Roman"/>
          <w:sz w:val="24"/>
          <w:szCs w:val="24"/>
        </w:rPr>
        <w:footnoteReference w:id="27"/>
      </w:r>
      <w:r w:rsidR="0095530A" w:rsidRPr="005431CD">
        <w:rPr>
          <w:rFonts w:ascii="Times New Roman" w:hAnsi="Times New Roman" w:cs="Times New Roman"/>
          <w:sz w:val="24"/>
          <w:szCs w:val="24"/>
        </w:rPr>
        <w:t xml:space="preserve">  In fact, ratep</w:t>
      </w:r>
      <w:r w:rsidR="00B50B48" w:rsidRPr="005431CD">
        <w:rPr>
          <w:rFonts w:ascii="Times New Roman" w:hAnsi="Times New Roman" w:cs="Times New Roman"/>
          <w:sz w:val="24"/>
          <w:szCs w:val="24"/>
        </w:rPr>
        <w:t xml:space="preserve">ayers may be </w:t>
      </w:r>
      <w:r w:rsidR="00D12084" w:rsidRPr="005431CD">
        <w:rPr>
          <w:rFonts w:ascii="Times New Roman" w:hAnsi="Times New Roman" w:cs="Times New Roman"/>
          <w:sz w:val="24"/>
          <w:szCs w:val="24"/>
        </w:rPr>
        <w:t xml:space="preserve">worse off </w:t>
      </w:r>
      <w:r w:rsidR="00B50B48" w:rsidRPr="005431CD">
        <w:rPr>
          <w:rFonts w:ascii="Times New Roman" w:hAnsi="Times New Roman" w:cs="Times New Roman"/>
          <w:sz w:val="24"/>
          <w:szCs w:val="24"/>
        </w:rPr>
        <w:t xml:space="preserve">with the surcharge </w:t>
      </w:r>
      <w:r w:rsidR="00EE0454" w:rsidRPr="005431CD">
        <w:rPr>
          <w:rFonts w:ascii="Times New Roman" w:hAnsi="Times New Roman" w:cs="Times New Roman"/>
          <w:sz w:val="24"/>
          <w:szCs w:val="24"/>
        </w:rPr>
        <w:t>because they will pay higher rates faster, but with no assuran</w:t>
      </w:r>
      <w:r w:rsidR="00543F05" w:rsidRPr="005431CD">
        <w:rPr>
          <w:rFonts w:ascii="Times New Roman" w:hAnsi="Times New Roman" w:cs="Times New Roman"/>
          <w:sz w:val="24"/>
          <w:szCs w:val="24"/>
        </w:rPr>
        <w:t xml:space="preserve">ce that their money will </w:t>
      </w:r>
      <w:r w:rsidR="00142E80" w:rsidRPr="005431CD">
        <w:rPr>
          <w:rFonts w:ascii="Times New Roman" w:hAnsi="Times New Roman" w:cs="Times New Roman"/>
          <w:sz w:val="24"/>
          <w:szCs w:val="24"/>
        </w:rPr>
        <w:t xml:space="preserve">fund </w:t>
      </w:r>
      <w:r w:rsidR="00543F05" w:rsidRPr="005431CD">
        <w:rPr>
          <w:rFonts w:ascii="Times New Roman" w:hAnsi="Times New Roman" w:cs="Times New Roman"/>
          <w:sz w:val="24"/>
          <w:szCs w:val="24"/>
        </w:rPr>
        <w:t>accelerate</w:t>
      </w:r>
      <w:r w:rsidR="00142E80" w:rsidRPr="005431CD">
        <w:rPr>
          <w:rFonts w:ascii="Times New Roman" w:hAnsi="Times New Roman" w:cs="Times New Roman"/>
          <w:sz w:val="24"/>
          <w:szCs w:val="24"/>
        </w:rPr>
        <w:t>d</w:t>
      </w:r>
      <w:r w:rsidR="00EE0454" w:rsidRPr="005431CD">
        <w:rPr>
          <w:rFonts w:ascii="Times New Roman" w:hAnsi="Times New Roman" w:cs="Times New Roman"/>
          <w:sz w:val="24"/>
          <w:szCs w:val="24"/>
        </w:rPr>
        <w:t xml:space="preserve"> replacement of pipeline infrastructure.  </w:t>
      </w:r>
      <w:r w:rsidR="00142E80" w:rsidRPr="005431CD">
        <w:rPr>
          <w:rFonts w:ascii="Times New Roman" w:hAnsi="Times New Roman" w:cs="Times New Roman"/>
          <w:sz w:val="24"/>
          <w:szCs w:val="24"/>
        </w:rPr>
        <w:t xml:space="preserve">PSE </w:t>
      </w:r>
      <w:r w:rsidR="0062468C" w:rsidRPr="005431CD">
        <w:rPr>
          <w:rFonts w:ascii="Times New Roman" w:hAnsi="Times New Roman" w:cs="Times New Roman"/>
          <w:sz w:val="24"/>
          <w:szCs w:val="24"/>
        </w:rPr>
        <w:t xml:space="preserve">and its owners, on the other hand, will receive the substantial benefit of </w:t>
      </w:r>
      <w:r w:rsidR="005153FF" w:rsidRPr="005431CD">
        <w:rPr>
          <w:rFonts w:ascii="Times New Roman" w:hAnsi="Times New Roman" w:cs="Times New Roman"/>
          <w:sz w:val="24"/>
          <w:szCs w:val="24"/>
        </w:rPr>
        <w:t>guar</w:t>
      </w:r>
      <w:r w:rsidR="0062468C" w:rsidRPr="005431CD">
        <w:rPr>
          <w:rFonts w:ascii="Times New Roman" w:hAnsi="Times New Roman" w:cs="Times New Roman"/>
          <w:sz w:val="24"/>
          <w:szCs w:val="24"/>
        </w:rPr>
        <w:t>anteed</w:t>
      </w:r>
      <w:r w:rsidR="00DB6241" w:rsidRPr="005431CD">
        <w:rPr>
          <w:rFonts w:ascii="Times New Roman" w:hAnsi="Times New Roman" w:cs="Times New Roman"/>
          <w:sz w:val="24"/>
          <w:szCs w:val="24"/>
        </w:rPr>
        <w:t xml:space="preserve"> </w:t>
      </w:r>
      <w:r w:rsidR="00D12084" w:rsidRPr="005431CD">
        <w:rPr>
          <w:rFonts w:ascii="Times New Roman" w:hAnsi="Times New Roman" w:cs="Times New Roman"/>
          <w:sz w:val="24"/>
          <w:szCs w:val="24"/>
        </w:rPr>
        <w:t xml:space="preserve">full </w:t>
      </w:r>
      <w:r w:rsidR="00DB6241" w:rsidRPr="005431CD">
        <w:rPr>
          <w:rFonts w:ascii="Times New Roman" w:hAnsi="Times New Roman" w:cs="Times New Roman"/>
          <w:sz w:val="24"/>
          <w:szCs w:val="24"/>
        </w:rPr>
        <w:t>cost recovery on an expedited basis.</w:t>
      </w:r>
    </w:p>
    <w:p w:rsidR="004E6125"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F0154" w:rsidRPr="005431CD">
        <w:rPr>
          <w:rFonts w:ascii="Times New Roman" w:hAnsi="Times New Roman" w:cs="Times New Roman"/>
          <w:sz w:val="24"/>
          <w:szCs w:val="24"/>
        </w:rPr>
        <w:t>The Company does not deny t</w:t>
      </w:r>
      <w:r w:rsidR="000D70DA" w:rsidRPr="005431CD">
        <w:rPr>
          <w:rFonts w:ascii="Times New Roman" w:hAnsi="Times New Roman" w:cs="Times New Roman"/>
          <w:sz w:val="24"/>
          <w:szCs w:val="24"/>
        </w:rPr>
        <w:t>he lack of specific planning around</w:t>
      </w:r>
      <w:r w:rsidR="006F0154" w:rsidRPr="005431CD">
        <w:rPr>
          <w:rFonts w:ascii="Times New Roman" w:hAnsi="Times New Roman" w:cs="Times New Roman"/>
          <w:sz w:val="24"/>
          <w:szCs w:val="24"/>
        </w:rPr>
        <w:t xml:space="preserve"> </w:t>
      </w:r>
      <w:r w:rsidR="000D70DA" w:rsidRPr="005431CD">
        <w:rPr>
          <w:rFonts w:ascii="Times New Roman" w:hAnsi="Times New Roman" w:cs="Times New Roman"/>
          <w:sz w:val="24"/>
          <w:szCs w:val="24"/>
        </w:rPr>
        <w:t xml:space="preserve">the </w:t>
      </w:r>
      <w:r w:rsidR="006F0154" w:rsidRPr="005431CD">
        <w:rPr>
          <w:rFonts w:ascii="Times New Roman" w:hAnsi="Times New Roman" w:cs="Times New Roman"/>
          <w:sz w:val="24"/>
          <w:szCs w:val="24"/>
        </w:rPr>
        <w:t xml:space="preserve">scope, timing and cost of a pipeline replacement program.  </w:t>
      </w:r>
      <w:r w:rsidR="00142E80" w:rsidRPr="005431CD">
        <w:rPr>
          <w:rFonts w:ascii="Times New Roman" w:hAnsi="Times New Roman" w:cs="Times New Roman"/>
          <w:sz w:val="24"/>
          <w:szCs w:val="24"/>
        </w:rPr>
        <w:t>I</w:t>
      </w:r>
      <w:r w:rsidR="000D70DA" w:rsidRPr="005431CD">
        <w:rPr>
          <w:rFonts w:ascii="Times New Roman" w:hAnsi="Times New Roman" w:cs="Times New Roman"/>
          <w:sz w:val="24"/>
          <w:szCs w:val="24"/>
        </w:rPr>
        <w:t xml:space="preserve">t asks the Commission to </w:t>
      </w:r>
      <w:r w:rsidR="000A1E6B" w:rsidRPr="005431CD">
        <w:rPr>
          <w:rFonts w:ascii="Times New Roman" w:hAnsi="Times New Roman" w:cs="Times New Roman"/>
          <w:sz w:val="24"/>
          <w:szCs w:val="24"/>
        </w:rPr>
        <w:t xml:space="preserve">approve </w:t>
      </w:r>
      <w:r w:rsidR="009E4ED1" w:rsidRPr="005431CD">
        <w:rPr>
          <w:rFonts w:ascii="Times New Roman" w:hAnsi="Times New Roman" w:cs="Times New Roman"/>
          <w:sz w:val="24"/>
          <w:szCs w:val="24"/>
        </w:rPr>
        <w:t xml:space="preserve">the surcharge </w:t>
      </w:r>
      <w:r w:rsidR="000A1E6B" w:rsidRPr="005431CD">
        <w:rPr>
          <w:rFonts w:ascii="Times New Roman" w:hAnsi="Times New Roman" w:cs="Times New Roman"/>
          <w:sz w:val="24"/>
          <w:szCs w:val="24"/>
        </w:rPr>
        <w:t xml:space="preserve">despite </w:t>
      </w:r>
      <w:r w:rsidR="000E11B1" w:rsidRPr="005431CD">
        <w:rPr>
          <w:rFonts w:ascii="Times New Roman" w:hAnsi="Times New Roman" w:cs="Times New Roman"/>
          <w:sz w:val="24"/>
          <w:szCs w:val="24"/>
        </w:rPr>
        <w:t>that</w:t>
      </w:r>
      <w:r w:rsidR="000A1E6B" w:rsidRPr="005431CD">
        <w:rPr>
          <w:rFonts w:ascii="Times New Roman" w:hAnsi="Times New Roman" w:cs="Times New Roman"/>
          <w:sz w:val="24"/>
          <w:szCs w:val="24"/>
        </w:rPr>
        <w:t xml:space="preserve"> missing information because </w:t>
      </w:r>
      <w:r w:rsidR="002C0917" w:rsidRPr="005431CD">
        <w:rPr>
          <w:rFonts w:ascii="Times New Roman" w:hAnsi="Times New Roman" w:cs="Times New Roman"/>
          <w:sz w:val="24"/>
          <w:szCs w:val="24"/>
        </w:rPr>
        <w:t>it</w:t>
      </w:r>
      <w:r w:rsidR="009E4ED1" w:rsidRPr="005431CD">
        <w:rPr>
          <w:rFonts w:ascii="Times New Roman" w:hAnsi="Times New Roman" w:cs="Times New Roman"/>
          <w:sz w:val="24"/>
          <w:szCs w:val="24"/>
        </w:rPr>
        <w:t>s proposal includes annual c</w:t>
      </w:r>
      <w:r w:rsidR="002C0917" w:rsidRPr="005431CD">
        <w:rPr>
          <w:rFonts w:ascii="Times New Roman" w:hAnsi="Times New Roman" w:cs="Times New Roman"/>
          <w:sz w:val="24"/>
          <w:szCs w:val="24"/>
        </w:rPr>
        <w:t>onsult</w:t>
      </w:r>
      <w:r w:rsidR="009E4ED1" w:rsidRPr="005431CD">
        <w:rPr>
          <w:rFonts w:ascii="Times New Roman" w:hAnsi="Times New Roman" w:cs="Times New Roman"/>
          <w:sz w:val="24"/>
          <w:szCs w:val="24"/>
        </w:rPr>
        <w:t xml:space="preserve">ations </w:t>
      </w:r>
      <w:r w:rsidR="000A1E6B" w:rsidRPr="005431CD">
        <w:rPr>
          <w:rFonts w:ascii="Times New Roman" w:hAnsi="Times New Roman" w:cs="Times New Roman"/>
          <w:sz w:val="24"/>
          <w:szCs w:val="24"/>
        </w:rPr>
        <w:t xml:space="preserve">with </w:t>
      </w:r>
      <w:r w:rsidR="00C50CD1">
        <w:rPr>
          <w:rFonts w:ascii="Times New Roman" w:hAnsi="Times New Roman" w:cs="Times New Roman"/>
          <w:sz w:val="24"/>
          <w:szCs w:val="24"/>
        </w:rPr>
        <w:t xml:space="preserve">Staff and </w:t>
      </w:r>
      <w:r w:rsidR="00131A76">
        <w:rPr>
          <w:rFonts w:ascii="Times New Roman" w:hAnsi="Times New Roman" w:cs="Times New Roman"/>
          <w:sz w:val="24"/>
          <w:szCs w:val="24"/>
        </w:rPr>
        <w:t xml:space="preserve">other </w:t>
      </w:r>
      <w:r w:rsidR="000A1E6B" w:rsidRPr="005431CD">
        <w:rPr>
          <w:rFonts w:ascii="Times New Roman" w:hAnsi="Times New Roman" w:cs="Times New Roman"/>
          <w:sz w:val="24"/>
          <w:szCs w:val="24"/>
        </w:rPr>
        <w:t>interested</w:t>
      </w:r>
      <w:r w:rsidR="002C0917" w:rsidRPr="005431CD">
        <w:rPr>
          <w:rFonts w:ascii="Times New Roman" w:hAnsi="Times New Roman" w:cs="Times New Roman"/>
          <w:sz w:val="24"/>
          <w:szCs w:val="24"/>
        </w:rPr>
        <w:t xml:space="preserve"> parties whom PSE envisions w</w:t>
      </w:r>
      <w:r w:rsidR="000A1E6B" w:rsidRPr="005431CD">
        <w:rPr>
          <w:rFonts w:ascii="Times New Roman" w:hAnsi="Times New Roman" w:cs="Times New Roman"/>
          <w:sz w:val="24"/>
          <w:szCs w:val="24"/>
        </w:rPr>
        <w:t>ill agree on a pipeline replacement program for each following year.</w:t>
      </w:r>
      <w:r w:rsidR="000A1E6B">
        <w:rPr>
          <w:rStyle w:val="FootnoteReference"/>
          <w:rFonts w:ascii="Times New Roman" w:hAnsi="Times New Roman" w:cs="Times New Roman"/>
          <w:sz w:val="24"/>
          <w:szCs w:val="24"/>
        </w:rPr>
        <w:footnoteReference w:id="28"/>
      </w:r>
      <w:r w:rsidR="000A1E6B" w:rsidRPr="005431CD">
        <w:rPr>
          <w:rFonts w:ascii="Times New Roman" w:hAnsi="Times New Roman" w:cs="Times New Roman"/>
          <w:sz w:val="24"/>
          <w:szCs w:val="24"/>
        </w:rPr>
        <w:t xml:space="preserve">  </w:t>
      </w:r>
      <w:r w:rsidR="000E11B1" w:rsidRPr="005431CD">
        <w:rPr>
          <w:rFonts w:ascii="Times New Roman" w:hAnsi="Times New Roman" w:cs="Times New Roman"/>
          <w:sz w:val="24"/>
          <w:szCs w:val="24"/>
        </w:rPr>
        <w:t>The Company acknowledges, however, that the parties will not alway</w:t>
      </w:r>
      <w:r w:rsidR="00C50CD1">
        <w:rPr>
          <w:rFonts w:ascii="Times New Roman" w:hAnsi="Times New Roman" w:cs="Times New Roman"/>
          <w:sz w:val="24"/>
          <w:szCs w:val="24"/>
        </w:rPr>
        <w:t>s agree on eligible investments</w:t>
      </w:r>
      <w:r w:rsidR="007E5D7D" w:rsidRPr="005431CD">
        <w:rPr>
          <w:rFonts w:ascii="Times New Roman" w:hAnsi="Times New Roman" w:cs="Times New Roman"/>
          <w:sz w:val="24"/>
          <w:szCs w:val="24"/>
        </w:rPr>
        <w:t xml:space="preserve"> </w:t>
      </w:r>
      <w:r w:rsidR="00656AB3" w:rsidRPr="005431CD">
        <w:rPr>
          <w:rFonts w:ascii="Times New Roman" w:hAnsi="Times New Roman" w:cs="Times New Roman"/>
          <w:sz w:val="24"/>
          <w:szCs w:val="24"/>
        </w:rPr>
        <w:t xml:space="preserve">and </w:t>
      </w:r>
      <w:r w:rsidR="00054BD6" w:rsidRPr="005431CD">
        <w:rPr>
          <w:rFonts w:ascii="Times New Roman" w:hAnsi="Times New Roman" w:cs="Times New Roman"/>
          <w:sz w:val="24"/>
          <w:szCs w:val="24"/>
        </w:rPr>
        <w:t xml:space="preserve">that </w:t>
      </w:r>
      <w:r w:rsidR="00656AB3" w:rsidRPr="005431CD">
        <w:rPr>
          <w:rFonts w:ascii="Times New Roman" w:hAnsi="Times New Roman" w:cs="Times New Roman"/>
          <w:sz w:val="24"/>
          <w:szCs w:val="24"/>
        </w:rPr>
        <w:t>a</w:t>
      </w:r>
      <w:r w:rsidR="00131A76">
        <w:rPr>
          <w:rFonts w:ascii="Times New Roman" w:hAnsi="Times New Roman" w:cs="Times New Roman"/>
          <w:sz w:val="24"/>
          <w:szCs w:val="24"/>
        </w:rPr>
        <w:t xml:space="preserve">dditional litigation </w:t>
      </w:r>
      <w:r w:rsidR="00054BD6" w:rsidRPr="005431CD">
        <w:rPr>
          <w:rFonts w:ascii="Times New Roman" w:hAnsi="Times New Roman" w:cs="Times New Roman"/>
          <w:sz w:val="24"/>
          <w:szCs w:val="24"/>
        </w:rPr>
        <w:t xml:space="preserve">may be required </w:t>
      </w:r>
      <w:r w:rsidR="007E5D7D" w:rsidRPr="005431CD">
        <w:rPr>
          <w:rFonts w:ascii="Times New Roman" w:hAnsi="Times New Roman" w:cs="Times New Roman"/>
          <w:sz w:val="24"/>
          <w:szCs w:val="24"/>
        </w:rPr>
        <w:t>to resolve outstanding issues.</w:t>
      </w:r>
      <w:r w:rsidR="000E11B1">
        <w:rPr>
          <w:rStyle w:val="FootnoteReference"/>
          <w:rFonts w:ascii="Times New Roman" w:hAnsi="Times New Roman" w:cs="Times New Roman"/>
          <w:sz w:val="24"/>
          <w:szCs w:val="24"/>
        </w:rPr>
        <w:footnoteReference w:id="29"/>
      </w:r>
      <w:r w:rsidR="00392A48">
        <w:rPr>
          <w:rFonts w:ascii="Times New Roman" w:hAnsi="Times New Roman" w:cs="Times New Roman"/>
          <w:sz w:val="24"/>
          <w:szCs w:val="24"/>
        </w:rPr>
        <w:t xml:space="preserve">  I</w:t>
      </w:r>
      <w:r w:rsidR="009E4ED1" w:rsidRPr="005431CD">
        <w:rPr>
          <w:rFonts w:ascii="Times New Roman" w:hAnsi="Times New Roman" w:cs="Times New Roman"/>
          <w:sz w:val="24"/>
          <w:szCs w:val="24"/>
        </w:rPr>
        <w:t>t is ill-advised for</w:t>
      </w:r>
      <w:r w:rsidR="007E5D7D" w:rsidRPr="005431CD">
        <w:rPr>
          <w:rFonts w:ascii="Times New Roman" w:hAnsi="Times New Roman" w:cs="Times New Roman"/>
          <w:sz w:val="24"/>
          <w:szCs w:val="24"/>
        </w:rPr>
        <w:t xml:space="preserve"> the </w:t>
      </w:r>
      <w:r w:rsidR="009E4ED1" w:rsidRPr="005431CD">
        <w:rPr>
          <w:rFonts w:ascii="Times New Roman" w:hAnsi="Times New Roman" w:cs="Times New Roman"/>
          <w:sz w:val="24"/>
          <w:szCs w:val="24"/>
        </w:rPr>
        <w:t xml:space="preserve">Commission </w:t>
      </w:r>
      <w:r w:rsidR="007E5D7D" w:rsidRPr="005431CD">
        <w:rPr>
          <w:rFonts w:ascii="Times New Roman" w:hAnsi="Times New Roman" w:cs="Times New Roman"/>
          <w:sz w:val="24"/>
          <w:szCs w:val="24"/>
        </w:rPr>
        <w:t xml:space="preserve">to approve a </w:t>
      </w:r>
      <w:r w:rsidR="009E4ED1" w:rsidRPr="005431CD">
        <w:rPr>
          <w:rFonts w:ascii="Times New Roman" w:hAnsi="Times New Roman" w:cs="Times New Roman"/>
          <w:sz w:val="24"/>
          <w:szCs w:val="24"/>
        </w:rPr>
        <w:t xml:space="preserve">new </w:t>
      </w:r>
      <w:r w:rsidR="007E5D7D" w:rsidRPr="005431CD">
        <w:rPr>
          <w:rFonts w:ascii="Times New Roman" w:hAnsi="Times New Roman" w:cs="Times New Roman"/>
          <w:sz w:val="24"/>
          <w:szCs w:val="24"/>
        </w:rPr>
        <w:t>tariff mechanism</w:t>
      </w:r>
      <w:r w:rsidR="009E4ED1" w:rsidRPr="005431CD">
        <w:rPr>
          <w:rFonts w:ascii="Times New Roman" w:hAnsi="Times New Roman" w:cs="Times New Roman"/>
          <w:sz w:val="24"/>
          <w:szCs w:val="24"/>
        </w:rPr>
        <w:t xml:space="preserve"> that</w:t>
      </w:r>
      <w:r w:rsidR="00054BD6" w:rsidRPr="005431CD">
        <w:rPr>
          <w:rFonts w:ascii="Times New Roman" w:hAnsi="Times New Roman" w:cs="Times New Roman"/>
          <w:sz w:val="24"/>
          <w:szCs w:val="24"/>
        </w:rPr>
        <w:t>, by its very design</w:t>
      </w:r>
      <w:r w:rsidR="007B5063" w:rsidRPr="005431CD">
        <w:rPr>
          <w:rFonts w:ascii="Times New Roman" w:hAnsi="Times New Roman" w:cs="Times New Roman"/>
          <w:sz w:val="24"/>
          <w:szCs w:val="24"/>
        </w:rPr>
        <w:t>,</w:t>
      </w:r>
      <w:r w:rsidR="00142E80" w:rsidRPr="005431CD">
        <w:rPr>
          <w:rFonts w:ascii="Times New Roman" w:hAnsi="Times New Roman" w:cs="Times New Roman"/>
          <w:sz w:val="24"/>
          <w:szCs w:val="24"/>
        </w:rPr>
        <w:t xml:space="preserve"> may create additional </w:t>
      </w:r>
      <w:r w:rsidR="009E4ED1" w:rsidRPr="005431CD">
        <w:rPr>
          <w:rFonts w:ascii="Times New Roman" w:hAnsi="Times New Roman" w:cs="Times New Roman"/>
          <w:sz w:val="24"/>
          <w:szCs w:val="24"/>
        </w:rPr>
        <w:t xml:space="preserve">litigation, especially given the frequency </w:t>
      </w:r>
      <w:r w:rsidR="00142E80" w:rsidRPr="005431CD">
        <w:rPr>
          <w:rFonts w:ascii="Times New Roman" w:hAnsi="Times New Roman" w:cs="Times New Roman"/>
          <w:sz w:val="24"/>
          <w:szCs w:val="24"/>
        </w:rPr>
        <w:t xml:space="preserve">and complexity </w:t>
      </w:r>
      <w:r w:rsidR="009E4ED1" w:rsidRPr="005431CD">
        <w:rPr>
          <w:rFonts w:ascii="Times New Roman" w:hAnsi="Times New Roman" w:cs="Times New Roman"/>
          <w:sz w:val="24"/>
          <w:szCs w:val="24"/>
        </w:rPr>
        <w:t>of other filings</w:t>
      </w:r>
      <w:r w:rsidR="00142E80" w:rsidRPr="005431CD">
        <w:rPr>
          <w:rFonts w:ascii="Times New Roman" w:hAnsi="Times New Roman" w:cs="Times New Roman"/>
          <w:sz w:val="24"/>
          <w:szCs w:val="24"/>
        </w:rPr>
        <w:t xml:space="preserve"> </w:t>
      </w:r>
      <w:r w:rsidR="00656AB3" w:rsidRPr="005431CD">
        <w:rPr>
          <w:rFonts w:ascii="Times New Roman" w:hAnsi="Times New Roman" w:cs="Times New Roman"/>
          <w:sz w:val="24"/>
          <w:szCs w:val="24"/>
        </w:rPr>
        <w:t xml:space="preserve">already </w:t>
      </w:r>
      <w:r w:rsidR="007B5063" w:rsidRPr="005431CD">
        <w:rPr>
          <w:rFonts w:ascii="Times New Roman" w:hAnsi="Times New Roman" w:cs="Times New Roman"/>
          <w:sz w:val="24"/>
          <w:szCs w:val="24"/>
        </w:rPr>
        <w:t xml:space="preserve">to be </w:t>
      </w:r>
      <w:r w:rsidR="00142E80" w:rsidRPr="005431CD">
        <w:rPr>
          <w:rFonts w:ascii="Times New Roman" w:hAnsi="Times New Roman" w:cs="Times New Roman"/>
          <w:sz w:val="24"/>
          <w:szCs w:val="24"/>
        </w:rPr>
        <w:t xml:space="preserve">made by PSE that </w:t>
      </w:r>
      <w:r w:rsidR="007B5063" w:rsidRPr="005431CD">
        <w:rPr>
          <w:rFonts w:ascii="Times New Roman" w:hAnsi="Times New Roman" w:cs="Times New Roman"/>
          <w:sz w:val="24"/>
          <w:szCs w:val="24"/>
        </w:rPr>
        <w:t xml:space="preserve">will </w:t>
      </w:r>
      <w:r w:rsidR="00142E80" w:rsidRPr="005431CD">
        <w:rPr>
          <w:rFonts w:ascii="Times New Roman" w:hAnsi="Times New Roman" w:cs="Times New Roman"/>
          <w:sz w:val="24"/>
          <w:szCs w:val="24"/>
        </w:rPr>
        <w:t xml:space="preserve">require </w:t>
      </w:r>
      <w:r w:rsidR="007B5063" w:rsidRPr="005431CD">
        <w:rPr>
          <w:rFonts w:ascii="Times New Roman" w:hAnsi="Times New Roman" w:cs="Times New Roman"/>
          <w:sz w:val="24"/>
          <w:szCs w:val="24"/>
        </w:rPr>
        <w:t xml:space="preserve">significant </w:t>
      </w:r>
      <w:r w:rsidR="00142E80" w:rsidRPr="005431CD">
        <w:rPr>
          <w:rFonts w:ascii="Times New Roman" w:hAnsi="Times New Roman" w:cs="Times New Roman"/>
          <w:sz w:val="24"/>
          <w:szCs w:val="24"/>
        </w:rPr>
        <w:t xml:space="preserve">agency </w:t>
      </w:r>
      <w:r w:rsidR="009E4ED1" w:rsidRPr="005431CD">
        <w:rPr>
          <w:rFonts w:ascii="Times New Roman" w:hAnsi="Times New Roman" w:cs="Times New Roman"/>
          <w:sz w:val="24"/>
          <w:szCs w:val="24"/>
        </w:rPr>
        <w:t>time and resources.</w:t>
      </w:r>
      <w:r w:rsidR="00885C52">
        <w:rPr>
          <w:rStyle w:val="FootnoteReference"/>
          <w:rFonts w:ascii="Times New Roman" w:hAnsi="Times New Roman" w:cs="Times New Roman"/>
          <w:sz w:val="24"/>
          <w:szCs w:val="24"/>
        </w:rPr>
        <w:footnoteReference w:id="30"/>
      </w:r>
    </w:p>
    <w:p w:rsidR="000D70DA" w:rsidRDefault="0062468C" w:rsidP="00A76739">
      <w:pPr>
        <w:spacing w:after="0" w:line="240" w:lineRule="auto"/>
        <w:ind w:left="2160" w:hanging="720"/>
        <w:rPr>
          <w:rFonts w:ascii="Times New Roman" w:hAnsi="Times New Roman" w:cs="Times New Roman"/>
          <w:b/>
          <w:sz w:val="24"/>
          <w:szCs w:val="24"/>
        </w:rPr>
      </w:pPr>
      <w:r w:rsidRPr="000D70DA">
        <w:rPr>
          <w:rFonts w:ascii="Times New Roman" w:hAnsi="Times New Roman" w:cs="Times New Roman"/>
          <w:b/>
          <w:sz w:val="24"/>
          <w:szCs w:val="24"/>
        </w:rPr>
        <w:t>b.</w:t>
      </w:r>
      <w:r w:rsidR="000D70DA" w:rsidRPr="000D70DA">
        <w:rPr>
          <w:rFonts w:ascii="Times New Roman" w:hAnsi="Times New Roman" w:cs="Times New Roman"/>
          <w:b/>
          <w:sz w:val="24"/>
          <w:szCs w:val="24"/>
        </w:rPr>
        <w:tab/>
        <w:t xml:space="preserve">The </w:t>
      </w:r>
      <w:r w:rsidR="00A50F4D">
        <w:rPr>
          <w:rFonts w:ascii="Times New Roman" w:hAnsi="Times New Roman" w:cs="Times New Roman"/>
          <w:b/>
          <w:sz w:val="24"/>
          <w:szCs w:val="24"/>
        </w:rPr>
        <w:t xml:space="preserve">New </w:t>
      </w:r>
      <w:r w:rsidR="000D70DA" w:rsidRPr="000D70DA">
        <w:rPr>
          <w:rFonts w:ascii="Times New Roman" w:hAnsi="Times New Roman" w:cs="Times New Roman"/>
          <w:b/>
          <w:sz w:val="24"/>
          <w:szCs w:val="24"/>
        </w:rPr>
        <w:t>Surcharge Will Not Encourage Investm</w:t>
      </w:r>
      <w:r w:rsidR="000D70DA">
        <w:rPr>
          <w:rFonts w:ascii="Times New Roman" w:hAnsi="Times New Roman" w:cs="Times New Roman"/>
          <w:b/>
          <w:sz w:val="24"/>
          <w:szCs w:val="24"/>
        </w:rPr>
        <w:t xml:space="preserve">ent </w:t>
      </w:r>
      <w:r w:rsidR="00A50F4D">
        <w:rPr>
          <w:rFonts w:ascii="Times New Roman" w:hAnsi="Times New Roman" w:cs="Times New Roman"/>
          <w:b/>
          <w:sz w:val="24"/>
          <w:szCs w:val="24"/>
        </w:rPr>
        <w:t xml:space="preserve">Above and </w:t>
      </w:r>
      <w:r w:rsidR="000D70DA">
        <w:rPr>
          <w:rFonts w:ascii="Times New Roman" w:hAnsi="Times New Roman" w:cs="Times New Roman"/>
          <w:b/>
          <w:sz w:val="24"/>
          <w:szCs w:val="24"/>
        </w:rPr>
        <w:t>Beyond Expenditures</w:t>
      </w:r>
      <w:r w:rsidR="00A50F4D">
        <w:rPr>
          <w:rFonts w:ascii="Times New Roman" w:hAnsi="Times New Roman" w:cs="Times New Roman"/>
          <w:b/>
          <w:sz w:val="24"/>
          <w:szCs w:val="24"/>
        </w:rPr>
        <w:t xml:space="preserve"> Already Planned </w:t>
      </w:r>
      <w:r w:rsidR="000D70DA" w:rsidRPr="000D70DA">
        <w:rPr>
          <w:rFonts w:ascii="Times New Roman" w:hAnsi="Times New Roman" w:cs="Times New Roman"/>
          <w:b/>
          <w:sz w:val="24"/>
          <w:szCs w:val="24"/>
        </w:rPr>
        <w:t>Without the Surcharge</w:t>
      </w:r>
    </w:p>
    <w:p w:rsidR="0062468C" w:rsidRPr="000D70DA" w:rsidRDefault="0062468C" w:rsidP="005431CD">
      <w:pPr>
        <w:spacing w:after="0" w:line="240" w:lineRule="auto"/>
        <w:rPr>
          <w:rFonts w:ascii="Times New Roman" w:hAnsi="Times New Roman" w:cs="Times New Roman"/>
          <w:b/>
          <w:sz w:val="24"/>
          <w:szCs w:val="24"/>
        </w:rPr>
      </w:pPr>
    </w:p>
    <w:p w:rsidR="007B5063"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B5063" w:rsidRPr="005431CD">
        <w:rPr>
          <w:rFonts w:ascii="Times New Roman" w:hAnsi="Times New Roman" w:cs="Times New Roman"/>
          <w:sz w:val="24"/>
          <w:szCs w:val="24"/>
        </w:rPr>
        <w:t>T</w:t>
      </w:r>
      <w:r w:rsidR="002A5D48" w:rsidRPr="005431CD">
        <w:rPr>
          <w:rFonts w:ascii="Times New Roman" w:hAnsi="Times New Roman" w:cs="Times New Roman"/>
          <w:sz w:val="24"/>
          <w:szCs w:val="24"/>
        </w:rPr>
        <w:t xml:space="preserve">he </w:t>
      </w:r>
      <w:r w:rsidR="00311E2B" w:rsidRPr="005431CD">
        <w:rPr>
          <w:rFonts w:ascii="Times New Roman" w:hAnsi="Times New Roman" w:cs="Times New Roman"/>
          <w:sz w:val="24"/>
          <w:szCs w:val="24"/>
        </w:rPr>
        <w:t xml:space="preserve">Company’s </w:t>
      </w:r>
      <w:r w:rsidR="007B5063" w:rsidRPr="005431CD">
        <w:rPr>
          <w:rFonts w:ascii="Times New Roman" w:hAnsi="Times New Roman" w:cs="Times New Roman"/>
          <w:sz w:val="24"/>
          <w:szCs w:val="24"/>
        </w:rPr>
        <w:t xml:space="preserve">asserted </w:t>
      </w:r>
      <w:r w:rsidR="00311E2B" w:rsidRPr="005431CD">
        <w:rPr>
          <w:rFonts w:ascii="Times New Roman" w:hAnsi="Times New Roman" w:cs="Times New Roman"/>
          <w:sz w:val="24"/>
          <w:szCs w:val="24"/>
        </w:rPr>
        <w:t xml:space="preserve">goal </w:t>
      </w:r>
      <w:r w:rsidR="007B5063" w:rsidRPr="005431CD">
        <w:rPr>
          <w:rFonts w:ascii="Times New Roman" w:hAnsi="Times New Roman" w:cs="Times New Roman"/>
          <w:sz w:val="24"/>
          <w:szCs w:val="24"/>
        </w:rPr>
        <w:t xml:space="preserve">for the new surcharge </w:t>
      </w:r>
      <w:r w:rsidR="002A5D48" w:rsidRPr="005431CD">
        <w:rPr>
          <w:rFonts w:ascii="Times New Roman" w:hAnsi="Times New Roman" w:cs="Times New Roman"/>
          <w:sz w:val="24"/>
          <w:szCs w:val="24"/>
        </w:rPr>
        <w:t xml:space="preserve">is </w:t>
      </w:r>
      <w:r w:rsidR="00311E2B" w:rsidRPr="005431CD">
        <w:rPr>
          <w:rFonts w:ascii="Times New Roman" w:hAnsi="Times New Roman" w:cs="Times New Roman"/>
          <w:sz w:val="24"/>
          <w:szCs w:val="24"/>
        </w:rPr>
        <w:t>for ratepayers to benefit from</w:t>
      </w:r>
      <w:r w:rsidR="002A5D48" w:rsidRPr="005431CD">
        <w:rPr>
          <w:rFonts w:ascii="Times New Roman" w:hAnsi="Times New Roman" w:cs="Times New Roman"/>
          <w:sz w:val="24"/>
          <w:szCs w:val="24"/>
        </w:rPr>
        <w:t xml:space="preserve"> enhance</w:t>
      </w:r>
      <w:r w:rsidR="00311E2B" w:rsidRPr="005431CD">
        <w:rPr>
          <w:rFonts w:ascii="Times New Roman" w:hAnsi="Times New Roman" w:cs="Times New Roman"/>
          <w:sz w:val="24"/>
          <w:szCs w:val="24"/>
        </w:rPr>
        <w:t>d</w:t>
      </w:r>
      <w:r w:rsidR="002A5D48" w:rsidRPr="005431CD">
        <w:rPr>
          <w:rFonts w:ascii="Times New Roman" w:hAnsi="Times New Roman" w:cs="Times New Roman"/>
          <w:sz w:val="24"/>
          <w:szCs w:val="24"/>
        </w:rPr>
        <w:t xml:space="preserve"> </w:t>
      </w:r>
      <w:r w:rsidR="00A50F4D" w:rsidRPr="005431CD">
        <w:rPr>
          <w:rFonts w:ascii="Times New Roman" w:hAnsi="Times New Roman" w:cs="Times New Roman"/>
          <w:sz w:val="24"/>
          <w:szCs w:val="24"/>
        </w:rPr>
        <w:t xml:space="preserve">pipeline </w:t>
      </w:r>
      <w:r w:rsidR="002A5D48" w:rsidRPr="005431CD">
        <w:rPr>
          <w:rFonts w:ascii="Times New Roman" w:hAnsi="Times New Roman" w:cs="Times New Roman"/>
          <w:sz w:val="24"/>
          <w:szCs w:val="24"/>
        </w:rPr>
        <w:t>system safety and reliability</w:t>
      </w:r>
      <w:r w:rsidR="007B5063" w:rsidRPr="005431CD">
        <w:rPr>
          <w:rFonts w:ascii="Times New Roman" w:hAnsi="Times New Roman" w:cs="Times New Roman"/>
          <w:sz w:val="24"/>
          <w:szCs w:val="24"/>
        </w:rPr>
        <w:t xml:space="preserve">.  To accomplish that goal, </w:t>
      </w:r>
      <w:r w:rsidR="00311E2B" w:rsidRPr="005431CD">
        <w:rPr>
          <w:rFonts w:ascii="Times New Roman" w:hAnsi="Times New Roman" w:cs="Times New Roman"/>
          <w:sz w:val="24"/>
          <w:szCs w:val="24"/>
        </w:rPr>
        <w:t>the surcharge</w:t>
      </w:r>
      <w:r w:rsidR="002A5D48" w:rsidRPr="005431CD">
        <w:rPr>
          <w:rFonts w:ascii="Times New Roman" w:hAnsi="Times New Roman" w:cs="Times New Roman"/>
          <w:sz w:val="24"/>
          <w:szCs w:val="24"/>
        </w:rPr>
        <w:t xml:space="preserve"> should be designed to encourage </w:t>
      </w:r>
      <w:r w:rsidR="007B5063" w:rsidRPr="005431CD">
        <w:rPr>
          <w:rFonts w:ascii="Times New Roman" w:hAnsi="Times New Roman" w:cs="Times New Roman"/>
          <w:sz w:val="24"/>
          <w:szCs w:val="24"/>
        </w:rPr>
        <w:t xml:space="preserve">pipeline </w:t>
      </w:r>
      <w:r w:rsidR="00A50F4D" w:rsidRPr="005431CD">
        <w:rPr>
          <w:rFonts w:ascii="Times New Roman" w:hAnsi="Times New Roman" w:cs="Times New Roman"/>
          <w:sz w:val="24"/>
          <w:szCs w:val="24"/>
        </w:rPr>
        <w:t xml:space="preserve">investment above and beyond </w:t>
      </w:r>
      <w:r w:rsidR="0088396A" w:rsidRPr="005431CD">
        <w:rPr>
          <w:rFonts w:ascii="Times New Roman" w:hAnsi="Times New Roman" w:cs="Times New Roman"/>
          <w:sz w:val="24"/>
          <w:szCs w:val="24"/>
        </w:rPr>
        <w:t xml:space="preserve">what </w:t>
      </w:r>
      <w:r w:rsidR="007B5063" w:rsidRPr="005431CD">
        <w:rPr>
          <w:rFonts w:ascii="Times New Roman" w:hAnsi="Times New Roman" w:cs="Times New Roman"/>
          <w:sz w:val="24"/>
          <w:szCs w:val="24"/>
        </w:rPr>
        <w:t>the Company already budgets in its</w:t>
      </w:r>
      <w:r w:rsidR="00B66FC4" w:rsidRPr="005431CD">
        <w:rPr>
          <w:rFonts w:ascii="Times New Roman" w:hAnsi="Times New Roman" w:cs="Times New Roman"/>
          <w:sz w:val="24"/>
          <w:szCs w:val="24"/>
        </w:rPr>
        <w:t xml:space="preserve"> normal course of business</w:t>
      </w:r>
      <w:r w:rsidR="00BD007C" w:rsidRPr="005431CD">
        <w:rPr>
          <w:rFonts w:ascii="Times New Roman" w:hAnsi="Times New Roman" w:cs="Times New Roman"/>
          <w:sz w:val="24"/>
          <w:szCs w:val="24"/>
        </w:rPr>
        <w:t xml:space="preserve"> without the surcharge</w:t>
      </w:r>
      <w:r w:rsidR="002A5D48" w:rsidRPr="005431CD">
        <w:rPr>
          <w:rFonts w:ascii="Times New Roman" w:hAnsi="Times New Roman" w:cs="Times New Roman"/>
          <w:sz w:val="24"/>
          <w:szCs w:val="24"/>
        </w:rPr>
        <w:t>.</w:t>
      </w:r>
      <w:r w:rsidR="007B5063">
        <w:rPr>
          <w:rStyle w:val="FootnoteReference"/>
          <w:rFonts w:ascii="Times New Roman" w:hAnsi="Times New Roman" w:cs="Times New Roman"/>
          <w:sz w:val="24"/>
          <w:szCs w:val="24"/>
        </w:rPr>
        <w:footnoteReference w:id="31"/>
      </w:r>
      <w:r w:rsidR="002A5D48" w:rsidRPr="005431CD">
        <w:rPr>
          <w:rFonts w:ascii="Times New Roman" w:hAnsi="Times New Roman" w:cs="Times New Roman"/>
          <w:sz w:val="24"/>
          <w:szCs w:val="24"/>
        </w:rPr>
        <w:t xml:space="preserve">  </w:t>
      </w:r>
    </w:p>
    <w:p w:rsidR="00D12084"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A5D48" w:rsidRPr="005431CD">
        <w:rPr>
          <w:rFonts w:ascii="Times New Roman" w:hAnsi="Times New Roman" w:cs="Times New Roman"/>
          <w:sz w:val="24"/>
          <w:szCs w:val="24"/>
        </w:rPr>
        <w:t>PSE’s proposal</w:t>
      </w:r>
      <w:r w:rsidR="00311E2B" w:rsidRPr="005431CD">
        <w:rPr>
          <w:rFonts w:ascii="Times New Roman" w:hAnsi="Times New Roman" w:cs="Times New Roman"/>
          <w:sz w:val="24"/>
          <w:szCs w:val="24"/>
        </w:rPr>
        <w:t xml:space="preserve"> does not meet that requirement because</w:t>
      </w:r>
      <w:r w:rsidR="00AC5964" w:rsidRPr="005431CD">
        <w:rPr>
          <w:rFonts w:ascii="Times New Roman" w:hAnsi="Times New Roman" w:cs="Times New Roman"/>
          <w:sz w:val="24"/>
          <w:szCs w:val="24"/>
        </w:rPr>
        <w:t xml:space="preserve"> </w:t>
      </w:r>
      <w:r w:rsidR="0088396A" w:rsidRPr="005431CD">
        <w:rPr>
          <w:rFonts w:ascii="Times New Roman" w:hAnsi="Times New Roman" w:cs="Times New Roman"/>
          <w:sz w:val="24"/>
          <w:szCs w:val="24"/>
        </w:rPr>
        <w:t xml:space="preserve">the </w:t>
      </w:r>
      <w:r w:rsidR="00EA03EF" w:rsidRPr="005431CD">
        <w:rPr>
          <w:rFonts w:ascii="Times New Roman" w:hAnsi="Times New Roman" w:cs="Times New Roman"/>
          <w:sz w:val="24"/>
          <w:szCs w:val="24"/>
        </w:rPr>
        <w:t xml:space="preserve">new </w:t>
      </w:r>
      <w:r w:rsidR="0088396A" w:rsidRPr="005431CD">
        <w:rPr>
          <w:rFonts w:ascii="Times New Roman" w:hAnsi="Times New Roman" w:cs="Times New Roman"/>
          <w:sz w:val="24"/>
          <w:szCs w:val="24"/>
        </w:rPr>
        <w:t>surcharge</w:t>
      </w:r>
      <w:r w:rsidR="002A5D48" w:rsidRPr="005431CD">
        <w:rPr>
          <w:rFonts w:ascii="Times New Roman" w:hAnsi="Times New Roman" w:cs="Times New Roman"/>
          <w:sz w:val="24"/>
          <w:szCs w:val="24"/>
        </w:rPr>
        <w:t xml:space="preserve"> </w:t>
      </w:r>
      <w:r w:rsidR="00311E2B" w:rsidRPr="005431CD">
        <w:rPr>
          <w:rFonts w:ascii="Times New Roman" w:hAnsi="Times New Roman" w:cs="Times New Roman"/>
          <w:sz w:val="24"/>
          <w:szCs w:val="24"/>
        </w:rPr>
        <w:t xml:space="preserve">would </w:t>
      </w:r>
      <w:r w:rsidR="00EA03EF" w:rsidRPr="005431CD">
        <w:rPr>
          <w:rFonts w:ascii="Times New Roman" w:hAnsi="Times New Roman" w:cs="Times New Roman"/>
          <w:sz w:val="24"/>
          <w:szCs w:val="24"/>
        </w:rPr>
        <w:t xml:space="preserve">recover </w:t>
      </w:r>
      <w:r w:rsidR="002A5D48" w:rsidRPr="005431CD">
        <w:rPr>
          <w:rFonts w:ascii="Times New Roman" w:hAnsi="Times New Roman" w:cs="Times New Roman"/>
          <w:sz w:val="24"/>
          <w:szCs w:val="24"/>
        </w:rPr>
        <w:t>pip</w:t>
      </w:r>
      <w:r w:rsidR="00AC5964" w:rsidRPr="005431CD">
        <w:rPr>
          <w:rFonts w:ascii="Times New Roman" w:hAnsi="Times New Roman" w:cs="Times New Roman"/>
          <w:sz w:val="24"/>
          <w:szCs w:val="24"/>
        </w:rPr>
        <w:t>eline re</w:t>
      </w:r>
      <w:r w:rsidR="00BD007C" w:rsidRPr="005431CD">
        <w:rPr>
          <w:rFonts w:ascii="Times New Roman" w:hAnsi="Times New Roman" w:cs="Times New Roman"/>
          <w:sz w:val="24"/>
          <w:szCs w:val="24"/>
        </w:rPr>
        <w:t xml:space="preserve">mediation expenditures </w:t>
      </w:r>
      <w:r w:rsidR="00AC5964" w:rsidRPr="005431CD">
        <w:rPr>
          <w:rFonts w:ascii="Times New Roman" w:hAnsi="Times New Roman" w:cs="Times New Roman"/>
          <w:sz w:val="24"/>
          <w:szCs w:val="24"/>
        </w:rPr>
        <w:t xml:space="preserve">defined </w:t>
      </w:r>
      <w:r w:rsidR="00BD007C" w:rsidRPr="005431CD">
        <w:rPr>
          <w:rFonts w:ascii="Times New Roman" w:hAnsi="Times New Roman" w:cs="Times New Roman"/>
          <w:sz w:val="24"/>
          <w:szCs w:val="24"/>
        </w:rPr>
        <w:t xml:space="preserve">expressly </w:t>
      </w:r>
      <w:r w:rsidR="002A5D48" w:rsidRPr="005431CD">
        <w:rPr>
          <w:rFonts w:ascii="Times New Roman" w:hAnsi="Times New Roman" w:cs="Times New Roman"/>
          <w:sz w:val="24"/>
          <w:szCs w:val="24"/>
        </w:rPr>
        <w:t xml:space="preserve">as the difference between plant </w:t>
      </w:r>
      <w:r w:rsidR="002A5D48" w:rsidRPr="005431CD">
        <w:rPr>
          <w:rFonts w:ascii="Times New Roman" w:hAnsi="Times New Roman" w:cs="Times New Roman"/>
          <w:sz w:val="24"/>
          <w:szCs w:val="24"/>
        </w:rPr>
        <w:lastRenderedPageBreak/>
        <w:t>balances already budgeted and plant balances at the end of the test year established in the Company’s most recent general rate case.</w:t>
      </w:r>
      <w:r w:rsidR="002A5D48">
        <w:rPr>
          <w:rStyle w:val="FootnoteReference"/>
          <w:rFonts w:ascii="Times New Roman" w:hAnsi="Times New Roman" w:cs="Times New Roman"/>
          <w:sz w:val="24"/>
          <w:szCs w:val="24"/>
        </w:rPr>
        <w:footnoteReference w:id="32"/>
      </w:r>
      <w:r w:rsidR="002A5D48" w:rsidRPr="005431CD">
        <w:rPr>
          <w:rFonts w:ascii="Times New Roman" w:hAnsi="Times New Roman" w:cs="Times New Roman"/>
          <w:sz w:val="24"/>
          <w:szCs w:val="24"/>
        </w:rPr>
        <w:t xml:space="preserve">  </w:t>
      </w:r>
      <w:r w:rsidR="00311E2B" w:rsidRPr="005431CD">
        <w:rPr>
          <w:rFonts w:ascii="Times New Roman" w:hAnsi="Times New Roman" w:cs="Times New Roman"/>
          <w:sz w:val="24"/>
          <w:szCs w:val="24"/>
        </w:rPr>
        <w:t>Since the</w:t>
      </w:r>
      <w:r w:rsidR="00AC5964" w:rsidRPr="005431CD">
        <w:rPr>
          <w:rFonts w:ascii="Times New Roman" w:hAnsi="Times New Roman" w:cs="Times New Roman"/>
          <w:sz w:val="24"/>
          <w:szCs w:val="24"/>
        </w:rPr>
        <w:t>se</w:t>
      </w:r>
      <w:r w:rsidR="00311E2B" w:rsidRPr="005431CD">
        <w:rPr>
          <w:rFonts w:ascii="Times New Roman" w:hAnsi="Times New Roman" w:cs="Times New Roman"/>
          <w:sz w:val="24"/>
          <w:szCs w:val="24"/>
        </w:rPr>
        <w:t xml:space="preserve"> </w:t>
      </w:r>
      <w:r w:rsidR="00AC5964" w:rsidRPr="005431CD">
        <w:rPr>
          <w:rFonts w:ascii="Times New Roman" w:hAnsi="Times New Roman" w:cs="Times New Roman"/>
          <w:sz w:val="24"/>
          <w:szCs w:val="24"/>
        </w:rPr>
        <w:t>“</w:t>
      </w:r>
      <w:r w:rsidR="00311E2B" w:rsidRPr="005431CD">
        <w:rPr>
          <w:rFonts w:ascii="Times New Roman" w:hAnsi="Times New Roman" w:cs="Times New Roman"/>
          <w:sz w:val="24"/>
          <w:szCs w:val="24"/>
        </w:rPr>
        <w:t>incremental</w:t>
      </w:r>
      <w:r w:rsidR="00AC5964" w:rsidRPr="005431CD">
        <w:rPr>
          <w:rFonts w:ascii="Times New Roman" w:hAnsi="Times New Roman" w:cs="Times New Roman"/>
          <w:sz w:val="24"/>
          <w:szCs w:val="24"/>
        </w:rPr>
        <w:t>”</w:t>
      </w:r>
      <w:r w:rsidR="00311E2B" w:rsidRPr="005431CD">
        <w:rPr>
          <w:rFonts w:ascii="Times New Roman" w:hAnsi="Times New Roman" w:cs="Times New Roman"/>
          <w:sz w:val="24"/>
          <w:szCs w:val="24"/>
        </w:rPr>
        <w:t xml:space="preserve"> expenditures are already planned</w:t>
      </w:r>
      <w:r w:rsidR="0088396A" w:rsidRPr="005431CD">
        <w:rPr>
          <w:rFonts w:ascii="Times New Roman" w:hAnsi="Times New Roman" w:cs="Times New Roman"/>
          <w:sz w:val="24"/>
          <w:szCs w:val="24"/>
        </w:rPr>
        <w:t xml:space="preserve">, they are contemplated </w:t>
      </w:r>
      <w:r w:rsidR="005F5915">
        <w:rPr>
          <w:rFonts w:ascii="Times New Roman" w:hAnsi="Times New Roman" w:cs="Times New Roman"/>
          <w:sz w:val="24"/>
          <w:szCs w:val="24"/>
        </w:rPr>
        <w:t xml:space="preserve">even </w:t>
      </w:r>
      <w:r w:rsidR="00311E2B" w:rsidRPr="005431CD">
        <w:rPr>
          <w:rFonts w:ascii="Times New Roman" w:hAnsi="Times New Roman" w:cs="Times New Roman"/>
          <w:sz w:val="24"/>
          <w:szCs w:val="24"/>
        </w:rPr>
        <w:t xml:space="preserve">without the </w:t>
      </w:r>
      <w:r w:rsidR="00EA03EF" w:rsidRPr="005431CD">
        <w:rPr>
          <w:rFonts w:ascii="Times New Roman" w:hAnsi="Times New Roman" w:cs="Times New Roman"/>
          <w:sz w:val="24"/>
          <w:szCs w:val="24"/>
        </w:rPr>
        <w:t>new</w:t>
      </w:r>
      <w:r w:rsidR="00311E2B" w:rsidRPr="005431CD">
        <w:rPr>
          <w:rFonts w:ascii="Times New Roman" w:hAnsi="Times New Roman" w:cs="Times New Roman"/>
          <w:sz w:val="24"/>
          <w:szCs w:val="24"/>
        </w:rPr>
        <w:t xml:space="preserve"> surcharge.</w:t>
      </w:r>
      <w:r w:rsidR="0088396A">
        <w:rPr>
          <w:rStyle w:val="FootnoteReference"/>
          <w:rFonts w:ascii="Times New Roman" w:hAnsi="Times New Roman" w:cs="Times New Roman"/>
          <w:sz w:val="24"/>
          <w:szCs w:val="24"/>
        </w:rPr>
        <w:footnoteReference w:id="33"/>
      </w:r>
      <w:r w:rsidR="00311E2B" w:rsidRPr="005431CD">
        <w:rPr>
          <w:rFonts w:ascii="Times New Roman" w:hAnsi="Times New Roman" w:cs="Times New Roman"/>
          <w:sz w:val="24"/>
          <w:szCs w:val="24"/>
        </w:rPr>
        <w:t xml:space="preserve">  No additional mechanism is nec</w:t>
      </w:r>
      <w:r w:rsidR="00AC5964" w:rsidRPr="005431CD">
        <w:rPr>
          <w:rFonts w:ascii="Times New Roman" w:hAnsi="Times New Roman" w:cs="Times New Roman"/>
          <w:sz w:val="24"/>
          <w:szCs w:val="24"/>
        </w:rPr>
        <w:t xml:space="preserve">essary to encourage PSE </w:t>
      </w:r>
      <w:r w:rsidR="00311E2B" w:rsidRPr="005431CD">
        <w:rPr>
          <w:rFonts w:ascii="Times New Roman" w:hAnsi="Times New Roman" w:cs="Times New Roman"/>
          <w:sz w:val="24"/>
          <w:szCs w:val="24"/>
        </w:rPr>
        <w:t>to make these investments</w:t>
      </w:r>
      <w:r w:rsidR="00EA03EF" w:rsidRPr="005431CD">
        <w:rPr>
          <w:rFonts w:ascii="Times New Roman" w:hAnsi="Times New Roman" w:cs="Times New Roman"/>
          <w:sz w:val="24"/>
          <w:szCs w:val="24"/>
        </w:rPr>
        <w:t xml:space="preserve"> if they are necessary to maintain a safe and reliable pipeline system</w:t>
      </w:r>
      <w:r w:rsidR="00311E2B" w:rsidRPr="005431CD">
        <w:rPr>
          <w:rFonts w:ascii="Times New Roman" w:hAnsi="Times New Roman" w:cs="Times New Roman"/>
          <w:sz w:val="24"/>
          <w:szCs w:val="24"/>
        </w:rPr>
        <w:t>.</w:t>
      </w:r>
      <w:r w:rsidR="00D12084" w:rsidRPr="005431CD">
        <w:rPr>
          <w:rFonts w:ascii="Times New Roman" w:hAnsi="Times New Roman" w:cs="Times New Roman"/>
          <w:sz w:val="24"/>
          <w:szCs w:val="24"/>
        </w:rPr>
        <w:t xml:space="preserve">  </w:t>
      </w:r>
    </w:p>
    <w:p w:rsidR="00D12084"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2084" w:rsidRPr="005431CD">
        <w:rPr>
          <w:rFonts w:ascii="Times New Roman" w:hAnsi="Times New Roman" w:cs="Times New Roman"/>
          <w:sz w:val="24"/>
          <w:szCs w:val="24"/>
        </w:rPr>
        <w:t>As note</w:t>
      </w:r>
      <w:r w:rsidR="00081B0A">
        <w:rPr>
          <w:rFonts w:ascii="Times New Roman" w:hAnsi="Times New Roman" w:cs="Times New Roman"/>
          <w:sz w:val="24"/>
          <w:szCs w:val="24"/>
        </w:rPr>
        <w:t xml:space="preserve">d above, </w:t>
      </w:r>
      <w:r w:rsidR="00D12084" w:rsidRPr="005431CD">
        <w:rPr>
          <w:rFonts w:ascii="Times New Roman" w:hAnsi="Times New Roman" w:cs="Times New Roman"/>
          <w:sz w:val="24"/>
          <w:szCs w:val="24"/>
        </w:rPr>
        <w:t xml:space="preserve">the Commission </w:t>
      </w:r>
      <w:r w:rsidR="001F25FF" w:rsidRPr="005431CD">
        <w:rPr>
          <w:rFonts w:ascii="Times New Roman" w:hAnsi="Times New Roman" w:cs="Times New Roman"/>
          <w:sz w:val="24"/>
          <w:szCs w:val="24"/>
        </w:rPr>
        <w:t xml:space="preserve">rejected a </w:t>
      </w:r>
      <w:r w:rsidR="00B66FC4" w:rsidRPr="005431CD">
        <w:rPr>
          <w:rFonts w:ascii="Times New Roman" w:hAnsi="Times New Roman" w:cs="Times New Roman"/>
          <w:sz w:val="24"/>
          <w:szCs w:val="24"/>
        </w:rPr>
        <w:t xml:space="preserve">prior </w:t>
      </w:r>
      <w:r w:rsidR="00EA03EF" w:rsidRPr="005431CD">
        <w:rPr>
          <w:rFonts w:ascii="Times New Roman" w:hAnsi="Times New Roman" w:cs="Times New Roman"/>
          <w:sz w:val="24"/>
          <w:szCs w:val="24"/>
        </w:rPr>
        <w:t xml:space="preserve">Company </w:t>
      </w:r>
      <w:r w:rsidR="001F25FF" w:rsidRPr="005431CD">
        <w:rPr>
          <w:rFonts w:ascii="Times New Roman" w:hAnsi="Times New Roman" w:cs="Times New Roman"/>
          <w:sz w:val="24"/>
          <w:szCs w:val="24"/>
        </w:rPr>
        <w:t xml:space="preserve">surcharge </w:t>
      </w:r>
      <w:r w:rsidR="00081B0A">
        <w:rPr>
          <w:rFonts w:ascii="Times New Roman" w:hAnsi="Times New Roman" w:cs="Times New Roman"/>
          <w:sz w:val="24"/>
          <w:szCs w:val="24"/>
        </w:rPr>
        <w:t xml:space="preserve">for safety-related expenditures, in part, </w:t>
      </w:r>
      <w:r w:rsidR="00D12084" w:rsidRPr="005431CD">
        <w:rPr>
          <w:rFonts w:ascii="Times New Roman" w:hAnsi="Times New Roman" w:cs="Times New Roman"/>
          <w:sz w:val="24"/>
          <w:szCs w:val="24"/>
        </w:rPr>
        <w:t>because “the tracker would offer dollar-for-dollar recovery of certain safety-related expenditures, most of which have not been shown by the company to be incremental to its normal operations.”</w:t>
      </w:r>
      <w:r w:rsidR="00D12084">
        <w:rPr>
          <w:rStyle w:val="FootnoteReference"/>
          <w:rFonts w:ascii="Times New Roman" w:hAnsi="Times New Roman" w:cs="Times New Roman"/>
          <w:sz w:val="24"/>
          <w:szCs w:val="24"/>
        </w:rPr>
        <w:footnoteReference w:id="34"/>
      </w:r>
      <w:r w:rsidR="00D12084" w:rsidRPr="005431CD">
        <w:rPr>
          <w:rFonts w:ascii="Times New Roman" w:hAnsi="Times New Roman" w:cs="Times New Roman"/>
          <w:sz w:val="24"/>
          <w:szCs w:val="24"/>
        </w:rPr>
        <w:t xml:space="preserve">  The same reason exists for the Commission to reject the proposed surcharge in this docket.</w:t>
      </w:r>
    </w:p>
    <w:p w:rsidR="00DE5197" w:rsidRDefault="00197742" w:rsidP="0067553A">
      <w:pPr>
        <w:spacing w:after="0" w:line="240" w:lineRule="auto"/>
        <w:ind w:left="1440" w:hanging="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AD3BFF" w:rsidRPr="00197742">
        <w:rPr>
          <w:rFonts w:ascii="Times New Roman" w:hAnsi="Times New Roman" w:cs="Times New Roman"/>
          <w:b/>
          <w:sz w:val="24"/>
          <w:szCs w:val="24"/>
        </w:rPr>
        <w:t>No Reason, Extraordinary or Otherwise, Has Been Proven that Would Warran</w:t>
      </w:r>
      <w:r w:rsidR="00FE2B98" w:rsidRPr="00197742">
        <w:rPr>
          <w:rFonts w:ascii="Times New Roman" w:hAnsi="Times New Roman" w:cs="Times New Roman"/>
          <w:b/>
          <w:sz w:val="24"/>
          <w:szCs w:val="24"/>
        </w:rPr>
        <w:t xml:space="preserve">t Commission Approval of the </w:t>
      </w:r>
      <w:r w:rsidR="00EA03EF">
        <w:rPr>
          <w:rFonts w:ascii="Times New Roman" w:hAnsi="Times New Roman" w:cs="Times New Roman"/>
          <w:b/>
          <w:sz w:val="24"/>
          <w:szCs w:val="24"/>
        </w:rPr>
        <w:t xml:space="preserve">New </w:t>
      </w:r>
      <w:r w:rsidR="00FE2B98" w:rsidRPr="00197742">
        <w:rPr>
          <w:rFonts w:ascii="Times New Roman" w:hAnsi="Times New Roman" w:cs="Times New Roman"/>
          <w:b/>
          <w:sz w:val="24"/>
          <w:szCs w:val="24"/>
        </w:rPr>
        <w:t>Surcharge</w:t>
      </w:r>
    </w:p>
    <w:p w:rsidR="001F25FF" w:rsidRDefault="001F25FF" w:rsidP="00DE5197">
      <w:pPr>
        <w:spacing w:after="0" w:line="240" w:lineRule="auto"/>
        <w:rPr>
          <w:rFonts w:ascii="Times New Roman" w:hAnsi="Times New Roman" w:cs="Times New Roman"/>
          <w:b/>
          <w:sz w:val="24"/>
          <w:szCs w:val="24"/>
        </w:rPr>
      </w:pPr>
    </w:p>
    <w:p w:rsidR="00DE5197" w:rsidRPr="00750D67" w:rsidRDefault="00750D67" w:rsidP="0067553A">
      <w:pPr>
        <w:spacing w:after="0" w:line="240" w:lineRule="auto"/>
        <w:ind w:left="2160"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DB665F" w:rsidRPr="00750D67">
        <w:rPr>
          <w:rFonts w:ascii="Times New Roman" w:hAnsi="Times New Roman" w:cs="Times New Roman"/>
          <w:b/>
          <w:sz w:val="24"/>
          <w:szCs w:val="24"/>
        </w:rPr>
        <w:t xml:space="preserve">The Company’s Pipeline System is </w:t>
      </w:r>
      <w:r w:rsidR="008D5105" w:rsidRPr="00750D67">
        <w:rPr>
          <w:rFonts w:ascii="Times New Roman" w:hAnsi="Times New Roman" w:cs="Times New Roman"/>
          <w:b/>
          <w:sz w:val="24"/>
          <w:szCs w:val="24"/>
        </w:rPr>
        <w:t xml:space="preserve">Already </w:t>
      </w:r>
      <w:r w:rsidR="00DB665F" w:rsidRPr="00750D67">
        <w:rPr>
          <w:rFonts w:ascii="Times New Roman" w:hAnsi="Times New Roman" w:cs="Times New Roman"/>
          <w:b/>
          <w:sz w:val="24"/>
          <w:szCs w:val="24"/>
        </w:rPr>
        <w:t xml:space="preserve">Safe and Reliable and </w:t>
      </w:r>
      <w:r w:rsidR="00AC5964" w:rsidRPr="00750D67">
        <w:rPr>
          <w:rFonts w:ascii="Times New Roman" w:hAnsi="Times New Roman" w:cs="Times New Roman"/>
          <w:b/>
          <w:sz w:val="24"/>
          <w:szCs w:val="24"/>
        </w:rPr>
        <w:t>PSE is Committed to Keeping the System Safe and R</w:t>
      </w:r>
      <w:r w:rsidR="00DB665F" w:rsidRPr="00750D67">
        <w:rPr>
          <w:rFonts w:ascii="Times New Roman" w:hAnsi="Times New Roman" w:cs="Times New Roman"/>
          <w:b/>
          <w:sz w:val="24"/>
          <w:szCs w:val="24"/>
        </w:rPr>
        <w:t>eliable Without the Surcharge</w:t>
      </w:r>
    </w:p>
    <w:p w:rsidR="00AC5964" w:rsidRDefault="00AC5964" w:rsidP="00AC5964">
      <w:pPr>
        <w:spacing w:after="0" w:line="240" w:lineRule="auto"/>
        <w:ind w:left="720"/>
        <w:rPr>
          <w:rFonts w:ascii="Times New Roman" w:hAnsi="Times New Roman" w:cs="Times New Roman"/>
          <w:b/>
          <w:sz w:val="24"/>
          <w:szCs w:val="24"/>
        </w:rPr>
      </w:pPr>
    </w:p>
    <w:p w:rsidR="00CB7BBF"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8396A" w:rsidRPr="005431CD">
        <w:rPr>
          <w:rFonts w:ascii="Times New Roman" w:hAnsi="Times New Roman" w:cs="Times New Roman"/>
          <w:sz w:val="24"/>
          <w:szCs w:val="24"/>
        </w:rPr>
        <w:t xml:space="preserve">There are two points that </w:t>
      </w:r>
      <w:r w:rsidR="003A38B5" w:rsidRPr="005431CD">
        <w:rPr>
          <w:rFonts w:ascii="Times New Roman" w:hAnsi="Times New Roman" w:cs="Times New Roman"/>
          <w:sz w:val="24"/>
          <w:szCs w:val="24"/>
        </w:rPr>
        <w:t>the Comp</w:t>
      </w:r>
      <w:r w:rsidR="0088396A" w:rsidRPr="005431CD">
        <w:rPr>
          <w:rFonts w:ascii="Times New Roman" w:hAnsi="Times New Roman" w:cs="Times New Roman"/>
          <w:sz w:val="24"/>
          <w:szCs w:val="24"/>
        </w:rPr>
        <w:t>any readily and adamantly asserts</w:t>
      </w:r>
      <w:r w:rsidR="00D03216" w:rsidRPr="005431CD">
        <w:rPr>
          <w:rFonts w:ascii="Times New Roman" w:hAnsi="Times New Roman" w:cs="Times New Roman"/>
          <w:sz w:val="24"/>
          <w:szCs w:val="24"/>
        </w:rPr>
        <w:t xml:space="preserve"> without </w:t>
      </w:r>
      <w:r w:rsidR="00100B5F" w:rsidRPr="005431CD">
        <w:rPr>
          <w:rFonts w:ascii="Times New Roman" w:hAnsi="Times New Roman" w:cs="Times New Roman"/>
          <w:sz w:val="24"/>
          <w:szCs w:val="24"/>
        </w:rPr>
        <w:t>equivocation</w:t>
      </w:r>
      <w:r w:rsidR="003A38B5" w:rsidRPr="005431CD">
        <w:rPr>
          <w:rFonts w:ascii="Times New Roman" w:hAnsi="Times New Roman" w:cs="Times New Roman"/>
          <w:sz w:val="24"/>
          <w:szCs w:val="24"/>
        </w:rPr>
        <w:t>:  first</w:t>
      </w:r>
      <w:r w:rsidR="00D03216" w:rsidRPr="005431CD">
        <w:rPr>
          <w:rFonts w:ascii="Times New Roman" w:hAnsi="Times New Roman" w:cs="Times New Roman"/>
          <w:sz w:val="24"/>
          <w:szCs w:val="24"/>
        </w:rPr>
        <w:t>, the</w:t>
      </w:r>
      <w:r w:rsidR="003A38B5" w:rsidRPr="005431CD">
        <w:rPr>
          <w:rFonts w:ascii="Times New Roman" w:hAnsi="Times New Roman" w:cs="Times New Roman"/>
          <w:sz w:val="24"/>
          <w:szCs w:val="24"/>
        </w:rPr>
        <w:t xml:space="preserve"> cur</w:t>
      </w:r>
      <w:r w:rsidR="0088396A" w:rsidRPr="005431CD">
        <w:rPr>
          <w:rFonts w:ascii="Times New Roman" w:hAnsi="Times New Roman" w:cs="Times New Roman"/>
          <w:sz w:val="24"/>
          <w:szCs w:val="24"/>
        </w:rPr>
        <w:t xml:space="preserve">rent pipeline system is </w:t>
      </w:r>
      <w:r w:rsidR="003A38B5" w:rsidRPr="005431CD">
        <w:rPr>
          <w:rFonts w:ascii="Times New Roman" w:hAnsi="Times New Roman" w:cs="Times New Roman"/>
          <w:sz w:val="24"/>
          <w:szCs w:val="24"/>
        </w:rPr>
        <w:t>safe an</w:t>
      </w:r>
      <w:r w:rsidR="00F63613" w:rsidRPr="005431CD">
        <w:rPr>
          <w:rFonts w:ascii="Times New Roman" w:hAnsi="Times New Roman" w:cs="Times New Roman"/>
          <w:sz w:val="24"/>
          <w:szCs w:val="24"/>
        </w:rPr>
        <w:t xml:space="preserve">d reliable and, second, </w:t>
      </w:r>
      <w:r w:rsidR="003A38B5" w:rsidRPr="005431CD">
        <w:rPr>
          <w:rFonts w:ascii="Times New Roman" w:hAnsi="Times New Roman" w:cs="Times New Roman"/>
          <w:sz w:val="24"/>
          <w:szCs w:val="24"/>
        </w:rPr>
        <w:t>PSE will continue to invest in pipeline replacement</w:t>
      </w:r>
      <w:r w:rsidR="00F63613" w:rsidRPr="005431CD">
        <w:rPr>
          <w:rFonts w:ascii="Times New Roman" w:hAnsi="Times New Roman" w:cs="Times New Roman"/>
          <w:sz w:val="24"/>
          <w:szCs w:val="24"/>
        </w:rPr>
        <w:t xml:space="preserve"> </w:t>
      </w:r>
      <w:r w:rsidR="0088396A" w:rsidRPr="005431CD">
        <w:rPr>
          <w:rFonts w:ascii="Times New Roman" w:hAnsi="Times New Roman" w:cs="Times New Roman"/>
          <w:sz w:val="24"/>
          <w:szCs w:val="24"/>
        </w:rPr>
        <w:t xml:space="preserve">to keep the system safe and reliable </w:t>
      </w:r>
      <w:r w:rsidR="003A38B5" w:rsidRPr="005431CD">
        <w:rPr>
          <w:rFonts w:ascii="Times New Roman" w:hAnsi="Times New Roman" w:cs="Times New Roman"/>
          <w:sz w:val="24"/>
          <w:szCs w:val="24"/>
        </w:rPr>
        <w:t>even without the new surcharge.</w:t>
      </w:r>
      <w:r w:rsidR="003A38B5">
        <w:rPr>
          <w:rStyle w:val="FootnoteReference"/>
          <w:rFonts w:ascii="Times New Roman" w:hAnsi="Times New Roman" w:cs="Times New Roman"/>
          <w:sz w:val="24"/>
          <w:szCs w:val="24"/>
        </w:rPr>
        <w:footnoteReference w:id="35"/>
      </w:r>
      <w:r w:rsidR="00CB7BBF" w:rsidRPr="005431CD">
        <w:rPr>
          <w:rFonts w:ascii="Times New Roman" w:hAnsi="Times New Roman" w:cs="Times New Roman"/>
          <w:sz w:val="24"/>
          <w:szCs w:val="24"/>
        </w:rPr>
        <w:t xml:space="preserve">  The record supports the Company’s </w:t>
      </w:r>
      <w:r w:rsidR="001951D5" w:rsidRPr="005431CD">
        <w:rPr>
          <w:rFonts w:ascii="Times New Roman" w:hAnsi="Times New Roman" w:cs="Times New Roman"/>
          <w:sz w:val="24"/>
          <w:szCs w:val="24"/>
        </w:rPr>
        <w:t>conclusion that the new surcharge</w:t>
      </w:r>
      <w:r w:rsidR="006733EE" w:rsidRPr="005431CD">
        <w:rPr>
          <w:rFonts w:ascii="Times New Roman" w:hAnsi="Times New Roman" w:cs="Times New Roman"/>
          <w:sz w:val="24"/>
          <w:szCs w:val="24"/>
        </w:rPr>
        <w:t xml:space="preserve"> </w:t>
      </w:r>
      <w:r w:rsidR="00081B0A">
        <w:rPr>
          <w:rFonts w:ascii="Times New Roman" w:hAnsi="Times New Roman" w:cs="Times New Roman"/>
          <w:sz w:val="24"/>
          <w:szCs w:val="24"/>
        </w:rPr>
        <w:lastRenderedPageBreak/>
        <w:t>is not necessary to maintain a</w:t>
      </w:r>
      <w:r w:rsidR="006733EE" w:rsidRPr="005431CD">
        <w:rPr>
          <w:rFonts w:ascii="Times New Roman" w:hAnsi="Times New Roman" w:cs="Times New Roman"/>
          <w:sz w:val="24"/>
          <w:szCs w:val="24"/>
        </w:rPr>
        <w:t xml:space="preserve"> </w:t>
      </w:r>
      <w:r w:rsidR="001951D5" w:rsidRPr="005431CD">
        <w:rPr>
          <w:rFonts w:ascii="Times New Roman" w:hAnsi="Times New Roman" w:cs="Times New Roman"/>
          <w:sz w:val="24"/>
          <w:szCs w:val="24"/>
        </w:rPr>
        <w:t>safe and reliable pipeline delivery system</w:t>
      </w:r>
      <w:r w:rsidR="006733EE" w:rsidRPr="005431CD">
        <w:rPr>
          <w:rFonts w:ascii="Times New Roman" w:hAnsi="Times New Roman" w:cs="Times New Roman"/>
          <w:sz w:val="24"/>
          <w:szCs w:val="24"/>
        </w:rPr>
        <w:t xml:space="preserve"> </w:t>
      </w:r>
      <w:r w:rsidR="00081B0A">
        <w:rPr>
          <w:rFonts w:ascii="Times New Roman" w:hAnsi="Times New Roman" w:cs="Times New Roman"/>
          <w:sz w:val="24"/>
          <w:szCs w:val="24"/>
        </w:rPr>
        <w:t xml:space="preserve">that </w:t>
      </w:r>
      <w:r w:rsidR="006733EE" w:rsidRPr="005431CD">
        <w:rPr>
          <w:rFonts w:ascii="Times New Roman" w:hAnsi="Times New Roman" w:cs="Times New Roman"/>
          <w:sz w:val="24"/>
          <w:szCs w:val="24"/>
        </w:rPr>
        <w:t>PSE asserts already exists and will continue to exist</w:t>
      </w:r>
      <w:r w:rsidR="001951D5" w:rsidRPr="005431CD">
        <w:rPr>
          <w:rFonts w:ascii="Times New Roman" w:hAnsi="Times New Roman" w:cs="Times New Roman"/>
          <w:sz w:val="24"/>
          <w:szCs w:val="24"/>
        </w:rPr>
        <w:t>.</w:t>
      </w:r>
    </w:p>
    <w:p w:rsidR="001951D5"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951D5" w:rsidRPr="005431CD">
        <w:rPr>
          <w:rFonts w:ascii="Times New Roman" w:hAnsi="Times New Roman" w:cs="Times New Roman"/>
          <w:sz w:val="24"/>
          <w:szCs w:val="24"/>
        </w:rPr>
        <w:t xml:space="preserve">First, </w:t>
      </w:r>
      <w:r w:rsidR="00161F42" w:rsidRPr="005431CD">
        <w:rPr>
          <w:rFonts w:ascii="Times New Roman" w:hAnsi="Times New Roman" w:cs="Times New Roman"/>
          <w:sz w:val="24"/>
          <w:szCs w:val="24"/>
        </w:rPr>
        <w:t>u</w:t>
      </w:r>
      <w:r w:rsidR="00C77638" w:rsidRPr="005431CD">
        <w:rPr>
          <w:rFonts w:ascii="Times New Roman" w:hAnsi="Times New Roman" w:cs="Times New Roman"/>
          <w:sz w:val="24"/>
          <w:szCs w:val="24"/>
        </w:rPr>
        <w:t>nder federal law, the Company i</w:t>
      </w:r>
      <w:r w:rsidR="00161F42" w:rsidRPr="005431CD">
        <w:rPr>
          <w:rFonts w:ascii="Times New Roman" w:hAnsi="Times New Roman" w:cs="Times New Roman"/>
          <w:sz w:val="24"/>
          <w:szCs w:val="24"/>
        </w:rPr>
        <w:t>s required to develop and implement a distribution integrity management program (“DIMP”) that requires PSE to continually identify, assess and monitor risks on its pipeline system.</w:t>
      </w:r>
      <w:r w:rsidR="00161F42">
        <w:rPr>
          <w:rStyle w:val="FootnoteReference"/>
          <w:rFonts w:ascii="Times New Roman" w:hAnsi="Times New Roman" w:cs="Times New Roman"/>
          <w:sz w:val="24"/>
          <w:szCs w:val="24"/>
        </w:rPr>
        <w:footnoteReference w:id="36"/>
      </w:r>
      <w:r w:rsidR="00161F42" w:rsidRPr="005431CD">
        <w:rPr>
          <w:rFonts w:ascii="Times New Roman" w:hAnsi="Times New Roman" w:cs="Times New Roman"/>
          <w:sz w:val="24"/>
          <w:szCs w:val="24"/>
        </w:rPr>
        <w:t xml:space="preserve">  </w:t>
      </w:r>
      <w:r w:rsidR="00C77638" w:rsidRPr="005431CD">
        <w:rPr>
          <w:rFonts w:ascii="Times New Roman" w:hAnsi="Times New Roman" w:cs="Times New Roman"/>
          <w:sz w:val="24"/>
          <w:szCs w:val="24"/>
        </w:rPr>
        <w:t>DIMP does not require pipeline replacement</w:t>
      </w:r>
      <w:r w:rsidR="004D3DB4" w:rsidRPr="005431CD">
        <w:rPr>
          <w:rFonts w:ascii="Times New Roman" w:hAnsi="Times New Roman" w:cs="Times New Roman"/>
          <w:sz w:val="24"/>
          <w:szCs w:val="24"/>
        </w:rPr>
        <w:t xml:space="preserve">, but it does </w:t>
      </w:r>
      <w:r w:rsidR="00C77638" w:rsidRPr="005431CD">
        <w:rPr>
          <w:rFonts w:ascii="Times New Roman" w:hAnsi="Times New Roman" w:cs="Times New Roman"/>
          <w:sz w:val="24"/>
          <w:szCs w:val="24"/>
        </w:rPr>
        <w:t xml:space="preserve">formalize PSE’s existing practices </w:t>
      </w:r>
      <w:r w:rsidR="00A616ED" w:rsidRPr="005431CD">
        <w:rPr>
          <w:rFonts w:ascii="Times New Roman" w:hAnsi="Times New Roman" w:cs="Times New Roman"/>
          <w:sz w:val="24"/>
          <w:szCs w:val="24"/>
        </w:rPr>
        <w:t>that already include</w:t>
      </w:r>
      <w:r w:rsidR="00C77638" w:rsidRPr="005431CD">
        <w:rPr>
          <w:rFonts w:ascii="Times New Roman" w:hAnsi="Times New Roman" w:cs="Times New Roman"/>
          <w:sz w:val="24"/>
          <w:szCs w:val="24"/>
        </w:rPr>
        <w:t xml:space="preserve"> comparable pipeline integrity methods and activities</w:t>
      </w:r>
      <w:r w:rsidR="000A5EA5" w:rsidRPr="005431CD">
        <w:rPr>
          <w:rFonts w:ascii="Times New Roman" w:hAnsi="Times New Roman" w:cs="Times New Roman"/>
          <w:sz w:val="24"/>
          <w:szCs w:val="24"/>
        </w:rPr>
        <w:t xml:space="preserve"> for wrapped steel services and mains and Older PE</w:t>
      </w:r>
      <w:r w:rsidR="00C77638" w:rsidRPr="005431CD">
        <w:rPr>
          <w:rFonts w:ascii="Times New Roman" w:hAnsi="Times New Roman" w:cs="Times New Roman"/>
          <w:sz w:val="24"/>
          <w:szCs w:val="24"/>
        </w:rPr>
        <w:t>.</w:t>
      </w:r>
      <w:r w:rsidR="00C77638">
        <w:rPr>
          <w:rStyle w:val="FootnoteReference"/>
          <w:rFonts w:ascii="Times New Roman" w:hAnsi="Times New Roman" w:cs="Times New Roman"/>
          <w:sz w:val="24"/>
          <w:szCs w:val="24"/>
        </w:rPr>
        <w:footnoteReference w:id="37"/>
      </w:r>
      <w:r w:rsidR="00C77638" w:rsidRPr="005431CD">
        <w:rPr>
          <w:rFonts w:ascii="Times New Roman" w:hAnsi="Times New Roman" w:cs="Times New Roman"/>
          <w:sz w:val="24"/>
          <w:szCs w:val="24"/>
        </w:rPr>
        <w:t xml:space="preserve">  Thus, the new surcharge is not necessary for PSE to comply with DIMP requirements.</w:t>
      </w:r>
      <w:r w:rsidR="004D3DB4" w:rsidRPr="005431CD">
        <w:rPr>
          <w:rFonts w:ascii="Times New Roman" w:hAnsi="Times New Roman" w:cs="Times New Roman"/>
          <w:sz w:val="24"/>
          <w:szCs w:val="24"/>
        </w:rPr>
        <w:t xml:space="preserve">  Nor is it necessary to comply with federal requests for the Company to re</w:t>
      </w:r>
      <w:r w:rsidR="00A616ED" w:rsidRPr="005431CD">
        <w:rPr>
          <w:rFonts w:ascii="Times New Roman" w:hAnsi="Times New Roman" w:cs="Times New Roman"/>
          <w:sz w:val="24"/>
          <w:szCs w:val="24"/>
        </w:rPr>
        <w:t>view its system to identify high risk pipeline</w:t>
      </w:r>
      <w:r w:rsidR="004D3DB4" w:rsidRPr="005431CD">
        <w:rPr>
          <w:rFonts w:ascii="Times New Roman" w:hAnsi="Times New Roman" w:cs="Times New Roman"/>
          <w:sz w:val="24"/>
          <w:szCs w:val="24"/>
        </w:rPr>
        <w:t xml:space="preserve"> and prioritize critical repair.</w:t>
      </w:r>
      <w:r w:rsidR="004D3DB4">
        <w:rPr>
          <w:rStyle w:val="FootnoteReference"/>
          <w:rFonts w:ascii="Times New Roman" w:hAnsi="Times New Roman" w:cs="Times New Roman"/>
          <w:sz w:val="24"/>
          <w:szCs w:val="24"/>
        </w:rPr>
        <w:footnoteReference w:id="38"/>
      </w:r>
      <w:r w:rsidR="004D3DB4" w:rsidRPr="005431CD">
        <w:rPr>
          <w:rFonts w:ascii="Times New Roman" w:hAnsi="Times New Roman" w:cs="Times New Roman"/>
          <w:sz w:val="24"/>
          <w:szCs w:val="24"/>
        </w:rPr>
        <w:t xml:space="preserve">  PSE has no plans to discontinue any pipeline integrity management practices </w:t>
      </w:r>
      <w:r w:rsidR="00EA03EF" w:rsidRPr="005431CD">
        <w:rPr>
          <w:rFonts w:ascii="Times New Roman" w:hAnsi="Times New Roman" w:cs="Times New Roman"/>
          <w:sz w:val="24"/>
          <w:szCs w:val="24"/>
        </w:rPr>
        <w:t xml:space="preserve">even </w:t>
      </w:r>
      <w:r w:rsidR="004D3DB4" w:rsidRPr="005431CD">
        <w:rPr>
          <w:rFonts w:ascii="Times New Roman" w:hAnsi="Times New Roman" w:cs="Times New Roman"/>
          <w:sz w:val="24"/>
          <w:szCs w:val="24"/>
        </w:rPr>
        <w:t>if the Commission rejects the surcharge.</w:t>
      </w:r>
      <w:r w:rsidR="004D3DB4">
        <w:rPr>
          <w:rStyle w:val="FootnoteReference"/>
          <w:rFonts w:ascii="Times New Roman" w:hAnsi="Times New Roman" w:cs="Times New Roman"/>
          <w:sz w:val="24"/>
          <w:szCs w:val="24"/>
        </w:rPr>
        <w:footnoteReference w:id="39"/>
      </w:r>
      <w:r w:rsidR="004344CC">
        <w:rPr>
          <w:rFonts w:ascii="Times New Roman" w:hAnsi="Times New Roman" w:cs="Times New Roman"/>
          <w:sz w:val="24"/>
          <w:szCs w:val="24"/>
        </w:rPr>
        <w:t xml:space="preserve">  To the contrary, PSE </w:t>
      </w:r>
      <w:r w:rsidR="00CE4266" w:rsidRPr="005431CD">
        <w:rPr>
          <w:rFonts w:ascii="Times New Roman" w:hAnsi="Times New Roman" w:cs="Times New Roman"/>
          <w:sz w:val="24"/>
          <w:szCs w:val="24"/>
        </w:rPr>
        <w:t xml:space="preserve">states that as new emerging trends are identified it will develop strategies </w:t>
      </w:r>
      <w:r w:rsidR="005F5915">
        <w:rPr>
          <w:rFonts w:ascii="Times New Roman" w:hAnsi="Times New Roman" w:cs="Times New Roman"/>
          <w:sz w:val="24"/>
          <w:szCs w:val="24"/>
        </w:rPr>
        <w:t>and policies to mitigate risks in</w:t>
      </w:r>
      <w:r w:rsidR="00CE4266" w:rsidRPr="005431CD">
        <w:rPr>
          <w:rFonts w:ascii="Times New Roman" w:hAnsi="Times New Roman" w:cs="Times New Roman"/>
          <w:sz w:val="24"/>
          <w:szCs w:val="24"/>
        </w:rPr>
        <w:t xml:space="preserve"> order to meet the requirements of DIMP.</w:t>
      </w:r>
      <w:r w:rsidR="00CE4266">
        <w:rPr>
          <w:rStyle w:val="FootnoteReference"/>
          <w:rFonts w:ascii="Times New Roman" w:hAnsi="Times New Roman" w:cs="Times New Roman"/>
          <w:sz w:val="24"/>
          <w:szCs w:val="24"/>
        </w:rPr>
        <w:footnoteReference w:id="40"/>
      </w:r>
    </w:p>
    <w:p w:rsidR="00100B5F"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63613" w:rsidRPr="005431CD">
        <w:rPr>
          <w:rFonts w:ascii="Times New Roman" w:hAnsi="Times New Roman" w:cs="Times New Roman"/>
          <w:sz w:val="24"/>
          <w:szCs w:val="24"/>
        </w:rPr>
        <w:t>Indeed</w:t>
      </w:r>
      <w:r w:rsidR="0068524B" w:rsidRPr="005431CD">
        <w:rPr>
          <w:rFonts w:ascii="Times New Roman" w:hAnsi="Times New Roman" w:cs="Times New Roman"/>
          <w:sz w:val="24"/>
          <w:szCs w:val="24"/>
        </w:rPr>
        <w:t>, PSE has already increased the frequency</w:t>
      </w:r>
      <w:r w:rsidR="00A616ED" w:rsidRPr="005431CD">
        <w:rPr>
          <w:rFonts w:ascii="Times New Roman" w:hAnsi="Times New Roman" w:cs="Times New Roman"/>
          <w:sz w:val="24"/>
          <w:szCs w:val="24"/>
        </w:rPr>
        <w:t xml:space="preserve"> of </w:t>
      </w:r>
      <w:r w:rsidR="0068524B" w:rsidRPr="005431CD">
        <w:rPr>
          <w:rFonts w:ascii="Times New Roman" w:hAnsi="Times New Roman" w:cs="Times New Roman"/>
          <w:sz w:val="24"/>
          <w:szCs w:val="24"/>
        </w:rPr>
        <w:t xml:space="preserve">leak surveys for wrapped steel and </w:t>
      </w:r>
      <w:r w:rsidR="00EA03EF" w:rsidRPr="005431CD">
        <w:rPr>
          <w:rFonts w:ascii="Times New Roman" w:hAnsi="Times New Roman" w:cs="Times New Roman"/>
          <w:sz w:val="24"/>
          <w:szCs w:val="24"/>
        </w:rPr>
        <w:t xml:space="preserve">the Company </w:t>
      </w:r>
      <w:r w:rsidR="0068524B" w:rsidRPr="005431CD">
        <w:rPr>
          <w:rFonts w:ascii="Times New Roman" w:hAnsi="Times New Roman" w:cs="Times New Roman"/>
          <w:sz w:val="24"/>
          <w:szCs w:val="24"/>
        </w:rPr>
        <w:t xml:space="preserve">believes that its current regimen of leak survey frequency is assigned appropriately </w:t>
      </w:r>
      <w:r w:rsidR="00E14160" w:rsidRPr="005431CD">
        <w:rPr>
          <w:rFonts w:ascii="Times New Roman" w:hAnsi="Times New Roman" w:cs="Times New Roman"/>
          <w:sz w:val="24"/>
          <w:szCs w:val="24"/>
        </w:rPr>
        <w:t>so that all</w:t>
      </w:r>
      <w:r w:rsidR="0068524B" w:rsidRPr="005431CD">
        <w:rPr>
          <w:rFonts w:ascii="Times New Roman" w:hAnsi="Times New Roman" w:cs="Times New Roman"/>
          <w:sz w:val="24"/>
          <w:szCs w:val="24"/>
        </w:rPr>
        <w:t xml:space="preserve"> categories of p</w:t>
      </w:r>
      <w:r w:rsidR="00100B5F" w:rsidRPr="005431CD">
        <w:rPr>
          <w:rFonts w:ascii="Times New Roman" w:hAnsi="Times New Roman" w:cs="Times New Roman"/>
          <w:sz w:val="24"/>
          <w:szCs w:val="24"/>
        </w:rPr>
        <w:t xml:space="preserve">ipe </w:t>
      </w:r>
      <w:r w:rsidR="00E14160" w:rsidRPr="005431CD">
        <w:rPr>
          <w:rFonts w:ascii="Times New Roman" w:hAnsi="Times New Roman" w:cs="Times New Roman"/>
          <w:sz w:val="24"/>
          <w:szCs w:val="24"/>
        </w:rPr>
        <w:t>are continually inspected and monitored</w:t>
      </w:r>
      <w:r w:rsidR="0068524B" w:rsidRPr="005431CD">
        <w:rPr>
          <w:rFonts w:ascii="Times New Roman" w:hAnsi="Times New Roman" w:cs="Times New Roman"/>
          <w:sz w:val="24"/>
          <w:szCs w:val="24"/>
        </w:rPr>
        <w:t>.</w:t>
      </w:r>
      <w:r w:rsidR="0068524B">
        <w:rPr>
          <w:rStyle w:val="FootnoteReference"/>
          <w:rFonts w:ascii="Times New Roman" w:hAnsi="Times New Roman" w:cs="Times New Roman"/>
          <w:sz w:val="24"/>
          <w:szCs w:val="24"/>
        </w:rPr>
        <w:footnoteReference w:id="41"/>
      </w:r>
      <w:r w:rsidR="0068524B" w:rsidRPr="005431CD">
        <w:rPr>
          <w:rFonts w:ascii="Times New Roman" w:hAnsi="Times New Roman" w:cs="Times New Roman"/>
          <w:sz w:val="24"/>
          <w:szCs w:val="24"/>
        </w:rPr>
        <w:t xml:space="preserve">  </w:t>
      </w:r>
      <w:r w:rsidR="006260F0" w:rsidRPr="005431CD">
        <w:rPr>
          <w:rFonts w:ascii="Times New Roman" w:hAnsi="Times New Roman" w:cs="Times New Roman"/>
          <w:sz w:val="24"/>
          <w:szCs w:val="24"/>
        </w:rPr>
        <w:t>The</w:t>
      </w:r>
      <w:r w:rsidR="0068524B" w:rsidRPr="005431CD">
        <w:rPr>
          <w:rFonts w:ascii="Times New Roman" w:hAnsi="Times New Roman" w:cs="Times New Roman"/>
          <w:sz w:val="24"/>
          <w:szCs w:val="24"/>
        </w:rPr>
        <w:t>se</w:t>
      </w:r>
      <w:r w:rsidR="006260F0" w:rsidRPr="005431CD">
        <w:rPr>
          <w:rFonts w:ascii="Times New Roman" w:hAnsi="Times New Roman" w:cs="Times New Roman"/>
          <w:sz w:val="24"/>
          <w:szCs w:val="24"/>
        </w:rPr>
        <w:t xml:space="preserve"> pipeline integrity management efforts have yielded significant informa</w:t>
      </w:r>
      <w:r w:rsidR="00694E1C" w:rsidRPr="005431CD">
        <w:rPr>
          <w:rFonts w:ascii="Times New Roman" w:hAnsi="Times New Roman" w:cs="Times New Roman"/>
          <w:sz w:val="24"/>
          <w:szCs w:val="24"/>
        </w:rPr>
        <w:t xml:space="preserve">tion about the condition of </w:t>
      </w:r>
      <w:r w:rsidR="006260F0" w:rsidRPr="005431CD">
        <w:rPr>
          <w:rFonts w:ascii="Times New Roman" w:hAnsi="Times New Roman" w:cs="Times New Roman"/>
          <w:sz w:val="24"/>
          <w:szCs w:val="24"/>
        </w:rPr>
        <w:t xml:space="preserve">pipeline </w:t>
      </w:r>
      <w:r w:rsidR="005F5915">
        <w:rPr>
          <w:rFonts w:ascii="Times New Roman" w:hAnsi="Times New Roman" w:cs="Times New Roman"/>
          <w:sz w:val="24"/>
          <w:szCs w:val="24"/>
        </w:rPr>
        <w:t xml:space="preserve">that would be </w:t>
      </w:r>
      <w:r w:rsidR="006260F0" w:rsidRPr="005431CD">
        <w:rPr>
          <w:rFonts w:ascii="Times New Roman" w:hAnsi="Times New Roman" w:cs="Times New Roman"/>
          <w:sz w:val="24"/>
          <w:szCs w:val="24"/>
        </w:rPr>
        <w:t xml:space="preserve">addressed by the new surcharge.  </w:t>
      </w:r>
      <w:r w:rsidR="00100B5F" w:rsidRPr="005431CD">
        <w:rPr>
          <w:rFonts w:ascii="Times New Roman" w:hAnsi="Times New Roman" w:cs="Times New Roman"/>
          <w:sz w:val="24"/>
          <w:szCs w:val="24"/>
        </w:rPr>
        <w:t>According to PSE, a</w:t>
      </w:r>
      <w:r w:rsidR="006260F0" w:rsidRPr="005431CD">
        <w:rPr>
          <w:rFonts w:ascii="Times New Roman" w:hAnsi="Times New Roman" w:cs="Times New Roman"/>
          <w:sz w:val="24"/>
          <w:szCs w:val="24"/>
        </w:rPr>
        <w:t xml:space="preserve"> majority of the remaining wrapped steel services fall withi</w:t>
      </w:r>
      <w:r w:rsidR="0068524B" w:rsidRPr="005431CD">
        <w:rPr>
          <w:rFonts w:ascii="Times New Roman" w:hAnsi="Times New Roman" w:cs="Times New Roman"/>
          <w:sz w:val="24"/>
          <w:szCs w:val="24"/>
        </w:rPr>
        <w:t>n the lower risk category and are</w:t>
      </w:r>
      <w:r w:rsidR="006260F0" w:rsidRPr="005431CD">
        <w:rPr>
          <w:rFonts w:ascii="Times New Roman" w:hAnsi="Times New Roman" w:cs="Times New Roman"/>
          <w:sz w:val="24"/>
          <w:szCs w:val="24"/>
        </w:rPr>
        <w:t xml:space="preserve"> </w:t>
      </w:r>
      <w:r w:rsidR="006260F0" w:rsidRPr="005431CD">
        <w:rPr>
          <w:rFonts w:ascii="Times New Roman" w:hAnsi="Times New Roman" w:cs="Times New Roman"/>
          <w:sz w:val="24"/>
          <w:szCs w:val="24"/>
        </w:rPr>
        <w:lastRenderedPageBreak/>
        <w:t>“in good condition and will continue to reliably and safely provide natural gas service for many years.”</w:t>
      </w:r>
      <w:r w:rsidR="006260F0">
        <w:rPr>
          <w:rStyle w:val="FootnoteReference"/>
          <w:rFonts w:ascii="Times New Roman" w:hAnsi="Times New Roman" w:cs="Times New Roman"/>
          <w:sz w:val="24"/>
          <w:szCs w:val="24"/>
        </w:rPr>
        <w:footnoteReference w:id="42"/>
      </w:r>
      <w:r w:rsidR="00326433" w:rsidRPr="005431CD">
        <w:rPr>
          <w:rFonts w:ascii="Times New Roman" w:hAnsi="Times New Roman" w:cs="Times New Roman"/>
          <w:sz w:val="24"/>
          <w:szCs w:val="24"/>
        </w:rPr>
        <w:t xml:space="preserve">  Of the 91 </w:t>
      </w:r>
      <w:r w:rsidR="00920484" w:rsidRPr="005431CD">
        <w:rPr>
          <w:rFonts w:ascii="Times New Roman" w:hAnsi="Times New Roman" w:cs="Times New Roman"/>
          <w:sz w:val="24"/>
          <w:szCs w:val="24"/>
        </w:rPr>
        <w:t xml:space="preserve">and 303 </w:t>
      </w:r>
      <w:r w:rsidR="00326433" w:rsidRPr="005431CD">
        <w:rPr>
          <w:rFonts w:ascii="Times New Roman" w:hAnsi="Times New Roman" w:cs="Times New Roman"/>
          <w:sz w:val="24"/>
          <w:szCs w:val="24"/>
        </w:rPr>
        <w:t>wrapped steel services</w:t>
      </w:r>
      <w:r w:rsidR="00081B0A">
        <w:rPr>
          <w:rFonts w:ascii="Times New Roman" w:hAnsi="Times New Roman" w:cs="Times New Roman"/>
          <w:sz w:val="24"/>
          <w:szCs w:val="24"/>
        </w:rPr>
        <w:t xml:space="preserve"> designated for the highest </w:t>
      </w:r>
      <w:r w:rsidR="00920484" w:rsidRPr="005431CD">
        <w:rPr>
          <w:rFonts w:ascii="Times New Roman" w:hAnsi="Times New Roman" w:cs="Times New Roman"/>
          <w:sz w:val="24"/>
          <w:szCs w:val="24"/>
        </w:rPr>
        <w:t>“Priority Replacement” and “Scheduled Repl</w:t>
      </w:r>
      <w:r w:rsidR="0068524B" w:rsidRPr="005431CD">
        <w:rPr>
          <w:rFonts w:ascii="Times New Roman" w:hAnsi="Times New Roman" w:cs="Times New Roman"/>
          <w:sz w:val="24"/>
          <w:szCs w:val="24"/>
        </w:rPr>
        <w:t>acement</w:t>
      </w:r>
      <w:r w:rsidR="00081B0A">
        <w:rPr>
          <w:rFonts w:ascii="Times New Roman" w:hAnsi="Times New Roman" w:cs="Times New Roman"/>
          <w:sz w:val="24"/>
          <w:szCs w:val="24"/>
        </w:rPr>
        <w:t>”</w:t>
      </w:r>
      <w:r w:rsidR="0068524B" w:rsidRPr="005431CD">
        <w:rPr>
          <w:rFonts w:ascii="Times New Roman" w:hAnsi="Times New Roman" w:cs="Times New Roman"/>
          <w:sz w:val="24"/>
          <w:szCs w:val="24"/>
        </w:rPr>
        <w:t>, respectively, all but two</w:t>
      </w:r>
      <w:r w:rsidR="00920484" w:rsidRPr="005431CD">
        <w:rPr>
          <w:rFonts w:ascii="Times New Roman" w:hAnsi="Times New Roman" w:cs="Times New Roman"/>
          <w:sz w:val="24"/>
          <w:szCs w:val="24"/>
        </w:rPr>
        <w:t xml:space="preserve"> have already been replaced.</w:t>
      </w:r>
      <w:r w:rsidR="00920484">
        <w:rPr>
          <w:rStyle w:val="FootnoteReference"/>
          <w:rFonts w:ascii="Times New Roman" w:hAnsi="Times New Roman" w:cs="Times New Roman"/>
          <w:sz w:val="24"/>
          <w:szCs w:val="24"/>
        </w:rPr>
        <w:footnoteReference w:id="43"/>
      </w:r>
      <w:r w:rsidR="00920484" w:rsidRPr="005431CD">
        <w:rPr>
          <w:rFonts w:ascii="Times New Roman" w:hAnsi="Times New Roman" w:cs="Times New Roman"/>
          <w:sz w:val="24"/>
          <w:szCs w:val="24"/>
        </w:rPr>
        <w:t xml:space="preserve">  Likewise, </w:t>
      </w:r>
      <w:r w:rsidR="00EA03EF" w:rsidRPr="005431CD">
        <w:rPr>
          <w:rFonts w:ascii="Times New Roman" w:hAnsi="Times New Roman" w:cs="Times New Roman"/>
          <w:sz w:val="24"/>
          <w:szCs w:val="24"/>
        </w:rPr>
        <w:t>according to the Company</w:t>
      </w:r>
      <w:r w:rsidR="00100B5F" w:rsidRPr="005431CD">
        <w:rPr>
          <w:rFonts w:ascii="Times New Roman" w:hAnsi="Times New Roman" w:cs="Times New Roman"/>
          <w:sz w:val="24"/>
          <w:szCs w:val="24"/>
        </w:rPr>
        <w:t xml:space="preserve">, </w:t>
      </w:r>
      <w:r w:rsidR="00694E1C" w:rsidRPr="005431CD">
        <w:rPr>
          <w:rFonts w:ascii="Times New Roman" w:hAnsi="Times New Roman" w:cs="Times New Roman"/>
          <w:sz w:val="24"/>
          <w:szCs w:val="24"/>
        </w:rPr>
        <w:t>“</w:t>
      </w:r>
      <w:r w:rsidR="00920484" w:rsidRPr="005431CD">
        <w:rPr>
          <w:rFonts w:ascii="Times New Roman" w:hAnsi="Times New Roman" w:cs="Times New Roman"/>
          <w:sz w:val="24"/>
          <w:szCs w:val="24"/>
        </w:rPr>
        <w:t xml:space="preserve">a majority of wrapped steel mains are performing very well and we expect they will continue to </w:t>
      </w:r>
      <w:r w:rsidR="00694E1C" w:rsidRPr="005431CD">
        <w:rPr>
          <w:rFonts w:ascii="Times New Roman" w:hAnsi="Times New Roman" w:cs="Times New Roman"/>
          <w:sz w:val="24"/>
          <w:szCs w:val="24"/>
        </w:rPr>
        <w:t>reliably provide gas services</w:t>
      </w:r>
      <w:r w:rsidR="00920484" w:rsidRPr="005431CD">
        <w:rPr>
          <w:rFonts w:ascii="Times New Roman" w:hAnsi="Times New Roman" w:cs="Times New Roman"/>
          <w:sz w:val="24"/>
          <w:szCs w:val="24"/>
        </w:rPr>
        <w:t xml:space="preserve"> for years to come.</w:t>
      </w:r>
      <w:r w:rsidR="00694E1C" w:rsidRPr="005431CD">
        <w:rPr>
          <w:rFonts w:ascii="Times New Roman" w:hAnsi="Times New Roman" w:cs="Times New Roman"/>
          <w:sz w:val="24"/>
          <w:szCs w:val="24"/>
        </w:rPr>
        <w:t>”</w:t>
      </w:r>
      <w:r w:rsidR="00694E1C">
        <w:rPr>
          <w:rStyle w:val="FootnoteReference"/>
          <w:rFonts w:ascii="Times New Roman" w:hAnsi="Times New Roman" w:cs="Times New Roman"/>
          <w:sz w:val="24"/>
          <w:szCs w:val="24"/>
        </w:rPr>
        <w:footnoteReference w:id="44"/>
      </w:r>
      <w:r w:rsidR="00100B5F" w:rsidRPr="005431CD">
        <w:rPr>
          <w:rFonts w:ascii="Times New Roman" w:hAnsi="Times New Roman" w:cs="Times New Roman"/>
          <w:sz w:val="24"/>
          <w:szCs w:val="24"/>
        </w:rPr>
        <w:t xml:space="preserve"> </w:t>
      </w:r>
    </w:p>
    <w:p w:rsidR="004D3DB4"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A51A9" w:rsidRPr="005431CD">
        <w:rPr>
          <w:rFonts w:ascii="Times New Roman" w:hAnsi="Times New Roman" w:cs="Times New Roman"/>
          <w:sz w:val="24"/>
          <w:szCs w:val="24"/>
        </w:rPr>
        <w:t xml:space="preserve">Staff acknowledges heightened concern with </w:t>
      </w:r>
      <w:r w:rsidR="006F05B8" w:rsidRPr="005431CD">
        <w:rPr>
          <w:rFonts w:ascii="Times New Roman" w:hAnsi="Times New Roman" w:cs="Times New Roman"/>
          <w:sz w:val="24"/>
          <w:szCs w:val="24"/>
        </w:rPr>
        <w:t>Older PE that may be</w:t>
      </w:r>
      <w:r w:rsidR="00100B5F" w:rsidRPr="005431CD">
        <w:rPr>
          <w:rFonts w:ascii="Times New Roman" w:hAnsi="Times New Roman" w:cs="Times New Roman"/>
          <w:sz w:val="24"/>
          <w:szCs w:val="24"/>
        </w:rPr>
        <w:t xml:space="preserve"> more prone to failure</w:t>
      </w:r>
      <w:r w:rsidR="006F05B8" w:rsidRPr="005431CD">
        <w:rPr>
          <w:rFonts w:ascii="Times New Roman" w:hAnsi="Times New Roman" w:cs="Times New Roman"/>
          <w:sz w:val="24"/>
          <w:szCs w:val="24"/>
        </w:rPr>
        <w:t xml:space="preserve"> and has a higher chance for leaks to be hazardous than other categories of pipe</w:t>
      </w:r>
      <w:r w:rsidR="00100B5F" w:rsidRPr="005431CD">
        <w:rPr>
          <w:rFonts w:ascii="Times New Roman" w:hAnsi="Times New Roman" w:cs="Times New Roman"/>
          <w:sz w:val="24"/>
          <w:szCs w:val="24"/>
        </w:rPr>
        <w:t>.</w:t>
      </w:r>
      <w:r w:rsidR="00100B5F">
        <w:rPr>
          <w:rStyle w:val="FootnoteReference"/>
          <w:rFonts w:ascii="Times New Roman" w:hAnsi="Times New Roman" w:cs="Times New Roman"/>
          <w:sz w:val="24"/>
          <w:szCs w:val="24"/>
        </w:rPr>
        <w:footnoteReference w:id="45"/>
      </w:r>
      <w:r w:rsidR="00100B5F" w:rsidRPr="005431CD">
        <w:rPr>
          <w:rFonts w:ascii="Times New Roman" w:hAnsi="Times New Roman" w:cs="Times New Roman"/>
          <w:sz w:val="24"/>
          <w:szCs w:val="24"/>
        </w:rPr>
        <w:t xml:space="preserve">  However, </w:t>
      </w:r>
      <w:r w:rsidR="00C90DF7">
        <w:rPr>
          <w:rFonts w:ascii="Times New Roman" w:hAnsi="Times New Roman" w:cs="Times New Roman"/>
          <w:sz w:val="24"/>
          <w:szCs w:val="24"/>
        </w:rPr>
        <w:t xml:space="preserve">according to PSE, </w:t>
      </w:r>
      <w:r w:rsidR="00100B5F" w:rsidRPr="005431CD">
        <w:rPr>
          <w:rFonts w:ascii="Times New Roman" w:hAnsi="Times New Roman" w:cs="Times New Roman"/>
          <w:sz w:val="24"/>
          <w:szCs w:val="24"/>
        </w:rPr>
        <w:t xml:space="preserve">higher risk </w:t>
      </w:r>
      <w:r w:rsidR="00EA03EF" w:rsidRPr="005431CD">
        <w:rPr>
          <w:rFonts w:ascii="Times New Roman" w:hAnsi="Times New Roman" w:cs="Times New Roman"/>
          <w:sz w:val="24"/>
          <w:szCs w:val="24"/>
        </w:rPr>
        <w:t>“</w:t>
      </w:r>
      <w:r w:rsidR="00100B5F" w:rsidRPr="005431CD">
        <w:rPr>
          <w:rFonts w:ascii="Times New Roman" w:hAnsi="Times New Roman" w:cs="Times New Roman"/>
          <w:sz w:val="24"/>
          <w:szCs w:val="24"/>
        </w:rPr>
        <w:t>Dupont</w:t>
      </w:r>
      <w:r w:rsidR="00EA03EF" w:rsidRPr="005431CD">
        <w:rPr>
          <w:rFonts w:ascii="Times New Roman" w:hAnsi="Times New Roman" w:cs="Times New Roman"/>
          <w:sz w:val="24"/>
          <w:szCs w:val="24"/>
        </w:rPr>
        <w:t>”</w:t>
      </w:r>
      <w:r w:rsidR="00100B5F" w:rsidRPr="005431CD">
        <w:rPr>
          <w:rFonts w:ascii="Times New Roman" w:hAnsi="Times New Roman" w:cs="Times New Roman"/>
          <w:sz w:val="24"/>
          <w:szCs w:val="24"/>
        </w:rPr>
        <w:t xml:space="preserve"> pipe is a relatively small portion </w:t>
      </w:r>
      <w:r w:rsidR="00C90DF7">
        <w:rPr>
          <w:rFonts w:ascii="Times New Roman" w:hAnsi="Times New Roman" w:cs="Times New Roman"/>
          <w:sz w:val="24"/>
          <w:szCs w:val="24"/>
        </w:rPr>
        <w:t xml:space="preserve">(one-eighth) </w:t>
      </w:r>
      <w:r w:rsidR="00100B5F" w:rsidRPr="005431CD">
        <w:rPr>
          <w:rFonts w:ascii="Times New Roman" w:hAnsi="Times New Roman" w:cs="Times New Roman"/>
          <w:sz w:val="24"/>
          <w:szCs w:val="24"/>
        </w:rPr>
        <w:t xml:space="preserve">of </w:t>
      </w:r>
      <w:r w:rsidR="00FA51A9" w:rsidRPr="005431CD">
        <w:rPr>
          <w:rFonts w:ascii="Times New Roman" w:hAnsi="Times New Roman" w:cs="Times New Roman"/>
          <w:sz w:val="24"/>
          <w:szCs w:val="24"/>
        </w:rPr>
        <w:t>the Company’</w:t>
      </w:r>
      <w:r w:rsidR="00100B5F" w:rsidRPr="005431CD">
        <w:rPr>
          <w:rFonts w:ascii="Times New Roman" w:hAnsi="Times New Roman" w:cs="Times New Roman"/>
          <w:sz w:val="24"/>
          <w:szCs w:val="24"/>
        </w:rPr>
        <w:t>s plastic pipe system.</w:t>
      </w:r>
      <w:r w:rsidR="00100B5F">
        <w:rPr>
          <w:rStyle w:val="FootnoteReference"/>
          <w:rFonts w:ascii="Times New Roman" w:hAnsi="Times New Roman" w:cs="Times New Roman"/>
          <w:sz w:val="24"/>
          <w:szCs w:val="24"/>
        </w:rPr>
        <w:footnoteReference w:id="46"/>
      </w:r>
      <w:r w:rsidR="00100B5F" w:rsidRPr="005431CD">
        <w:rPr>
          <w:rFonts w:ascii="Times New Roman" w:hAnsi="Times New Roman" w:cs="Times New Roman"/>
          <w:sz w:val="24"/>
          <w:szCs w:val="24"/>
        </w:rPr>
        <w:t xml:space="preserve">  The remaining Older PE uses other high quality materials which have performed as designed.</w:t>
      </w:r>
      <w:r w:rsidR="00100B5F">
        <w:rPr>
          <w:rStyle w:val="FootnoteReference"/>
          <w:rFonts w:ascii="Times New Roman" w:hAnsi="Times New Roman" w:cs="Times New Roman"/>
          <w:sz w:val="24"/>
          <w:szCs w:val="24"/>
        </w:rPr>
        <w:footnoteReference w:id="47"/>
      </w:r>
      <w:r w:rsidR="00100B5F" w:rsidRPr="005431CD">
        <w:rPr>
          <w:rFonts w:ascii="Times New Roman" w:hAnsi="Times New Roman" w:cs="Times New Roman"/>
          <w:sz w:val="24"/>
          <w:szCs w:val="24"/>
        </w:rPr>
        <w:t xml:space="preserve">  Even the Dupont plastic pipe that does exist has operated without a high leak rate or number of incidents.</w:t>
      </w:r>
      <w:r w:rsidR="00100B5F">
        <w:rPr>
          <w:rStyle w:val="FootnoteReference"/>
          <w:rFonts w:ascii="Times New Roman" w:hAnsi="Times New Roman" w:cs="Times New Roman"/>
          <w:sz w:val="24"/>
          <w:szCs w:val="24"/>
        </w:rPr>
        <w:footnoteReference w:id="48"/>
      </w:r>
      <w:r w:rsidR="00100B5F" w:rsidRPr="005431CD">
        <w:rPr>
          <w:rFonts w:ascii="Times New Roman" w:hAnsi="Times New Roman" w:cs="Times New Roman"/>
          <w:sz w:val="24"/>
          <w:szCs w:val="24"/>
        </w:rPr>
        <w:t xml:space="preserve">  It has performed well and is expected to continue doing so.</w:t>
      </w:r>
      <w:r w:rsidR="00100B5F">
        <w:rPr>
          <w:rStyle w:val="FootnoteReference"/>
          <w:rFonts w:ascii="Times New Roman" w:hAnsi="Times New Roman" w:cs="Times New Roman"/>
          <w:sz w:val="24"/>
          <w:szCs w:val="24"/>
        </w:rPr>
        <w:footnoteReference w:id="49"/>
      </w:r>
      <w:r w:rsidR="00100B5F" w:rsidRPr="005431CD">
        <w:rPr>
          <w:rFonts w:ascii="Times New Roman" w:hAnsi="Times New Roman" w:cs="Times New Roman"/>
          <w:sz w:val="24"/>
          <w:szCs w:val="24"/>
        </w:rPr>
        <w:t xml:space="preserve"> </w:t>
      </w:r>
    </w:p>
    <w:p w:rsidR="001E15CB"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14160" w:rsidRPr="005431CD">
        <w:rPr>
          <w:rFonts w:ascii="Times New Roman" w:hAnsi="Times New Roman" w:cs="Times New Roman"/>
          <w:sz w:val="24"/>
          <w:szCs w:val="24"/>
        </w:rPr>
        <w:t xml:space="preserve">In fact, </w:t>
      </w:r>
      <w:r w:rsidR="00F83D5D" w:rsidRPr="005431CD">
        <w:rPr>
          <w:rFonts w:ascii="Times New Roman" w:hAnsi="Times New Roman" w:cs="Times New Roman"/>
          <w:sz w:val="24"/>
          <w:szCs w:val="24"/>
        </w:rPr>
        <w:t xml:space="preserve">the </w:t>
      </w:r>
      <w:r w:rsidR="00FA51A9" w:rsidRPr="005431CD">
        <w:rPr>
          <w:rFonts w:ascii="Times New Roman" w:hAnsi="Times New Roman" w:cs="Times New Roman"/>
          <w:sz w:val="24"/>
          <w:szCs w:val="24"/>
        </w:rPr>
        <w:t xml:space="preserve">new surcharge would </w:t>
      </w:r>
      <w:r w:rsidR="00F83D5D" w:rsidRPr="005431CD">
        <w:rPr>
          <w:rFonts w:ascii="Times New Roman" w:hAnsi="Times New Roman" w:cs="Times New Roman"/>
          <w:sz w:val="24"/>
          <w:szCs w:val="24"/>
        </w:rPr>
        <w:t xml:space="preserve">have no impact on the leading threat to the safety of the Company’s pipeline system, namely, damage from third party excavation which </w:t>
      </w:r>
      <w:r w:rsidR="00466422" w:rsidRPr="005431CD">
        <w:rPr>
          <w:rFonts w:ascii="Times New Roman" w:hAnsi="Times New Roman" w:cs="Times New Roman"/>
          <w:sz w:val="24"/>
          <w:szCs w:val="24"/>
        </w:rPr>
        <w:t xml:space="preserve">is the leading cause </w:t>
      </w:r>
      <w:r w:rsidR="00F83D5D" w:rsidRPr="005431CD">
        <w:rPr>
          <w:rFonts w:ascii="Times New Roman" w:hAnsi="Times New Roman" w:cs="Times New Roman"/>
          <w:sz w:val="24"/>
          <w:szCs w:val="24"/>
        </w:rPr>
        <w:t xml:space="preserve">of </w:t>
      </w:r>
      <w:r w:rsidR="00466422" w:rsidRPr="005431CD">
        <w:rPr>
          <w:rFonts w:ascii="Times New Roman" w:hAnsi="Times New Roman" w:cs="Times New Roman"/>
          <w:sz w:val="24"/>
          <w:szCs w:val="24"/>
        </w:rPr>
        <w:t xml:space="preserve">both </w:t>
      </w:r>
      <w:r w:rsidR="00F83D5D" w:rsidRPr="005431CD">
        <w:rPr>
          <w:rFonts w:ascii="Times New Roman" w:hAnsi="Times New Roman" w:cs="Times New Roman"/>
          <w:sz w:val="24"/>
          <w:szCs w:val="24"/>
        </w:rPr>
        <w:t>pipeline leaks (54 percent)</w:t>
      </w:r>
      <w:r w:rsidR="00466422" w:rsidRPr="005431CD">
        <w:rPr>
          <w:rFonts w:ascii="Times New Roman" w:hAnsi="Times New Roman" w:cs="Times New Roman"/>
          <w:sz w:val="24"/>
          <w:szCs w:val="24"/>
        </w:rPr>
        <w:t xml:space="preserve"> and reportable incidents on the Company’s system</w:t>
      </w:r>
      <w:r w:rsidR="00F83D5D" w:rsidRPr="005431CD">
        <w:rPr>
          <w:rFonts w:ascii="Times New Roman" w:hAnsi="Times New Roman" w:cs="Times New Roman"/>
          <w:sz w:val="24"/>
          <w:szCs w:val="24"/>
        </w:rPr>
        <w:t>.</w:t>
      </w:r>
      <w:r w:rsidR="00F83D5D">
        <w:rPr>
          <w:rStyle w:val="FootnoteReference"/>
          <w:rFonts w:ascii="Times New Roman" w:hAnsi="Times New Roman" w:cs="Times New Roman"/>
          <w:sz w:val="24"/>
          <w:szCs w:val="24"/>
        </w:rPr>
        <w:footnoteReference w:id="50"/>
      </w:r>
      <w:r w:rsidR="00F83D5D" w:rsidRPr="005431CD">
        <w:rPr>
          <w:rFonts w:ascii="Times New Roman" w:hAnsi="Times New Roman" w:cs="Times New Roman"/>
          <w:sz w:val="24"/>
          <w:szCs w:val="24"/>
        </w:rPr>
        <w:t xml:space="preserve">  </w:t>
      </w:r>
      <w:r w:rsidR="00223174" w:rsidRPr="005431CD">
        <w:rPr>
          <w:rFonts w:ascii="Times New Roman" w:hAnsi="Times New Roman" w:cs="Times New Roman"/>
          <w:sz w:val="24"/>
          <w:szCs w:val="24"/>
        </w:rPr>
        <w:t xml:space="preserve">Moreover, </w:t>
      </w:r>
      <w:r w:rsidR="00FA51A9" w:rsidRPr="005431CD">
        <w:rPr>
          <w:rFonts w:ascii="Times New Roman" w:hAnsi="Times New Roman" w:cs="Times New Roman"/>
          <w:sz w:val="24"/>
          <w:szCs w:val="24"/>
        </w:rPr>
        <w:t xml:space="preserve">PSE’s </w:t>
      </w:r>
      <w:r w:rsidR="00223174" w:rsidRPr="005431CD">
        <w:rPr>
          <w:rFonts w:ascii="Times New Roman" w:hAnsi="Times New Roman" w:cs="Times New Roman"/>
          <w:sz w:val="24"/>
          <w:szCs w:val="24"/>
        </w:rPr>
        <w:t xml:space="preserve">bare steel pipeline system </w:t>
      </w:r>
      <w:r w:rsidR="00A616ED" w:rsidRPr="005431CD">
        <w:rPr>
          <w:rFonts w:ascii="Times New Roman" w:hAnsi="Times New Roman" w:cs="Times New Roman"/>
          <w:sz w:val="24"/>
          <w:szCs w:val="24"/>
        </w:rPr>
        <w:t>has the highest</w:t>
      </w:r>
      <w:r w:rsidR="00495A06" w:rsidRPr="005431CD">
        <w:rPr>
          <w:rFonts w:ascii="Times New Roman" w:hAnsi="Times New Roman" w:cs="Times New Roman"/>
          <w:sz w:val="24"/>
          <w:szCs w:val="24"/>
        </w:rPr>
        <w:t xml:space="preserve"> number of active leaks </w:t>
      </w:r>
      <w:r w:rsidR="00495A06" w:rsidRPr="005431CD">
        <w:rPr>
          <w:rFonts w:ascii="Times New Roman" w:hAnsi="Times New Roman" w:cs="Times New Roman"/>
          <w:sz w:val="24"/>
          <w:szCs w:val="24"/>
        </w:rPr>
        <w:lastRenderedPageBreak/>
        <w:t>per mile, the highest number of repaired leaks per mile, and the highest number of leaks scheduled for repair per mile.</w:t>
      </w:r>
      <w:r w:rsidR="00495A06">
        <w:rPr>
          <w:rStyle w:val="FootnoteReference"/>
          <w:rFonts w:ascii="Times New Roman" w:hAnsi="Times New Roman" w:cs="Times New Roman"/>
          <w:sz w:val="24"/>
          <w:szCs w:val="24"/>
        </w:rPr>
        <w:footnoteReference w:id="51"/>
      </w:r>
      <w:r w:rsidR="00495A06" w:rsidRPr="005431CD">
        <w:rPr>
          <w:rFonts w:ascii="Times New Roman" w:hAnsi="Times New Roman" w:cs="Times New Roman"/>
          <w:sz w:val="24"/>
          <w:szCs w:val="24"/>
        </w:rPr>
        <w:t xml:space="preserve">  </w:t>
      </w:r>
      <w:r w:rsidR="00D03216" w:rsidRPr="005431CD">
        <w:rPr>
          <w:rFonts w:ascii="Times New Roman" w:hAnsi="Times New Roman" w:cs="Times New Roman"/>
          <w:sz w:val="24"/>
          <w:szCs w:val="24"/>
        </w:rPr>
        <w:t xml:space="preserve">Thus, the Company’s </w:t>
      </w:r>
      <w:r w:rsidR="00223174" w:rsidRPr="005431CD">
        <w:rPr>
          <w:rFonts w:ascii="Times New Roman" w:hAnsi="Times New Roman" w:cs="Times New Roman"/>
          <w:sz w:val="24"/>
          <w:szCs w:val="24"/>
        </w:rPr>
        <w:t xml:space="preserve">main focus of attention </w:t>
      </w:r>
      <w:r w:rsidR="00FA51A9" w:rsidRPr="005431CD">
        <w:rPr>
          <w:rFonts w:ascii="Times New Roman" w:hAnsi="Times New Roman" w:cs="Times New Roman"/>
          <w:sz w:val="24"/>
          <w:szCs w:val="24"/>
        </w:rPr>
        <w:t xml:space="preserve">is </w:t>
      </w:r>
      <w:r w:rsidR="00D03216" w:rsidRPr="005431CD">
        <w:rPr>
          <w:rFonts w:ascii="Times New Roman" w:hAnsi="Times New Roman" w:cs="Times New Roman"/>
          <w:sz w:val="24"/>
          <w:szCs w:val="24"/>
        </w:rPr>
        <w:t>already</w:t>
      </w:r>
      <w:r w:rsidR="00495A06" w:rsidRPr="005431CD">
        <w:rPr>
          <w:rFonts w:ascii="Times New Roman" w:hAnsi="Times New Roman" w:cs="Times New Roman"/>
          <w:sz w:val="24"/>
          <w:szCs w:val="24"/>
        </w:rPr>
        <w:t xml:space="preserve"> being addressed without the surcharge through </w:t>
      </w:r>
      <w:r w:rsidR="00FA51A9" w:rsidRPr="005431CD">
        <w:rPr>
          <w:rFonts w:ascii="Times New Roman" w:hAnsi="Times New Roman" w:cs="Times New Roman"/>
          <w:sz w:val="24"/>
          <w:szCs w:val="24"/>
        </w:rPr>
        <w:t>PSE</w:t>
      </w:r>
      <w:r w:rsidR="00495A06" w:rsidRPr="005431CD">
        <w:rPr>
          <w:rFonts w:ascii="Times New Roman" w:hAnsi="Times New Roman" w:cs="Times New Roman"/>
          <w:sz w:val="24"/>
          <w:szCs w:val="24"/>
        </w:rPr>
        <w:t>’s existing bare steel replacement</w:t>
      </w:r>
      <w:r w:rsidR="00C90DF7">
        <w:rPr>
          <w:rFonts w:ascii="Times New Roman" w:hAnsi="Times New Roman" w:cs="Times New Roman"/>
          <w:sz w:val="24"/>
          <w:szCs w:val="24"/>
        </w:rPr>
        <w:t xml:space="preserve"> program, which will </w:t>
      </w:r>
      <w:r w:rsidR="00495A06" w:rsidRPr="005431CD">
        <w:rPr>
          <w:rFonts w:ascii="Times New Roman" w:hAnsi="Times New Roman" w:cs="Times New Roman"/>
          <w:sz w:val="24"/>
          <w:szCs w:val="24"/>
        </w:rPr>
        <w:t>conclude at the end of 2014.</w:t>
      </w:r>
      <w:r w:rsidR="00495A06">
        <w:rPr>
          <w:rStyle w:val="FootnoteReference"/>
          <w:rFonts w:ascii="Times New Roman" w:hAnsi="Times New Roman" w:cs="Times New Roman"/>
          <w:sz w:val="24"/>
          <w:szCs w:val="24"/>
        </w:rPr>
        <w:footnoteReference w:id="52"/>
      </w:r>
      <w:r w:rsidR="00D03216" w:rsidRPr="005431CD">
        <w:rPr>
          <w:rFonts w:ascii="Times New Roman" w:hAnsi="Times New Roman" w:cs="Times New Roman"/>
          <w:sz w:val="24"/>
          <w:szCs w:val="24"/>
        </w:rPr>
        <w:t xml:space="preserve">  </w:t>
      </w:r>
    </w:p>
    <w:p w:rsidR="00DB665F"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03216" w:rsidRPr="005431CD">
        <w:rPr>
          <w:rFonts w:ascii="Times New Roman" w:hAnsi="Times New Roman" w:cs="Times New Roman"/>
          <w:sz w:val="24"/>
          <w:szCs w:val="24"/>
        </w:rPr>
        <w:t>For other types of pipeline, a majority of leaks are designated Class C, meaning they are non-hazardous and are expected to remain non-hazardous.</w:t>
      </w:r>
      <w:r w:rsidR="00D03216">
        <w:rPr>
          <w:rStyle w:val="FootnoteReference"/>
          <w:rFonts w:ascii="Times New Roman" w:hAnsi="Times New Roman" w:cs="Times New Roman"/>
          <w:sz w:val="24"/>
          <w:szCs w:val="24"/>
        </w:rPr>
        <w:footnoteReference w:id="53"/>
      </w:r>
      <w:r w:rsidR="00D03216" w:rsidRPr="005431CD">
        <w:rPr>
          <w:rFonts w:ascii="Times New Roman" w:hAnsi="Times New Roman" w:cs="Times New Roman"/>
          <w:sz w:val="24"/>
          <w:szCs w:val="24"/>
        </w:rPr>
        <w:t xml:space="preserve">  </w:t>
      </w:r>
      <w:r w:rsidR="00223174" w:rsidRPr="005431CD">
        <w:rPr>
          <w:rFonts w:ascii="Times New Roman" w:hAnsi="Times New Roman" w:cs="Times New Roman"/>
          <w:sz w:val="24"/>
          <w:szCs w:val="24"/>
        </w:rPr>
        <w:t>H</w:t>
      </w:r>
      <w:r w:rsidR="00D03216" w:rsidRPr="005431CD">
        <w:rPr>
          <w:rFonts w:ascii="Times New Roman" w:hAnsi="Times New Roman" w:cs="Times New Roman"/>
          <w:sz w:val="24"/>
          <w:szCs w:val="24"/>
        </w:rPr>
        <w:t>igh</w:t>
      </w:r>
      <w:r w:rsidR="00223174" w:rsidRPr="005431CD">
        <w:rPr>
          <w:rFonts w:ascii="Times New Roman" w:hAnsi="Times New Roman" w:cs="Times New Roman"/>
          <w:sz w:val="24"/>
          <w:szCs w:val="24"/>
        </w:rPr>
        <w:t>er risk Class A and B leaks have declined 50 percent and 65 percent, respectively, because of the replacement of cast iron, bare steel and Older PE.</w:t>
      </w:r>
      <w:r w:rsidR="00D03216">
        <w:rPr>
          <w:rStyle w:val="FootnoteReference"/>
          <w:rFonts w:ascii="Times New Roman" w:hAnsi="Times New Roman" w:cs="Times New Roman"/>
          <w:sz w:val="24"/>
          <w:szCs w:val="24"/>
        </w:rPr>
        <w:footnoteReference w:id="54"/>
      </w:r>
      <w:r w:rsidR="000B4D8E" w:rsidRPr="005431CD">
        <w:rPr>
          <w:rFonts w:ascii="Times New Roman" w:hAnsi="Times New Roman" w:cs="Times New Roman"/>
          <w:sz w:val="24"/>
          <w:szCs w:val="24"/>
        </w:rPr>
        <w:t xml:space="preserve">  The bottom line from the Company’s own analysis is that </w:t>
      </w:r>
      <w:r w:rsidR="001E15CB" w:rsidRPr="005431CD">
        <w:rPr>
          <w:rFonts w:ascii="Times New Roman" w:hAnsi="Times New Roman" w:cs="Times New Roman"/>
          <w:sz w:val="24"/>
          <w:szCs w:val="24"/>
        </w:rPr>
        <w:t xml:space="preserve">overall </w:t>
      </w:r>
      <w:r w:rsidR="0090523F" w:rsidRPr="005431CD">
        <w:rPr>
          <w:rFonts w:ascii="Times New Roman" w:hAnsi="Times New Roman" w:cs="Times New Roman"/>
          <w:sz w:val="24"/>
          <w:szCs w:val="24"/>
        </w:rPr>
        <w:t>system performance shows significant improvement</w:t>
      </w:r>
      <w:r w:rsidR="001E15CB" w:rsidRPr="005431CD">
        <w:rPr>
          <w:rFonts w:ascii="Times New Roman" w:hAnsi="Times New Roman" w:cs="Times New Roman"/>
          <w:sz w:val="24"/>
          <w:szCs w:val="24"/>
        </w:rPr>
        <w:t xml:space="preserve"> as </w:t>
      </w:r>
      <w:r w:rsidR="000B4D8E" w:rsidRPr="005431CD">
        <w:rPr>
          <w:rFonts w:ascii="Times New Roman" w:hAnsi="Times New Roman" w:cs="Times New Roman"/>
          <w:sz w:val="24"/>
          <w:szCs w:val="24"/>
        </w:rPr>
        <w:t xml:space="preserve">the number of hazardous leaks in each material </w:t>
      </w:r>
      <w:r w:rsidR="001E15CB" w:rsidRPr="005431CD">
        <w:rPr>
          <w:rFonts w:ascii="Times New Roman" w:hAnsi="Times New Roman" w:cs="Times New Roman"/>
          <w:sz w:val="24"/>
          <w:szCs w:val="24"/>
        </w:rPr>
        <w:t>type has declined.</w:t>
      </w:r>
      <w:r w:rsidR="001E15CB">
        <w:rPr>
          <w:rStyle w:val="FootnoteReference"/>
          <w:rFonts w:ascii="Times New Roman" w:hAnsi="Times New Roman" w:cs="Times New Roman"/>
          <w:sz w:val="24"/>
          <w:szCs w:val="24"/>
        </w:rPr>
        <w:footnoteReference w:id="55"/>
      </w:r>
      <w:r w:rsidR="001E15CB" w:rsidRPr="005431CD">
        <w:rPr>
          <w:rFonts w:ascii="Times New Roman" w:hAnsi="Times New Roman" w:cs="Times New Roman"/>
          <w:sz w:val="24"/>
          <w:szCs w:val="24"/>
        </w:rPr>
        <w:t xml:space="preserve">  </w:t>
      </w:r>
    </w:p>
    <w:p w:rsidR="00DB665F" w:rsidRPr="00750D67" w:rsidRDefault="00750D67" w:rsidP="008F77DE">
      <w:pPr>
        <w:spacing w:after="0" w:line="240" w:lineRule="auto"/>
        <w:ind w:left="2160"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DB665F" w:rsidRPr="00750D67">
        <w:rPr>
          <w:rFonts w:ascii="Times New Roman" w:hAnsi="Times New Roman" w:cs="Times New Roman"/>
          <w:b/>
          <w:sz w:val="24"/>
          <w:szCs w:val="24"/>
        </w:rPr>
        <w:t xml:space="preserve">The Company Has </w:t>
      </w:r>
      <w:r w:rsidR="00C90DF7">
        <w:rPr>
          <w:rFonts w:ascii="Times New Roman" w:hAnsi="Times New Roman" w:cs="Times New Roman"/>
          <w:b/>
          <w:sz w:val="24"/>
          <w:szCs w:val="24"/>
        </w:rPr>
        <w:t>Already Taken Action t</w:t>
      </w:r>
      <w:r w:rsidR="00DB665F" w:rsidRPr="00750D67">
        <w:rPr>
          <w:rFonts w:ascii="Times New Roman" w:hAnsi="Times New Roman" w:cs="Times New Roman"/>
          <w:b/>
          <w:sz w:val="24"/>
          <w:szCs w:val="24"/>
        </w:rPr>
        <w:t xml:space="preserve">o Enhance the Safety and Reliability of Its </w:t>
      </w:r>
      <w:r w:rsidR="00C90DF7">
        <w:rPr>
          <w:rFonts w:ascii="Times New Roman" w:hAnsi="Times New Roman" w:cs="Times New Roman"/>
          <w:b/>
          <w:sz w:val="24"/>
          <w:szCs w:val="24"/>
        </w:rPr>
        <w:t>Pipeline System w</w:t>
      </w:r>
      <w:r w:rsidR="005A67F1" w:rsidRPr="00750D67">
        <w:rPr>
          <w:rFonts w:ascii="Times New Roman" w:hAnsi="Times New Roman" w:cs="Times New Roman"/>
          <w:b/>
          <w:sz w:val="24"/>
          <w:szCs w:val="24"/>
        </w:rPr>
        <w:t>ithout a</w:t>
      </w:r>
      <w:r w:rsidR="00FE2B98" w:rsidRPr="00750D67">
        <w:rPr>
          <w:rFonts w:ascii="Times New Roman" w:hAnsi="Times New Roman" w:cs="Times New Roman"/>
          <w:b/>
          <w:sz w:val="24"/>
          <w:szCs w:val="24"/>
        </w:rPr>
        <w:t xml:space="preserve"> </w:t>
      </w:r>
      <w:r w:rsidR="00DB665F" w:rsidRPr="00750D67">
        <w:rPr>
          <w:rFonts w:ascii="Times New Roman" w:hAnsi="Times New Roman" w:cs="Times New Roman"/>
          <w:b/>
          <w:sz w:val="24"/>
          <w:szCs w:val="24"/>
        </w:rPr>
        <w:t>Surcharge</w:t>
      </w:r>
    </w:p>
    <w:p w:rsidR="00DE5197" w:rsidRPr="005431CD" w:rsidRDefault="00DE5197" w:rsidP="005431CD">
      <w:pPr>
        <w:spacing w:after="0" w:line="240" w:lineRule="auto"/>
        <w:rPr>
          <w:rFonts w:ascii="Times New Roman" w:hAnsi="Times New Roman" w:cs="Times New Roman"/>
          <w:b/>
          <w:sz w:val="24"/>
          <w:szCs w:val="24"/>
        </w:rPr>
      </w:pPr>
    </w:p>
    <w:p w:rsidR="00FA7370"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A7370" w:rsidRPr="005431CD">
        <w:rPr>
          <w:rFonts w:ascii="Times New Roman" w:hAnsi="Times New Roman" w:cs="Times New Roman"/>
          <w:sz w:val="24"/>
          <w:szCs w:val="24"/>
        </w:rPr>
        <w:t xml:space="preserve">As Staff described, the Company has </w:t>
      </w:r>
      <w:r w:rsidR="000B1FC9" w:rsidRPr="005431CD">
        <w:rPr>
          <w:rFonts w:ascii="Times New Roman" w:hAnsi="Times New Roman" w:cs="Times New Roman"/>
          <w:sz w:val="24"/>
          <w:szCs w:val="24"/>
        </w:rPr>
        <w:t xml:space="preserve">already </w:t>
      </w:r>
      <w:r w:rsidR="00FA7370" w:rsidRPr="005431CD">
        <w:rPr>
          <w:rFonts w:ascii="Times New Roman" w:hAnsi="Times New Roman" w:cs="Times New Roman"/>
          <w:sz w:val="24"/>
          <w:szCs w:val="24"/>
        </w:rPr>
        <w:t>taken a proactive approach to pipeline integrity management:</w:t>
      </w:r>
    </w:p>
    <w:p w:rsidR="00FA7370" w:rsidRDefault="00FA7370" w:rsidP="005431CD">
      <w:pPr>
        <w:autoSpaceDE w:val="0"/>
        <w:autoSpaceDN w:val="0"/>
        <w:adjustRightInd w:val="0"/>
        <w:spacing w:line="240" w:lineRule="auto"/>
        <w:ind w:left="720"/>
        <w:rPr>
          <w:rFonts w:ascii="Times New Roman" w:hAnsi="Times New Roman" w:cs="Times New Roman"/>
          <w:sz w:val="24"/>
          <w:szCs w:val="24"/>
        </w:rPr>
      </w:pPr>
      <w:r w:rsidRPr="00FA7370">
        <w:rPr>
          <w:rFonts w:ascii="Times New Roman" w:hAnsi="Times New Roman" w:cs="Times New Roman"/>
          <w:color w:val="000000" w:themeColor="text1"/>
          <w:sz w:val="24"/>
          <w:szCs w:val="24"/>
        </w:rPr>
        <w:t>PSE has taken a number of steps to improve system performance and reduce the public’s exposure to risk.  Most of these safety management programs relate to safety and compliance, training, compliance auditing, and continuing surveillance. In addition, many programs have already been implemented and some completed to address the risk associated with older vintage materials such as cast iron and bare steel pipe.  PSE is also focusing on the highest priority areas including reducing third party damage and replacing and leak surveying pipe where there are integrity concerns.  As a result, the number of hazardous and total leaks repaired has continued to decline.  These decreases indicate that the overall system performance has improved.</w:t>
      </w:r>
      <w:r>
        <w:rPr>
          <w:rStyle w:val="FootnoteReference"/>
          <w:rFonts w:ascii="Times New Roman" w:hAnsi="Times New Roman" w:cs="Times New Roman"/>
          <w:color w:val="000000" w:themeColor="text1"/>
          <w:sz w:val="24"/>
          <w:szCs w:val="24"/>
        </w:rPr>
        <w:footnoteReference w:id="56"/>
      </w:r>
    </w:p>
    <w:p w:rsidR="00D17085" w:rsidRDefault="00D17085" w:rsidP="00D1708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Company could </w:t>
      </w:r>
      <w:r w:rsidR="001951D5">
        <w:rPr>
          <w:rFonts w:ascii="Times New Roman" w:hAnsi="Times New Roman" w:cs="Times New Roman"/>
          <w:sz w:val="24"/>
          <w:szCs w:val="24"/>
        </w:rPr>
        <w:t xml:space="preserve">provide no reason why it could not </w:t>
      </w:r>
      <w:r>
        <w:rPr>
          <w:rFonts w:ascii="Times New Roman" w:hAnsi="Times New Roman" w:cs="Times New Roman"/>
          <w:sz w:val="24"/>
          <w:szCs w:val="24"/>
        </w:rPr>
        <w:t>continue its</w:t>
      </w:r>
      <w:r w:rsidR="001951D5">
        <w:rPr>
          <w:rFonts w:ascii="Times New Roman" w:hAnsi="Times New Roman" w:cs="Times New Roman"/>
          <w:sz w:val="24"/>
          <w:szCs w:val="24"/>
        </w:rPr>
        <w:t xml:space="preserve"> proactive appro</w:t>
      </w:r>
      <w:r>
        <w:rPr>
          <w:rFonts w:ascii="Times New Roman" w:hAnsi="Times New Roman" w:cs="Times New Roman"/>
          <w:sz w:val="24"/>
          <w:szCs w:val="24"/>
        </w:rPr>
        <w:t xml:space="preserve">ach to pipeline integrity management </w:t>
      </w:r>
      <w:r w:rsidR="001951D5">
        <w:rPr>
          <w:rFonts w:ascii="Times New Roman" w:hAnsi="Times New Roman" w:cs="Times New Roman"/>
          <w:sz w:val="24"/>
          <w:szCs w:val="24"/>
        </w:rPr>
        <w:t>without the new surcharge.</w:t>
      </w:r>
      <w:r w:rsidR="001951D5">
        <w:rPr>
          <w:rStyle w:val="FootnoteReference"/>
          <w:rFonts w:ascii="Times New Roman" w:hAnsi="Times New Roman" w:cs="Times New Roman"/>
          <w:sz w:val="24"/>
          <w:szCs w:val="24"/>
        </w:rPr>
        <w:footnoteReference w:id="57"/>
      </w:r>
      <w:r w:rsidR="00161F42">
        <w:rPr>
          <w:rFonts w:ascii="Times New Roman" w:hAnsi="Times New Roman" w:cs="Times New Roman"/>
          <w:sz w:val="24"/>
          <w:szCs w:val="24"/>
        </w:rPr>
        <w:t xml:space="preserve">  </w:t>
      </w:r>
    </w:p>
    <w:p w:rsidR="001951D5" w:rsidRPr="005431CD" w:rsidRDefault="005431CD" w:rsidP="005431CD">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733EE" w:rsidRPr="005431CD">
        <w:rPr>
          <w:rFonts w:ascii="Times New Roman" w:hAnsi="Times New Roman" w:cs="Times New Roman"/>
          <w:sz w:val="24"/>
          <w:szCs w:val="24"/>
        </w:rPr>
        <w:t>In fact, the Company was eager to explain how its gas pipeline integrity programs have expanded over the past decade</w:t>
      </w:r>
      <w:r w:rsidR="00A25029">
        <w:rPr>
          <w:rFonts w:ascii="Times New Roman" w:hAnsi="Times New Roman" w:cs="Times New Roman"/>
          <w:sz w:val="24"/>
          <w:szCs w:val="24"/>
        </w:rPr>
        <w:t>,</w:t>
      </w:r>
      <w:r w:rsidR="006733EE" w:rsidRPr="005431CD">
        <w:rPr>
          <w:rFonts w:ascii="Times New Roman" w:hAnsi="Times New Roman" w:cs="Times New Roman"/>
          <w:sz w:val="24"/>
          <w:szCs w:val="24"/>
        </w:rPr>
        <w:t xml:space="preserve"> </w:t>
      </w:r>
      <w:r w:rsidR="00D17085" w:rsidRPr="005431CD">
        <w:rPr>
          <w:rFonts w:ascii="Times New Roman" w:hAnsi="Times New Roman" w:cs="Times New Roman"/>
          <w:sz w:val="24"/>
          <w:szCs w:val="24"/>
        </w:rPr>
        <w:t xml:space="preserve">when no </w:t>
      </w:r>
      <w:r w:rsidR="006733EE" w:rsidRPr="005431CD">
        <w:rPr>
          <w:rFonts w:ascii="Times New Roman" w:hAnsi="Times New Roman" w:cs="Times New Roman"/>
          <w:sz w:val="24"/>
          <w:szCs w:val="24"/>
        </w:rPr>
        <w:t>special ratemaking treatment</w:t>
      </w:r>
      <w:r w:rsidR="00D17085" w:rsidRPr="005431CD">
        <w:rPr>
          <w:rFonts w:ascii="Times New Roman" w:hAnsi="Times New Roman" w:cs="Times New Roman"/>
          <w:sz w:val="24"/>
          <w:szCs w:val="24"/>
        </w:rPr>
        <w:t xml:space="preserve"> was allowed</w:t>
      </w:r>
      <w:r w:rsidR="006733EE" w:rsidRPr="005431CD">
        <w:rPr>
          <w:rFonts w:ascii="Times New Roman" w:hAnsi="Times New Roman" w:cs="Times New Roman"/>
          <w:sz w:val="24"/>
          <w:szCs w:val="24"/>
        </w:rPr>
        <w:t xml:space="preserve">.  Some specific examples PSE presented </w:t>
      </w:r>
      <w:r w:rsidR="002E473A" w:rsidRPr="005431CD">
        <w:rPr>
          <w:rFonts w:ascii="Times New Roman" w:hAnsi="Times New Roman" w:cs="Times New Roman"/>
          <w:sz w:val="24"/>
          <w:szCs w:val="24"/>
        </w:rPr>
        <w:t>of these new and expanded integrity management initiatives include:</w:t>
      </w:r>
    </w:p>
    <w:p w:rsidR="002E473A" w:rsidRDefault="002E473A" w:rsidP="002E473A">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Complete replacement of all cast iron pipe,</w:t>
      </w:r>
    </w:p>
    <w:p w:rsidR="002E473A" w:rsidRDefault="002E473A" w:rsidP="002E473A">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Expediting the replacement of bare steel pipe,</w:t>
      </w:r>
    </w:p>
    <w:p w:rsidR="002E473A" w:rsidRDefault="002E473A" w:rsidP="002E473A">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Developing and implementing a risk ranking an remediation methodology for wrapped steel mains and services and Older PE,</w:t>
      </w:r>
    </w:p>
    <w:p w:rsidR="002E473A" w:rsidRDefault="002E473A" w:rsidP="002E473A">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Remediating buried meters and risers,</w:t>
      </w:r>
    </w:p>
    <w:p w:rsidR="002E473A" w:rsidRDefault="002E473A" w:rsidP="002E473A">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Conducting increased leak surveys,</w:t>
      </w:r>
    </w:p>
    <w:p w:rsidR="002E473A" w:rsidRDefault="002E473A" w:rsidP="002E473A">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Enhancing the damage prevention program, and</w:t>
      </w:r>
    </w:p>
    <w:p w:rsidR="002E473A" w:rsidRPr="002E473A" w:rsidRDefault="002E473A" w:rsidP="002E473A">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Implementing transmission and distribution integrity management programs.</w:t>
      </w:r>
      <w:r>
        <w:rPr>
          <w:rStyle w:val="FootnoteReference"/>
          <w:rFonts w:ascii="Times New Roman" w:hAnsi="Times New Roman" w:cs="Times New Roman"/>
          <w:sz w:val="24"/>
          <w:szCs w:val="24"/>
        </w:rPr>
        <w:footnoteReference w:id="58"/>
      </w:r>
    </w:p>
    <w:p w:rsidR="006733EE" w:rsidRDefault="00D632F9" w:rsidP="002E473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is the case that </w:t>
      </w:r>
      <w:r w:rsidR="002E473A">
        <w:rPr>
          <w:rFonts w:ascii="Times New Roman" w:hAnsi="Times New Roman" w:cs="Times New Roman"/>
          <w:sz w:val="24"/>
          <w:szCs w:val="24"/>
        </w:rPr>
        <w:t>the cast iron and bare steel replaceme</w:t>
      </w:r>
      <w:r w:rsidR="00D17085">
        <w:rPr>
          <w:rFonts w:ascii="Times New Roman" w:hAnsi="Times New Roman" w:cs="Times New Roman"/>
          <w:sz w:val="24"/>
          <w:szCs w:val="24"/>
        </w:rPr>
        <w:t xml:space="preserve">nt programs </w:t>
      </w:r>
      <w:r w:rsidR="002E473A">
        <w:rPr>
          <w:rFonts w:ascii="Times New Roman" w:hAnsi="Times New Roman" w:cs="Times New Roman"/>
          <w:sz w:val="24"/>
          <w:szCs w:val="24"/>
        </w:rPr>
        <w:t>result</w:t>
      </w:r>
      <w:r w:rsidR="00D17085">
        <w:rPr>
          <w:rFonts w:ascii="Times New Roman" w:hAnsi="Times New Roman" w:cs="Times New Roman"/>
          <w:sz w:val="24"/>
          <w:szCs w:val="24"/>
        </w:rPr>
        <w:t xml:space="preserve">ed from </w:t>
      </w:r>
      <w:r w:rsidR="002E473A">
        <w:rPr>
          <w:rFonts w:ascii="Times New Roman" w:hAnsi="Times New Roman" w:cs="Times New Roman"/>
          <w:sz w:val="24"/>
          <w:szCs w:val="24"/>
        </w:rPr>
        <w:t>Commission complaints and orders</w:t>
      </w:r>
      <w:r>
        <w:rPr>
          <w:rFonts w:ascii="Times New Roman" w:hAnsi="Times New Roman" w:cs="Times New Roman"/>
          <w:sz w:val="24"/>
          <w:szCs w:val="24"/>
        </w:rPr>
        <w:t>.  However, m</w:t>
      </w:r>
      <w:r w:rsidR="002E473A">
        <w:rPr>
          <w:rFonts w:ascii="Times New Roman" w:hAnsi="Times New Roman" w:cs="Times New Roman"/>
          <w:sz w:val="24"/>
          <w:szCs w:val="24"/>
        </w:rPr>
        <w:t>any of these enhanced pipeline integrity initiatives go above and beyond Commission-ordered activities</w:t>
      </w:r>
      <w:r>
        <w:rPr>
          <w:rFonts w:ascii="Times New Roman" w:hAnsi="Times New Roman" w:cs="Times New Roman"/>
          <w:sz w:val="24"/>
          <w:szCs w:val="24"/>
        </w:rPr>
        <w:t xml:space="preserve">, as do other opportunities identified by PSE to reduce overall system risk </w:t>
      </w:r>
      <w:r w:rsidR="00D17085">
        <w:rPr>
          <w:rFonts w:ascii="Times New Roman" w:hAnsi="Times New Roman" w:cs="Times New Roman"/>
          <w:sz w:val="24"/>
          <w:szCs w:val="24"/>
        </w:rPr>
        <w:t xml:space="preserve">such as integrating </w:t>
      </w:r>
      <w:r>
        <w:rPr>
          <w:rFonts w:ascii="Times New Roman" w:hAnsi="Times New Roman" w:cs="Times New Roman"/>
          <w:sz w:val="24"/>
          <w:szCs w:val="24"/>
        </w:rPr>
        <w:t xml:space="preserve">the </w:t>
      </w:r>
      <w:r w:rsidR="003417E5">
        <w:rPr>
          <w:rFonts w:ascii="Times New Roman" w:hAnsi="Times New Roman" w:cs="Times New Roman"/>
          <w:sz w:val="24"/>
          <w:szCs w:val="24"/>
        </w:rPr>
        <w:t>W</w:t>
      </w:r>
      <w:r>
        <w:rPr>
          <w:rFonts w:ascii="Times New Roman" w:hAnsi="Times New Roman" w:cs="Times New Roman"/>
          <w:sz w:val="24"/>
          <w:szCs w:val="24"/>
        </w:rPr>
        <w:t xml:space="preserve">rapped </w:t>
      </w:r>
      <w:r w:rsidR="003417E5">
        <w:rPr>
          <w:rFonts w:ascii="Times New Roman" w:hAnsi="Times New Roman" w:cs="Times New Roman"/>
          <w:sz w:val="24"/>
          <w:szCs w:val="24"/>
        </w:rPr>
        <w:t>S</w:t>
      </w:r>
      <w:r>
        <w:rPr>
          <w:rFonts w:ascii="Times New Roman" w:hAnsi="Times New Roman" w:cs="Times New Roman"/>
          <w:sz w:val="24"/>
          <w:szCs w:val="24"/>
        </w:rPr>
        <w:t xml:space="preserve">teel </w:t>
      </w:r>
      <w:r w:rsidR="003417E5">
        <w:rPr>
          <w:rFonts w:ascii="Times New Roman" w:hAnsi="Times New Roman" w:cs="Times New Roman"/>
          <w:sz w:val="24"/>
          <w:szCs w:val="24"/>
        </w:rPr>
        <w:t>S</w:t>
      </w:r>
      <w:r>
        <w:rPr>
          <w:rFonts w:ascii="Times New Roman" w:hAnsi="Times New Roman" w:cs="Times New Roman"/>
          <w:sz w:val="24"/>
          <w:szCs w:val="24"/>
        </w:rPr>
        <w:t xml:space="preserve">ervices </w:t>
      </w:r>
      <w:r w:rsidR="003417E5">
        <w:rPr>
          <w:rFonts w:ascii="Times New Roman" w:hAnsi="Times New Roman" w:cs="Times New Roman"/>
          <w:sz w:val="24"/>
          <w:szCs w:val="24"/>
        </w:rPr>
        <w:t xml:space="preserve">Assessment Program </w:t>
      </w:r>
      <w:r>
        <w:rPr>
          <w:rFonts w:ascii="Times New Roman" w:hAnsi="Times New Roman" w:cs="Times New Roman"/>
          <w:sz w:val="24"/>
          <w:szCs w:val="24"/>
        </w:rPr>
        <w:t>Priority Replacement and Scheduled Replacement services with the Bare Steel Risk Model</w:t>
      </w:r>
      <w:r w:rsidR="002E473A">
        <w:rPr>
          <w:rFonts w:ascii="Times New Roman" w:hAnsi="Times New Roman" w:cs="Times New Roman"/>
          <w:sz w:val="24"/>
          <w:szCs w:val="24"/>
        </w:rPr>
        <w:t>.</w:t>
      </w:r>
      <w:r w:rsidR="002E473A">
        <w:rPr>
          <w:rStyle w:val="FootnoteReference"/>
          <w:rFonts w:ascii="Times New Roman" w:hAnsi="Times New Roman" w:cs="Times New Roman"/>
          <w:sz w:val="24"/>
          <w:szCs w:val="24"/>
        </w:rPr>
        <w:footnoteReference w:id="59"/>
      </w:r>
    </w:p>
    <w:p w:rsidR="001E15CB"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B1FC9" w:rsidRPr="00A76739">
        <w:rPr>
          <w:rFonts w:ascii="Times New Roman" w:hAnsi="Times New Roman" w:cs="Times New Roman"/>
          <w:sz w:val="24"/>
          <w:szCs w:val="24"/>
        </w:rPr>
        <w:t>Indeed, the Company’s</w:t>
      </w:r>
      <w:r w:rsidR="00D632F9" w:rsidRPr="00A76739">
        <w:rPr>
          <w:rFonts w:ascii="Times New Roman" w:hAnsi="Times New Roman" w:cs="Times New Roman"/>
          <w:sz w:val="24"/>
          <w:szCs w:val="24"/>
        </w:rPr>
        <w:t xml:space="preserve"> 2010 Continuing Surveillance Annual Report </w:t>
      </w:r>
      <w:r w:rsidR="00C8049D">
        <w:rPr>
          <w:rFonts w:ascii="Times New Roman" w:hAnsi="Times New Roman" w:cs="Times New Roman"/>
          <w:sz w:val="24"/>
          <w:szCs w:val="24"/>
        </w:rPr>
        <w:t>states that PSE</w:t>
      </w:r>
      <w:r w:rsidR="0090523F" w:rsidRPr="00A76739">
        <w:rPr>
          <w:rFonts w:ascii="Times New Roman" w:hAnsi="Times New Roman" w:cs="Times New Roman"/>
          <w:sz w:val="24"/>
          <w:szCs w:val="24"/>
        </w:rPr>
        <w:t>’s overall strategy</w:t>
      </w:r>
      <w:r w:rsidR="00CE4266" w:rsidRPr="00A76739">
        <w:rPr>
          <w:rFonts w:ascii="Times New Roman" w:hAnsi="Times New Roman" w:cs="Times New Roman"/>
          <w:sz w:val="24"/>
          <w:szCs w:val="24"/>
        </w:rPr>
        <w:t xml:space="preserve"> </w:t>
      </w:r>
      <w:r w:rsidR="00C8049D">
        <w:rPr>
          <w:rFonts w:ascii="Times New Roman" w:hAnsi="Times New Roman" w:cs="Times New Roman"/>
          <w:sz w:val="24"/>
          <w:szCs w:val="24"/>
        </w:rPr>
        <w:t xml:space="preserve">is </w:t>
      </w:r>
      <w:r w:rsidR="00D17085" w:rsidRPr="00A76739">
        <w:rPr>
          <w:rFonts w:ascii="Times New Roman" w:hAnsi="Times New Roman" w:cs="Times New Roman"/>
          <w:sz w:val="24"/>
          <w:szCs w:val="24"/>
        </w:rPr>
        <w:t xml:space="preserve">to initiate new </w:t>
      </w:r>
      <w:r w:rsidR="0090523F" w:rsidRPr="00A76739">
        <w:rPr>
          <w:rFonts w:ascii="Times New Roman" w:hAnsi="Times New Roman" w:cs="Times New Roman"/>
          <w:sz w:val="24"/>
          <w:szCs w:val="24"/>
        </w:rPr>
        <w:t xml:space="preserve">pipeline integrity management programs and enhancements to existing programs </w:t>
      </w:r>
      <w:r w:rsidR="00762B0C" w:rsidRPr="00A76739">
        <w:rPr>
          <w:rFonts w:ascii="Times New Roman" w:hAnsi="Times New Roman" w:cs="Times New Roman"/>
          <w:sz w:val="24"/>
          <w:szCs w:val="24"/>
        </w:rPr>
        <w:t>as necessary</w:t>
      </w:r>
      <w:r w:rsidR="00D632F9" w:rsidRPr="00A76739">
        <w:rPr>
          <w:rFonts w:ascii="Times New Roman" w:hAnsi="Times New Roman" w:cs="Times New Roman"/>
          <w:sz w:val="24"/>
          <w:szCs w:val="24"/>
        </w:rPr>
        <w:t>.</w:t>
      </w:r>
      <w:r w:rsidR="00D632F9">
        <w:rPr>
          <w:rStyle w:val="FootnoteReference"/>
          <w:rFonts w:ascii="Times New Roman" w:hAnsi="Times New Roman" w:cs="Times New Roman"/>
          <w:sz w:val="24"/>
          <w:szCs w:val="24"/>
        </w:rPr>
        <w:footnoteReference w:id="60"/>
      </w:r>
      <w:r w:rsidR="003417E5" w:rsidRPr="00A76739">
        <w:rPr>
          <w:rFonts w:ascii="Times New Roman" w:hAnsi="Times New Roman" w:cs="Times New Roman"/>
          <w:sz w:val="24"/>
          <w:szCs w:val="24"/>
        </w:rPr>
        <w:t xml:space="preserve">  For example, to address damage from third party excavation, the Company is continuing to increase and refine its damage and prevention awareness program, under which it has seen significant reductions in third party damage over the past several years.</w:t>
      </w:r>
      <w:r w:rsidR="003417E5">
        <w:rPr>
          <w:rStyle w:val="FootnoteReference"/>
          <w:rFonts w:ascii="Times New Roman" w:hAnsi="Times New Roman" w:cs="Times New Roman"/>
          <w:sz w:val="24"/>
          <w:szCs w:val="24"/>
        </w:rPr>
        <w:footnoteReference w:id="61"/>
      </w:r>
      <w:r w:rsidR="00FA7370" w:rsidRPr="00A76739">
        <w:rPr>
          <w:rFonts w:ascii="Times New Roman" w:hAnsi="Times New Roman" w:cs="Times New Roman"/>
          <w:sz w:val="24"/>
          <w:szCs w:val="24"/>
        </w:rPr>
        <w:t xml:space="preserve">  The Company also initiated a new policy in 2010 to replace pre-1986 PE services as part of larger main replacement programs such as the bare steel replacement program.</w:t>
      </w:r>
      <w:r w:rsidR="00FA7370">
        <w:rPr>
          <w:rStyle w:val="FootnoteReference"/>
          <w:rFonts w:ascii="Times New Roman" w:hAnsi="Times New Roman" w:cs="Times New Roman"/>
          <w:sz w:val="24"/>
          <w:szCs w:val="24"/>
        </w:rPr>
        <w:footnoteReference w:id="62"/>
      </w:r>
      <w:r w:rsidR="00FA7370" w:rsidRPr="00A76739">
        <w:rPr>
          <w:rFonts w:ascii="Times New Roman" w:hAnsi="Times New Roman" w:cs="Times New Roman"/>
          <w:sz w:val="24"/>
          <w:szCs w:val="24"/>
        </w:rPr>
        <w:t xml:space="preserve">  </w:t>
      </w:r>
      <w:r w:rsidR="00CE4266" w:rsidRPr="00A76739">
        <w:rPr>
          <w:rFonts w:ascii="Times New Roman" w:hAnsi="Times New Roman" w:cs="Times New Roman"/>
          <w:sz w:val="24"/>
          <w:szCs w:val="24"/>
        </w:rPr>
        <w:t>According to PSE, l</w:t>
      </w:r>
      <w:r w:rsidR="001E15CB" w:rsidRPr="00A76739">
        <w:rPr>
          <w:rFonts w:ascii="Times New Roman" w:hAnsi="Times New Roman" w:cs="Times New Roman"/>
          <w:sz w:val="24"/>
          <w:szCs w:val="24"/>
        </w:rPr>
        <w:t xml:space="preserve">eak survey trend analysis shows that </w:t>
      </w:r>
      <w:r w:rsidR="00CE4266" w:rsidRPr="00A76739">
        <w:rPr>
          <w:rFonts w:ascii="Times New Roman" w:hAnsi="Times New Roman" w:cs="Times New Roman"/>
          <w:sz w:val="24"/>
          <w:szCs w:val="24"/>
        </w:rPr>
        <w:t>PSE’s leak survey, odorization and public education programs are effective in detecting and proactively mitigating leaks.</w:t>
      </w:r>
      <w:r w:rsidR="00CE4266">
        <w:rPr>
          <w:rStyle w:val="FootnoteReference"/>
          <w:rFonts w:ascii="Times New Roman" w:hAnsi="Times New Roman" w:cs="Times New Roman"/>
          <w:sz w:val="24"/>
          <w:szCs w:val="24"/>
        </w:rPr>
        <w:footnoteReference w:id="63"/>
      </w:r>
    </w:p>
    <w:p w:rsidR="001951D5" w:rsidRPr="00C8049D" w:rsidRDefault="004344CC" w:rsidP="00C8049D">
      <w:pPr>
        <w:pStyle w:val="ListParagraph"/>
        <w:numPr>
          <w:ilvl w:val="0"/>
          <w:numId w:val="14"/>
        </w:num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FA7370" w:rsidRPr="00C8049D">
        <w:rPr>
          <w:rFonts w:ascii="Times New Roman" w:hAnsi="Times New Roman" w:cs="Times New Roman"/>
          <w:sz w:val="24"/>
          <w:szCs w:val="24"/>
        </w:rPr>
        <w:t>A full list of current and completed gas system maintenance progr</w:t>
      </w:r>
      <w:r w:rsidR="00D17085" w:rsidRPr="00C8049D">
        <w:rPr>
          <w:rFonts w:ascii="Times New Roman" w:hAnsi="Times New Roman" w:cs="Times New Roman"/>
          <w:sz w:val="24"/>
          <w:szCs w:val="24"/>
        </w:rPr>
        <w:t>ams is described in the 2010 Continuing Surveillance Annual R</w:t>
      </w:r>
      <w:r w:rsidR="00FA7370" w:rsidRPr="00C8049D">
        <w:rPr>
          <w:rFonts w:ascii="Times New Roman" w:hAnsi="Times New Roman" w:cs="Times New Roman"/>
          <w:sz w:val="24"/>
          <w:szCs w:val="24"/>
        </w:rPr>
        <w:t>eport at pages 53-65.</w:t>
      </w:r>
      <w:r w:rsidR="000B1FC9" w:rsidRPr="00C8049D">
        <w:rPr>
          <w:rFonts w:ascii="Times New Roman" w:hAnsi="Times New Roman" w:cs="Times New Roman"/>
          <w:sz w:val="24"/>
          <w:szCs w:val="24"/>
        </w:rPr>
        <w:t xml:space="preserve">  All of these proactive measures were undertaken without expedited cost recovery through any means.</w:t>
      </w:r>
      <w:r w:rsidR="00CE4266" w:rsidRPr="00C8049D">
        <w:rPr>
          <w:rFonts w:ascii="Times New Roman" w:hAnsi="Times New Roman" w:cs="Times New Roman"/>
          <w:sz w:val="24"/>
          <w:szCs w:val="24"/>
        </w:rPr>
        <w:t xml:space="preserve">  The vast majority of them were not Commission-ordered activities.</w:t>
      </w:r>
    </w:p>
    <w:p w:rsidR="00DE5197" w:rsidRPr="00750D67" w:rsidRDefault="00750D67" w:rsidP="0067553A">
      <w:pPr>
        <w:spacing w:after="0" w:line="240" w:lineRule="auto"/>
        <w:ind w:left="2160" w:hanging="720"/>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966B6B" w:rsidRPr="00750D67">
        <w:rPr>
          <w:rFonts w:ascii="Times New Roman" w:hAnsi="Times New Roman" w:cs="Times New Roman"/>
          <w:b/>
          <w:sz w:val="24"/>
          <w:szCs w:val="24"/>
        </w:rPr>
        <w:t xml:space="preserve">Cost Recovery Through Traditional Ratemaking </w:t>
      </w:r>
      <w:r w:rsidR="00FB70A9" w:rsidRPr="00750D67">
        <w:rPr>
          <w:rFonts w:ascii="Times New Roman" w:hAnsi="Times New Roman" w:cs="Times New Roman"/>
          <w:b/>
          <w:sz w:val="24"/>
          <w:szCs w:val="24"/>
        </w:rPr>
        <w:t xml:space="preserve">Procedures </w:t>
      </w:r>
      <w:r w:rsidR="00DB665F" w:rsidRPr="00750D67">
        <w:rPr>
          <w:rFonts w:ascii="Times New Roman" w:hAnsi="Times New Roman" w:cs="Times New Roman"/>
          <w:b/>
          <w:sz w:val="24"/>
          <w:szCs w:val="24"/>
        </w:rPr>
        <w:t>is S</w:t>
      </w:r>
      <w:r w:rsidR="00FF44F7" w:rsidRPr="00750D67">
        <w:rPr>
          <w:rFonts w:ascii="Times New Roman" w:hAnsi="Times New Roman" w:cs="Times New Roman"/>
          <w:b/>
          <w:sz w:val="24"/>
          <w:szCs w:val="24"/>
        </w:rPr>
        <w:t>ufficient To Support an</w:t>
      </w:r>
      <w:r w:rsidR="00966B6B" w:rsidRPr="00750D67">
        <w:rPr>
          <w:rFonts w:ascii="Times New Roman" w:hAnsi="Times New Roman" w:cs="Times New Roman"/>
          <w:b/>
          <w:sz w:val="24"/>
          <w:szCs w:val="24"/>
        </w:rPr>
        <w:t xml:space="preserve"> Accelerated Pipeline Rep</w:t>
      </w:r>
      <w:r w:rsidR="00FB70A9" w:rsidRPr="00750D67">
        <w:rPr>
          <w:rFonts w:ascii="Times New Roman" w:hAnsi="Times New Roman" w:cs="Times New Roman"/>
          <w:b/>
          <w:sz w:val="24"/>
          <w:szCs w:val="24"/>
        </w:rPr>
        <w:t>l</w:t>
      </w:r>
      <w:r w:rsidR="00966B6B" w:rsidRPr="00750D67">
        <w:rPr>
          <w:rFonts w:ascii="Times New Roman" w:hAnsi="Times New Roman" w:cs="Times New Roman"/>
          <w:b/>
          <w:sz w:val="24"/>
          <w:szCs w:val="24"/>
        </w:rPr>
        <w:t>acement Program</w:t>
      </w:r>
    </w:p>
    <w:p w:rsidR="00966B6B" w:rsidRPr="00A76739" w:rsidRDefault="00966B6B" w:rsidP="00A76739">
      <w:pPr>
        <w:spacing w:after="0" w:line="240" w:lineRule="auto"/>
        <w:rPr>
          <w:rFonts w:ascii="Times New Roman" w:hAnsi="Times New Roman" w:cs="Times New Roman"/>
          <w:b/>
          <w:sz w:val="24"/>
          <w:szCs w:val="24"/>
        </w:rPr>
      </w:pPr>
    </w:p>
    <w:p w:rsidR="00270BDE"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B1FC9" w:rsidRPr="00A76739">
        <w:rPr>
          <w:rFonts w:ascii="Times New Roman" w:hAnsi="Times New Roman" w:cs="Times New Roman"/>
          <w:sz w:val="24"/>
          <w:szCs w:val="24"/>
        </w:rPr>
        <w:t xml:space="preserve">The new </w:t>
      </w:r>
      <w:r w:rsidR="00966B6B" w:rsidRPr="00A76739">
        <w:rPr>
          <w:rFonts w:ascii="Times New Roman" w:hAnsi="Times New Roman" w:cs="Times New Roman"/>
          <w:sz w:val="24"/>
          <w:szCs w:val="24"/>
        </w:rPr>
        <w:t xml:space="preserve">surcharge </w:t>
      </w:r>
      <w:r w:rsidR="000B1FC9" w:rsidRPr="00A76739">
        <w:rPr>
          <w:rFonts w:ascii="Times New Roman" w:hAnsi="Times New Roman" w:cs="Times New Roman"/>
          <w:sz w:val="24"/>
          <w:szCs w:val="24"/>
        </w:rPr>
        <w:t>would guarantee</w:t>
      </w:r>
      <w:r w:rsidR="00966B6B" w:rsidRPr="00A76739">
        <w:rPr>
          <w:rFonts w:ascii="Times New Roman" w:hAnsi="Times New Roman" w:cs="Times New Roman"/>
          <w:sz w:val="24"/>
          <w:szCs w:val="24"/>
        </w:rPr>
        <w:t xml:space="preserve"> the Company </w:t>
      </w:r>
      <w:r w:rsidR="000B1FC9" w:rsidRPr="00A76739">
        <w:rPr>
          <w:rFonts w:ascii="Times New Roman" w:hAnsi="Times New Roman" w:cs="Times New Roman"/>
          <w:sz w:val="24"/>
          <w:szCs w:val="24"/>
        </w:rPr>
        <w:t>and its owners</w:t>
      </w:r>
      <w:r w:rsidR="00966B6B" w:rsidRPr="00A76739">
        <w:rPr>
          <w:rFonts w:ascii="Times New Roman" w:hAnsi="Times New Roman" w:cs="Times New Roman"/>
          <w:sz w:val="24"/>
          <w:szCs w:val="24"/>
        </w:rPr>
        <w:t xml:space="preserve"> accelerated </w:t>
      </w:r>
      <w:r w:rsidR="00DB665F" w:rsidRPr="00A76739">
        <w:rPr>
          <w:rFonts w:ascii="Times New Roman" w:hAnsi="Times New Roman" w:cs="Times New Roman"/>
          <w:sz w:val="24"/>
          <w:szCs w:val="24"/>
        </w:rPr>
        <w:t xml:space="preserve">recovery of </w:t>
      </w:r>
      <w:r w:rsidR="00624A62" w:rsidRPr="00A76739">
        <w:rPr>
          <w:rFonts w:ascii="Times New Roman" w:hAnsi="Times New Roman" w:cs="Times New Roman"/>
          <w:sz w:val="24"/>
          <w:szCs w:val="24"/>
        </w:rPr>
        <w:t xml:space="preserve">the cost </w:t>
      </w:r>
      <w:r w:rsidR="00966B6B" w:rsidRPr="00A76739">
        <w:rPr>
          <w:rFonts w:ascii="Times New Roman" w:hAnsi="Times New Roman" w:cs="Times New Roman"/>
          <w:sz w:val="24"/>
          <w:szCs w:val="24"/>
        </w:rPr>
        <w:t>to replace wrapped bare steel mains and se</w:t>
      </w:r>
      <w:r w:rsidR="00DB665F" w:rsidRPr="00A76739">
        <w:rPr>
          <w:rFonts w:ascii="Times New Roman" w:hAnsi="Times New Roman" w:cs="Times New Roman"/>
          <w:sz w:val="24"/>
          <w:szCs w:val="24"/>
        </w:rPr>
        <w:t xml:space="preserve">rvices, and Older PE.  </w:t>
      </w:r>
      <w:r w:rsidR="000B1FC9" w:rsidRPr="00A76739">
        <w:rPr>
          <w:rFonts w:ascii="Times New Roman" w:hAnsi="Times New Roman" w:cs="Times New Roman"/>
          <w:sz w:val="24"/>
          <w:szCs w:val="24"/>
        </w:rPr>
        <w:t>PSE</w:t>
      </w:r>
      <w:r w:rsidR="001C6790" w:rsidRPr="00A76739">
        <w:rPr>
          <w:rFonts w:ascii="Times New Roman" w:hAnsi="Times New Roman" w:cs="Times New Roman"/>
          <w:sz w:val="24"/>
          <w:szCs w:val="24"/>
        </w:rPr>
        <w:t xml:space="preserve"> </w:t>
      </w:r>
      <w:r w:rsidR="00270BDE" w:rsidRPr="00A76739">
        <w:rPr>
          <w:rFonts w:ascii="Times New Roman" w:hAnsi="Times New Roman" w:cs="Times New Roman"/>
          <w:sz w:val="24"/>
          <w:szCs w:val="24"/>
        </w:rPr>
        <w:t>agrees</w:t>
      </w:r>
      <w:r w:rsidR="00DB665F" w:rsidRPr="00A76739">
        <w:rPr>
          <w:rFonts w:ascii="Times New Roman" w:hAnsi="Times New Roman" w:cs="Times New Roman"/>
          <w:sz w:val="24"/>
          <w:szCs w:val="24"/>
        </w:rPr>
        <w:t>, however,</w:t>
      </w:r>
      <w:r w:rsidR="00270BDE" w:rsidRPr="00A76739">
        <w:rPr>
          <w:rFonts w:ascii="Times New Roman" w:hAnsi="Times New Roman" w:cs="Times New Roman"/>
          <w:sz w:val="24"/>
          <w:szCs w:val="24"/>
        </w:rPr>
        <w:t xml:space="preserve"> </w:t>
      </w:r>
      <w:r w:rsidR="000A3032" w:rsidRPr="00A76739">
        <w:rPr>
          <w:rFonts w:ascii="Times New Roman" w:hAnsi="Times New Roman" w:cs="Times New Roman"/>
          <w:sz w:val="24"/>
          <w:szCs w:val="24"/>
        </w:rPr>
        <w:t xml:space="preserve">that the Commission has </w:t>
      </w:r>
      <w:r w:rsidR="00270BDE" w:rsidRPr="00A76739">
        <w:rPr>
          <w:rFonts w:ascii="Times New Roman" w:hAnsi="Times New Roman" w:cs="Times New Roman"/>
          <w:sz w:val="24"/>
          <w:szCs w:val="24"/>
        </w:rPr>
        <w:t>n</w:t>
      </w:r>
      <w:r w:rsidR="000A3032" w:rsidRPr="00A76739">
        <w:rPr>
          <w:rFonts w:ascii="Times New Roman" w:hAnsi="Times New Roman" w:cs="Times New Roman"/>
          <w:sz w:val="24"/>
          <w:szCs w:val="24"/>
        </w:rPr>
        <w:t>ever disallowed recovery of the costs</w:t>
      </w:r>
      <w:r w:rsidR="00FE2B98" w:rsidRPr="00A76739">
        <w:rPr>
          <w:rFonts w:ascii="Times New Roman" w:hAnsi="Times New Roman" w:cs="Times New Roman"/>
          <w:sz w:val="24"/>
          <w:szCs w:val="24"/>
        </w:rPr>
        <w:t xml:space="preserve"> to replace any category of </w:t>
      </w:r>
      <w:r w:rsidR="000A3032" w:rsidRPr="00A76739">
        <w:rPr>
          <w:rFonts w:ascii="Times New Roman" w:hAnsi="Times New Roman" w:cs="Times New Roman"/>
          <w:sz w:val="24"/>
          <w:szCs w:val="24"/>
        </w:rPr>
        <w:t>pipeline under traditional, general rate case ratemaking.</w:t>
      </w:r>
      <w:r w:rsidR="000A3032">
        <w:rPr>
          <w:rStyle w:val="FootnoteReference"/>
          <w:rFonts w:ascii="Times New Roman" w:hAnsi="Times New Roman" w:cs="Times New Roman"/>
          <w:sz w:val="24"/>
          <w:szCs w:val="24"/>
        </w:rPr>
        <w:footnoteReference w:id="64"/>
      </w:r>
      <w:r w:rsidR="000A3032" w:rsidRPr="00A76739">
        <w:rPr>
          <w:rFonts w:ascii="Times New Roman" w:hAnsi="Times New Roman" w:cs="Times New Roman"/>
          <w:sz w:val="24"/>
          <w:szCs w:val="24"/>
        </w:rPr>
        <w:t xml:space="preserve">    </w:t>
      </w:r>
    </w:p>
    <w:p w:rsidR="00624A62"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14E69" w:rsidRPr="00A76739">
        <w:rPr>
          <w:rFonts w:ascii="Times New Roman" w:hAnsi="Times New Roman" w:cs="Times New Roman"/>
          <w:sz w:val="24"/>
          <w:szCs w:val="24"/>
        </w:rPr>
        <w:t xml:space="preserve">Indeed, the Company filed </w:t>
      </w:r>
      <w:r w:rsidR="004F3AE3" w:rsidRPr="00A76739">
        <w:rPr>
          <w:rFonts w:ascii="Times New Roman" w:hAnsi="Times New Roman" w:cs="Times New Roman"/>
          <w:sz w:val="24"/>
          <w:szCs w:val="24"/>
        </w:rPr>
        <w:t xml:space="preserve">natural gas </w:t>
      </w:r>
      <w:r w:rsidR="00714E69" w:rsidRPr="00A76739">
        <w:rPr>
          <w:rFonts w:ascii="Times New Roman" w:hAnsi="Times New Roman" w:cs="Times New Roman"/>
          <w:sz w:val="24"/>
          <w:szCs w:val="24"/>
        </w:rPr>
        <w:t>general rate cases in 2004, 2006, 2007, 2009</w:t>
      </w:r>
      <w:r w:rsidR="004F3AE3" w:rsidRPr="00A76739">
        <w:rPr>
          <w:rFonts w:ascii="Times New Roman" w:hAnsi="Times New Roman" w:cs="Times New Roman"/>
          <w:sz w:val="24"/>
          <w:szCs w:val="24"/>
        </w:rPr>
        <w:t>, 2010</w:t>
      </w:r>
      <w:r w:rsidR="00624A62" w:rsidRPr="00A76739">
        <w:rPr>
          <w:rFonts w:ascii="Times New Roman" w:hAnsi="Times New Roman" w:cs="Times New Roman"/>
          <w:sz w:val="24"/>
          <w:szCs w:val="24"/>
        </w:rPr>
        <w:t xml:space="preserve"> and 2011</w:t>
      </w:r>
      <w:r w:rsidR="00714E69" w:rsidRPr="00A76739">
        <w:rPr>
          <w:rFonts w:ascii="Times New Roman" w:hAnsi="Times New Roman" w:cs="Times New Roman"/>
          <w:sz w:val="24"/>
          <w:szCs w:val="24"/>
        </w:rPr>
        <w:t>.</w:t>
      </w:r>
      <w:r w:rsidR="00714E69">
        <w:rPr>
          <w:rStyle w:val="FootnoteReference"/>
          <w:rFonts w:ascii="Times New Roman" w:hAnsi="Times New Roman" w:cs="Times New Roman"/>
          <w:sz w:val="24"/>
          <w:szCs w:val="24"/>
        </w:rPr>
        <w:footnoteReference w:id="65"/>
      </w:r>
      <w:r w:rsidR="004F3AE3" w:rsidRPr="00A76739">
        <w:rPr>
          <w:rFonts w:ascii="Times New Roman" w:hAnsi="Times New Roman" w:cs="Times New Roman"/>
          <w:sz w:val="24"/>
          <w:szCs w:val="24"/>
        </w:rPr>
        <w:t xml:space="preserve">  These </w:t>
      </w:r>
      <w:r w:rsidR="00DB665F" w:rsidRPr="00A76739">
        <w:rPr>
          <w:rFonts w:ascii="Times New Roman" w:hAnsi="Times New Roman" w:cs="Times New Roman"/>
          <w:sz w:val="24"/>
          <w:szCs w:val="24"/>
        </w:rPr>
        <w:t xml:space="preserve">cases, and others, </w:t>
      </w:r>
      <w:r w:rsidR="004F3AE3" w:rsidRPr="00A76739">
        <w:rPr>
          <w:rFonts w:ascii="Times New Roman" w:hAnsi="Times New Roman" w:cs="Times New Roman"/>
          <w:sz w:val="24"/>
          <w:szCs w:val="24"/>
        </w:rPr>
        <w:t>have</w:t>
      </w:r>
      <w:r w:rsidR="000B1FC9" w:rsidRPr="00A76739">
        <w:rPr>
          <w:rFonts w:ascii="Times New Roman" w:hAnsi="Times New Roman" w:cs="Times New Roman"/>
          <w:sz w:val="24"/>
          <w:szCs w:val="24"/>
        </w:rPr>
        <w:t>,</w:t>
      </w:r>
      <w:r w:rsidR="004F3AE3" w:rsidRPr="00A76739">
        <w:rPr>
          <w:rFonts w:ascii="Times New Roman" w:hAnsi="Times New Roman" w:cs="Times New Roman"/>
          <w:sz w:val="24"/>
          <w:szCs w:val="24"/>
        </w:rPr>
        <w:t xml:space="preserve"> </w:t>
      </w:r>
      <w:r w:rsidR="00624A62" w:rsidRPr="00A76739">
        <w:rPr>
          <w:rFonts w:ascii="Times New Roman" w:hAnsi="Times New Roman" w:cs="Times New Roman"/>
          <w:sz w:val="24"/>
          <w:szCs w:val="24"/>
        </w:rPr>
        <w:t>without exception</w:t>
      </w:r>
      <w:r w:rsidR="000B1FC9" w:rsidRPr="00A76739">
        <w:rPr>
          <w:rFonts w:ascii="Times New Roman" w:hAnsi="Times New Roman" w:cs="Times New Roman"/>
          <w:sz w:val="24"/>
          <w:szCs w:val="24"/>
        </w:rPr>
        <w:t>,</w:t>
      </w:r>
      <w:r w:rsidR="00624A62" w:rsidRPr="00A76739">
        <w:rPr>
          <w:rFonts w:ascii="Times New Roman" w:hAnsi="Times New Roman" w:cs="Times New Roman"/>
          <w:sz w:val="24"/>
          <w:szCs w:val="24"/>
        </w:rPr>
        <w:t xml:space="preserve"> </w:t>
      </w:r>
      <w:r w:rsidR="004F3AE3" w:rsidRPr="00A76739">
        <w:rPr>
          <w:rFonts w:ascii="Times New Roman" w:hAnsi="Times New Roman" w:cs="Times New Roman"/>
          <w:sz w:val="24"/>
          <w:szCs w:val="24"/>
        </w:rPr>
        <w:t xml:space="preserve">allowed </w:t>
      </w:r>
      <w:r w:rsidR="001C6790" w:rsidRPr="00A76739">
        <w:rPr>
          <w:rFonts w:ascii="Times New Roman" w:hAnsi="Times New Roman" w:cs="Times New Roman"/>
          <w:sz w:val="24"/>
          <w:szCs w:val="24"/>
        </w:rPr>
        <w:t xml:space="preserve">PSE to recover </w:t>
      </w:r>
      <w:r w:rsidR="00FE2B98" w:rsidRPr="00A76739">
        <w:rPr>
          <w:rFonts w:ascii="Times New Roman" w:hAnsi="Times New Roman" w:cs="Times New Roman"/>
          <w:sz w:val="24"/>
          <w:szCs w:val="24"/>
        </w:rPr>
        <w:t xml:space="preserve">significant costs related to accelerated </w:t>
      </w:r>
      <w:r w:rsidR="004F3AE3" w:rsidRPr="00A76739">
        <w:rPr>
          <w:rFonts w:ascii="Times New Roman" w:hAnsi="Times New Roman" w:cs="Times New Roman"/>
          <w:sz w:val="24"/>
          <w:szCs w:val="24"/>
        </w:rPr>
        <w:t xml:space="preserve">pipeline replacement </w:t>
      </w:r>
      <w:r w:rsidR="00FE2B98" w:rsidRPr="00A76739">
        <w:rPr>
          <w:rFonts w:ascii="Times New Roman" w:hAnsi="Times New Roman" w:cs="Times New Roman"/>
          <w:sz w:val="24"/>
          <w:szCs w:val="24"/>
        </w:rPr>
        <w:t>programs</w:t>
      </w:r>
      <w:r w:rsidR="000B1FC9" w:rsidRPr="00A76739">
        <w:rPr>
          <w:rFonts w:ascii="Times New Roman" w:hAnsi="Times New Roman" w:cs="Times New Roman"/>
          <w:sz w:val="24"/>
          <w:szCs w:val="24"/>
        </w:rPr>
        <w:t xml:space="preserve">, including </w:t>
      </w:r>
      <w:r w:rsidR="004F3AE3" w:rsidRPr="00A76739">
        <w:rPr>
          <w:rFonts w:ascii="Times New Roman" w:hAnsi="Times New Roman" w:cs="Times New Roman"/>
          <w:sz w:val="24"/>
          <w:szCs w:val="24"/>
        </w:rPr>
        <w:t>$80 million for cast iron pipeline replacement and $83.5 million for bare steel pipeline replacement.</w:t>
      </w:r>
      <w:r w:rsidR="004F3AE3">
        <w:rPr>
          <w:rStyle w:val="FootnoteReference"/>
          <w:rFonts w:ascii="Times New Roman" w:hAnsi="Times New Roman" w:cs="Times New Roman"/>
          <w:sz w:val="24"/>
          <w:szCs w:val="24"/>
        </w:rPr>
        <w:footnoteReference w:id="66"/>
      </w:r>
      <w:r w:rsidR="00D05F1A" w:rsidRPr="00A76739">
        <w:rPr>
          <w:rFonts w:ascii="Times New Roman" w:hAnsi="Times New Roman" w:cs="Times New Roman"/>
          <w:sz w:val="24"/>
          <w:szCs w:val="24"/>
        </w:rPr>
        <w:t xml:space="preserve">  </w:t>
      </w:r>
    </w:p>
    <w:p w:rsidR="00966B6B"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25029">
        <w:rPr>
          <w:rFonts w:ascii="Times New Roman" w:hAnsi="Times New Roman" w:cs="Times New Roman"/>
          <w:sz w:val="24"/>
          <w:szCs w:val="24"/>
        </w:rPr>
        <w:t>This trend should</w:t>
      </w:r>
      <w:r w:rsidR="00624A62" w:rsidRPr="00A76739">
        <w:rPr>
          <w:rFonts w:ascii="Times New Roman" w:hAnsi="Times New Roman" w:cs="Times New Roman"/>
          <w:sz w:val="24"/>
          <w:szCs w:val="24"/>
        </w:rPr>
        <w:t xml:space="preserve"> continue for the </w:t>
      </w:r>
      <w:r w:rsidR="000B1FC9" w:rsidRPr="00A76739">
        <w:rPr>
          <w:rFonts w:ascii="Times New Roman" w:hAnsi="Times New Roman" w:cs="Times New Roman"/>
          <w:sz w:val="24"/>
          <w:szCs w:val="24"/>
        </w:rPr>
        <w:t xml:space="preserve">pending general rate case in Docket UG-111049 and the </w:t>
      </w:r>
      <w:r w:rsidR="00624A62" w:rsidRPr="00A76739">
        <w:rPr>
          <w:rFonts w:ascii="Times New Roman" w:hAnsi="Times New Roman" w:cs="Times New Roman"/>
          <w:sz w:val="24"/>
          <w:szCs w:val="24"/>
        </w:rPr>
        <w:t>general rate case the Company expects to file in 2012.</w:t>
      </w:r>
      <w:r w:rsidR="00624A62">
        <w:rPr>
          <w:rStyle w:val="FootnoteReference"/>
          <w:rFonts w:ascii="Times New Roman" w:hAnsi="Times New Roman" w:cs="Times New Roman"/>
          <w:sz w:val="24"/>
          <w:szCs w:val="24"/>
        </w:rPr>
        <w:footnoteReference w:id="67"/>
      </w:r>
      <w:r w:rsidR="00A25029">
        <w:rPr>
          <w:rFonts w:ascii="Times New Roman" w:hAnsi="Times New Roman" w:cs="Times New Roman"/>
          <w:sz w:val="24"/>
          <w:szCs w:val="24"/>
        </w:rPr>
        <w:t xml:space="preserve">  PSE</w:t>
      </w:r>
      <w:r w:rsidR="001C6790" w:rsidRPr="00A76739">
        <w:rPr>
          <w:rFonts w:ascii="Times New Roman" w:hAnsi="Times New Roman" w:cs="Times New Roman"/>
          <w:sz w:val="24"/>
          <w:szCs w:val="24"/>
        </w:rPr>
        <w:t xml:space="preserve"> </w:t>
      </w:r>
      <w:r w:rsidR="00D05F1A" w:rsidRPr="00A76739">
        <w:rPr>
          <w:rFonts w:ascii="Times New Roman" w:hAnsi="Times New Roman" w:cs="Times New Roman"/>
          <w:sz w:val="24"/>
          <w:szCs w:val="24"/>
        </w:rPr>
        <w:t xml:space="preserve">agreed that it will </w:t>
      </w:r>
      <w:r w:rsidR="000B1FC9" w:rsidRPr="00A76739">
        <w:rPr>
          <w:rFonts w:ascii="Times New Roman" w:hAnsi="Times New Roman" w:cs="Times New Roman"/>
          <w:sz w:val="24"/>
          <w:szCs w:val="24"/>
        </w:rPr>
        <w:t xml:space="preserve">always </w:t>
      </w:r>
      <w:r w:rsidR="00D05F1A" w:rsidRPr="00A76739">
        <w:rPr>
          <w:rFonts w:ascii="Times New Roman" w:hAnsi="Times New Roman" w:cs="Times New Roman"/>
          <w:sz w:val="24"/>
          <w:szCs w:val="24"/>
        </w:rPr>
        <w:t xml:space="preserve">be able to recover </w:t>
      </w:r>
      <w:r w:rsidR="00A25029">
        <w:rPr>
          <w:rFonts w:ascii="Times New Roman" w:hAnsi="Times New Roman" w:cs="Times New Roman"/>
          <w:sz w:val="24"/>
          <w:szCs w:val="24"/>
        </w:rPr>
        <w:t xml:space="preserve">budgeted </w:t>
      </w:r>
      <w:r w:rsidR="00D05F1A" w:rsidRPr="00A76739">
        <w:rPr>
          <w:rFonts w:ascii="Times New Roman" w:hAnsi="Times New Roman" w:cs="Times New Roman"/>
          <w:sz w:val="24"/>
          <w:szCs w:val="24"/>
        </w:rPr>
        <w:t>expenditures for pipeline replacement through general rate cases</w:t>
      </w:r>
      <w:r w:rsidR="00A25029">
        <w:rPr>
          <w:rFonts w:ascii="Times New Roman" w:hAnsi="Times New Roman" w:cs="Times New Roman"/>
          <w:sz w:val="24"/>
          <w:szCs w:val="24"/>
        </w:rPr>
        <w:t xml:space="preserve"> once costs have been incurred</w:t>
      </w:r>
      <w:r w:rsidR="00270BDE" w:rsidRPr="00A76739">
        <w:rPr>
          <w:rFonts w:ascii="Times New Roman" w:hAnsi="Times New Roman" w:cs="Times New Roman"/>
          <w:sz w:val="24"/>
          <w:szCs w:val="24"/>
        </w:rPr>
        <w:t xml:space="preserve"> and </w:t>
      </w:r>
      <w:r w:rsidR="00A25029">
        <w:rPr>
          <w:rFonts w:ascii="Times New Roman" w:hAnsi="Times New Roman" w:cs="Times New Roman"/>
          <w:sz w:val="24"/>
          <w:szCs w:val="24"/>
        </w:rPr>
        <w:t xml:space="preserve">the amounts </w:t>
      </w:r>
      <w:r w:rsidR="00804A5A" w:rsidRPr="00A76739">
        <w:rPr>
          <w:rFonts w:ascii="Times New Roman" w:hAnsi="Times New Roman" w:cs="Times New Roman"/>
          <w:sz w:val="24"/>
          <w:szCs w:val="24"/>
        </w:rPr>
        <w:t>are shown to be prudent.</w:t>
      </w:r>
      <w:r w:rsidR="00804A5A">
        <w:rPr>
          <w:rStyle w:val="FootnoteReference"/>
          <w:rFonts w:ascii="Times New Roman" w:hAnsi="Times New Roman" w:cs="Times New Roman"/>
          <w:sz w:val="24"/>
          <w:szCs w:val="24"/>
        </w:rPr>
        <w:footnoteReference w:id="68"/>
      </w:r>
      <w:r w:rsidR="00624A62" w:rsidRPr="00A76739">
        <w:rPr>
          <w:rFonts w:ascii="Times New Roman" w:hAnsi="Times New Roman" w:cs="Times New Roman"/>
          <w:sz w:val="24"/>
          <w:szCs w:val="24"/>
        </w:rPr>
        <w:t xml:space="preserve">  </w:t>
      </w:r>
      <w:r w:rsidR="00144686" w:rsidRPr="00A76739">
        <w:rPr>
          <w:rFonts w:ascii="Times New Roman" w:hAnsi="Times New Roman" w:cs="Times New Roman"/>
          <w:sz w:val="24"/>
          <w:szCs w:val="24"/>
        </w:rPr>
        <w:t xml:space="preserve">Likewise, </w:t>
      </w:r>
      <w:r w:rsidR="00270BDE" w:rsidRPr="00A76739">
        <w:rPr>
          <w:rFonts w:ascii="Times New Roman" w:hAnsi="Times New Roman" w:cs="Times New Roman"/>
          <w:sz w:val="24"/>
          <w:szCs w:val="24"/>
        </w:rPr>
        <w:t xml:space="preserve">PSE </w:t>
      </w:r>
      <w:r w:rsidR="00624A62" w:rsidRPr="00A76739">
        <w:rPr>
          <w:rFonts w:ascii="Times New Roman" w:hAnsi="Times New Roman" w:cs="Times New Roman"/>
          <w:sz w:val="24"/>
          <w:szCs w:val="24"/>
        </w:rPr>
        <w:t>agree</w:t>
      </w:r>
      <w:r w:rsidR="000B1FC9" w:rsidRPr="00A76739">
        <w:rPr>
          <w:rFonts w:ascii="Times New Roman" w:hAnsi="Times New Roman" w:cs="Times New Roman"/>
          <w:sz w:val="24"/>
          <w:szCs w:val="24"/>
        </w:rPr>
        <w:t>d</w:t>
      </w:r>
      <w:r w:rsidR="00624A62" w:rsidRPr="00A76739">
        <w:rPr>
          <w:rFonts w:ascii="Times New Roman" w:hAnsi="Times New Roman" w:cs="Times New Roman"/>
          <w:sz w:val="24"/>
          <w:szCs w:val="24"/>
        </w:rPr>
        <w:t xml:space="preserve"> that</w:t>
      </w:r>
      <w:r w:rsidR="000A3032" w:rsidRPr="00A76739">
        <w:rPr>
          <w:rFonts w:ascii="Times New Roman" w:hAnsi="Times New Roman" w:cs="Times New Roman"/>
          <w:sz w:val="24"/>
          <w:szCs w:val="24"/>
        </w:rPr>
        <w:t xml:space="preserve"> </w:t>
      </w:r>
      <w:r w:rsidR="00144686" w:rsidRPr="00A76739">
        <w:rPr>
          <w:rFonts w:ascii="Times New Roman" w:hAnsi="Times New Roman" w:cs="Times New Roman"/>
          <w:sz w:val="24"/>
          <w:szCs w:val="24"/>
        </w:rPr>
        <w:t>it could accel</w:t>
      </w:r>
      <w:r w:rsidR="000B1FC9" w:rsidRPr="00A76739">
        <w:rPr>
          <w:rFonts w:ascii="Times New Roman" w:hAnsi="Times New Roman" w:cs="Times New Roman"/>
          <w:sz w:val="24"/>
          <w:szCs w:val="24"/>
        </w:rPr>
        <w:t xml:space="preserve">erate pipeline replacement </w:t>
      </w:r>
      <w:r w:rsidR="00144686" w:rsidRPr="00A76739">
        <w:rPr>
          <w:rFonts w:ascii="Times New Roman" w:hAnsi="Times New Roman" w:cs="Times New Roman"/>
          <w:sz w:val="24"/>
          <w:szCs w:val="24"/>
        </w:rPr>
        <w:t xml:space="preserve">beyond budgeted levels and recover related costs through </w:t>
      </w:r>
      <w:r w:rsidR="00853736" w:rsidRPr="00A76739">
        <w:rPr>
          <w:rFonts w:ascii="Times New Roman" w:hAnsi="Times New Roman" w:cs="Times New Roman"/>
          <w:sz w:val="24"/>
          <w:szCs w:val="24"/>
        </w:rPr>
        <w:t xml:space="preserve">existing cost recovery methods </w:t>
      </w:r>
      <w:r w:rsidR="00144686" w:rsidRPr="00A76739">
        <w:rPr>
          <w:rFonts w:ascii="Times New Roman" w:hAnsi="Times New Roman" w:cs="Times New Roman"/>
          <w:sz w:val="24"/>
          <w:szCs w:val="24"/>
        </w:rPr>
        <w:t>without a surcharge.</w:t>
      </w:r>
      <w:r w:rsidR="00144686">
        <w:rPr>
          <w:rStyle w:val="FootnoteReference"/>
          <w:rFonts w:ascii="Times New Roman" w:hAnsi="Times New Roman" w:cs="Times New Roman"/>
          <w:sz w:val="24"/>
          <w:szCs w:val="24"/>
        </w:rPr>
        <w:footnoteReference w:id="69"/>
      </w:r>
      <w:r w:rsidR="00144686" w:rsidRPr="00A76739">
        <w:rPr>
          <w:rFonts w:ascii="Times New Roman" w:hAnsi="Times New Roman" w:cs="Times New Roman"/>
          <w:sz w:val="24"/>
          <w:szCs w:val="24"/>
        </w:rPr>
        <w:t xml:space="preserve"> </w:t>
      </w:r>
    </w:p>
    <w:p w:rsidR="001C6790"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C6790" w:rsidRPr="00A76739">
        <w:rPr>
          <w:rFonts w:ascii="Times New Roman" w:hAnsi="Times New Roman" w:cs="Times New Roman"/>
          <w:sz w:val="24"/>
          <w:szCs w:val="24"/>
        </w:rPr>
        <w:t>PSE’s sole complaint</w:t>
      </w:r>
      <w:r w:rsidR="00144686" w:rsidRPr="00A76739">
        <w:rPr>
          <w:rFonts w:ascii="Times New Roman" w:eastAsia="Times New Roman" w:hAnsi="Times New Roman" w:cs="Times New Roman"/>
          <w:sz w:val="24"/>
          <w:szCs w:val="24"/>
        </w:rPr>
        <w:t xml:space="preserve"> </w:t>
      </w:r>
      <w:r w:rsidR="004C6BF4" w:rsidRPr="00A76739">
        <w:rPr>
          <w:rFonts w:ascii="Times New Roman" w:eastAsia="Times New Roman" w:hAnsi="Times New Roman" w:cs="Times New Roman"/>
          <w:sz w:val="24"/>
          <w:szCs w:val="24"/>
        </w:rPr>
        <w:t>is</w:t>
      </w:r>
      <w:r w:rsidR="001C6790" w:rsidRPr="00A76739">
        <w:rPr>
          <w:rFonts w:ascii="Times New Roman" w:eastAsia="Times New Roman" w:hAnsi="Times New Roman" w:cs="Times New Roman"/>
          <w:sz w:val="24"/>
          <w:szCs w:val="24"/>
        </w:rPr>
        <w:t xml:space="preserve"> regulatory lag</w:t>
      </w:r>
      <w:r w:rsidR="004C6BF4" w:rsidRPr="00A76739">
        <w:rPr>
          <w:rFonts w:ascii="Times New Roman" w:eastAsia="Times New Roman" w:hAnsi="Times New Roman" w:cs="Times New Roman"/>
          <w:sz w:val="24"/>
          <w:szCs w:val="24"/>
        </w:rPr>
        <w:t xml:space="preserve">:  the requirement </w:t>
      </w:r>
      <w:r w:rsidR="001C6790" w:rsidRPr="00A76739">
        <w:rPr>
          <w:rFonts w:ascii="Times New Roman" w:eastAsia="Times New Roman" w:hAnsi="Times New Roman" w:cs="Times New Roman"/>
          <w:sz w:val="24"/>
          <w:szCs w:val="24"/>
        </w:rPr>
        <w:t xml:space="preserve">of having to wait until the next general rate case to recover costs associated with </w:t>
      </w:r>
      <w:r w:rsidR="00144686" w:rsidRPr="00A76739">
        <w:rPr>
          <w:rFonts w:ascii="Times New Roman" w:eastAsia="Times New Roman" w:hAnsi="Times New Roman" w:cs="Times New Roman"/>
          <w:sz w:val="24"/>
          <w:szCs w:val="24"/>
        </w:rPr>
        <w:t>an</w:t>
      </w:r>
      <w:r w:rsidR="00C8049D">
        <w:rPr>
          <w:rFonts w:ascii="Times New Roman" w:eastAsia="Times New Roman" w:hAnsi="Times New Roman" w:cs="Times New Roman"/>
          <w:sz w:val="24"/>
          <w:szCs w:val="24"/>
        </w:rPr>
        <w:t>y</w:t>
      </w:r>
      <w:r w:rsidR="00144686" w:rsidRPr="00A76739">
        <w:rPr>
          <w:rFonts w:ascii="Times New Roman" w:eastAsia="Times New Roman" w:hAnsi="Times New Roman" w:cs="Times New Roman"/>
          <w:sz w:val="24"/>
          <w:szCs w:val="24"/>
        </w:rPr>
        <w:t xml:space="preserve"> accelerated </w:t>
      </w:r>
      <w:r w:rsidR="004C6BF4" w:rsidRPr="00A76739">
        <w:rPr>
          <w:rFonts w:ascii="Times New Roman" w:eastAsia="Times New Roman" w:hAnsi="Times New Roman" w:cs="Times New Roman"/>
          <w:sz w:val="24"/>
          <w:szCs w:val="24"/>
        </w:rPr>
        <w:t xml:space="preserve">pipeline replacement </w:t>
      </w:r>
      <w:r w:rsidR="001C6790" w:rsidRPr="00A76739">
        <w:rPr>
          <w:rFonts w:ascii="Times New Roman" w:eastAsia="Times New Roman" w:hAnsi="Times New Roman" w:cs="Times New Roman"/>
          <w:sz w:val="24"/>
          <w:szCs w:val="24"/>
        </w:rPr>
        <w:t>program.</w:t>
      </w:r>
      <w:r w:rsidR="004C6BF4">
        <w:rPr>
          <w:rStyle w:val="FootnoteReference"/>
          <w:rFonts w:ascii="Times New Roman" w:eastAsia="Times New Roman" w:hAnsi="Times New Roman" w:cs="Times New Roman"/>
          <w:sz w:val="24"/>
          <w:szCs w:val="24"/>
        </w:rPr>
        <w:footnoteReference w:id="70"/>
      </w:r>
      <w:r w:rsidR="004C6BF4" w:rsidRPr="00A76739">
        <w:rPr>
          <w:rFonts w:ascii="Times New Roman" w:eastAsia="Times New Roman" w:hAnsi="Times New Roman" w:cs="Times New Roman"/>
          <w:sz w:val="24"/>
          <w:szCs w:val="24"/>
        </w:rPr>
        <w:t xml:space="preserve">  However, the Company ignores the fact that not all general rate cases require the full statutory suspensi</w:t>
      </w:r>
      <w:r w:rsidR="004344CC">
        <w:rPr>
          <w:rFonts w:ascii="Times New Roman" w:eastAsia="Times New Roman" w:hAnsi="Times New Roman" w:cs="Times New Roman"/>
          <w:sz w:val="24"/>
          <w:szCs w:val="24"/>
        </w:rPr>
        <w:t>on period</w:t>
      </w:r>
      <w:r w:rsidR="00270BDE" w:rsidRPr="00A76739">
        <w:rPr>
          <w:rFonts w:ascii="Times New Roman" w:eastAsia="Times New Roman" w:hAnsi="Times New Roman" w:cs="Times New Roman"/>
          <w:sz w:val="24"/>
          <w:szCs w:val="24"/>
        </w:rPr>
        <w:t xml:space="preserve">.  In its </w:t>
      </w:r>
      <w:r w:rsidR="004C6BF4" w:rsidRPr="00A76739">
        <w:rPr>
          <w:rFonts w:ascii="Times New Roman" w:eastAsia="Times New Roman" w:hAnsi="Times New Roman" w:cs="Times New Roman"/>
          <w:sz w:val="24"/>
          <w:szCs w:val="24"/>
        </w:rPr>
        <w:t>2010</w:t>
      </w:r>
      <w:r w:rsidR="000B1FC9" w:rsidRPr="00A76739">
        <w:rPr>
          <w:rFonts w:ascii="Times New Roman" w:eastAsia="Times New Roman" w:hAnsi="Times New Roman" w:cs="Times New Roman"/>
          <w:sz w:val="24"/>
          <w:szCs w:val="24"/>
        </w:rPr>
        <w:t xml:space="preserve"> general rate case, the Commission approved a full settlement </w:t>
      </w:r>
      <w:r w:rsidR="00064E0F" w:rsidRPr="00A76739">
        <w:rPr>
          <w:rFonts w:ascii="Times New Roman" w:eastAsia="Times New Roman" w:hAnsi="Times New Roman" w:cs="Times New Roman"/>
          <w:sz w:val="24"/>
          <w:szCs w:val="24"/>
        </w:rPr>
        <w:t>and</w:t>
      </w:r>
      <w:r w:rsidR="004C6BF4" w:rsidRPr="00A76739">
        <w:rPr>
          <w:rFonts w:ascii="Times New Roman" w:eastAsia="Times New Roman" w:hAnsi="Times New Roman" w:cs="Times New Roman"/>
          <w:sz w:val="24"/>
          <w:szCs w:val="24"/>
        </w:rPr>
        <w:t xml:space="preserve"> granted rate relief only 6 months after the case was filed and only 9 months after the test year used in the case.</w:t>
      </w:r>
      <w:r w:rsidR="004C6BF4">
        <w:rPr>
          <w:rStyle w:val="FootnoteReference"/>
          <w:rFonts w:ascii="Times New Roman" w:eastAsia="Times New Roman" w:hAnsi="Times New Roman" w:cs="Times New Roman"/>
          <w:sz w:val="24"/>
          <w:szCs w:val="24"/>
        </w:rPr>
        <w:footnoteReference w:id="71"/>
      </w:r>
      <w:r w:rsidR="004C6BF4" w:rsidRPr="00A76739">
        <w:rPr>
          <w:rFonts w:ascii="Times New Roman" w:eastAsia="Times New Roman" w:hAnsi="Times New Roman" w:cs="Times New Roman"/>
          <w:sz w:val="24"/>
          <w:szCs w:val="24"/>
        </w:rPr>
        <w:t xml:space="preserve">  </w:t>
      </w:r>
      <w:r w:rsidR="00270BDE" w:rsidRPr="00A76739">
        <w:rPr>
          <w:rFonts w:ascii="Times New Roman" w:eastAsia="Times New Roman" w:hAnsi="Times New Roman" w:cs="Times New Roman"/>
          <w:sz w:val="24"/>
          <w:szCs w:val="24"/>
        </w:rPr>
        <w:t>A key driver for</w:t>
      </w:r>
      <w:r w:rsidR="00A00FA6" w:rsidRPr="00A76739">
        <w:rPr>
          <w:rFonts w:ascii="Times New Roman" w:eastAsia="Times New Roman" w:hAnsi="Times New Roman" w:cs="Times New Roman"/>
          <w:sz w:val="24"/>
          <w:szCs w:val="24"/>
        </w:rPr>
        <w:t xml:space="preserve"> </w:t>
      </w:r>
      <w:r w:rsidR="004344CC">
        <w:rPr>
          <w:rFonts w:ascii="Times New Roman" w:eastAsia="Times New Roman" w:hAnsi="Times New Roman" w:cs="Times New Roman"/>
          <w:sz w:val="24"/>
          <w:szCs w:val="24"/>
        </w:rPr>
        <w:t xml:space="preserve">that rate relief was </w:t>
      </w:r>
      <w:r w:rsidR="00A00FA6" w:rsidRPr="00A76739">
        <w:rPr>
          <w:rFonts w:ascii="Times New Roman" w:eastAsia="Times New Roman" w:hAnsi="Times New Roman" w:cs="Times New Roman"/>
          <w:sz w:val="24"/>
          <w:szCs w:val="24"/>
        </w:rPr>
        <w:t xml:space="preserve">continued high levels of capital funding to meet significant </w:t>
      </w:r>
      <w:r w:rsidR="00064E0F" w:rsidRPr="00A76739">
        <w:rPr>
          <w:rFonts w:ascii="Times New Roman" w:eastAsia="Times New Roman" w:hAnsi="Times New Roman" w:cs="Times New Roman"/>
          <w:sz w:val="24"/>
          <w:szCs w:val="24"/>
        </w:rPr>
        <w:t xml:space="preserve">pipeline </w:t>
      </w:r>
      <w:r w:rsidR="00A00FA6" w:rsidRPr="00A76739">
        <w:rPr>
          <w:rFonts w:ascii="Times New Roman" w:eastAsia="Times New Roman" w:hAnsi="Times New Roman" w:cs="Times New Roman"/>
          <w:sz w:val="24"/>
          <w:szCs w:val="24"/>
        </w:rPr>
        <w:t>infrastructure investments.</w:t>
      </w:r>
      <w:r w:rsidR="00A00FA6">
        <w:rPr>
          <w:rStyle w:val="FootnoteReference"/>
          <w:rFonts w:ascii="Times New Roman" w:eastAsia="Times New Roman" w:hAnsi="Times New Roman" w:cs="Times New Roman"/>
          <w:sz w:val="24"/>
          <w:szCs w:val="24"/>
        </w:rPr>
        <w:footnoteReference w:id="72"/>
      </w:r>
    </w:p>
    <w:p w:rsidR="00966B6B"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00FA6" w:rsidRPr="00A76739">
        <w:rPr>
          <w:rFonts w:ascii="Times New Roman" w:hAnsi="Times New Roman" w:cs="Times New Roman"/>
          <w:sz w:val="24"/>
          <w:szCs w:val="24"/>
        </w:rPr>
        <w:t xml:space="preserve">Moreover, the Commission has held that regulatory lag </w:t>
      </w:r>
      <w:r w:rsidR="00CC4FB2" w:rsidRPr="00A76739">
        <w:rPr>
          <w:rFonts w:ascii="Times New Roman" w:hAnsi="Times New Roman" w:cs="Times New Roman"/>
          <w:sz w:val="24"/>
          <w:szCs w:val="24"/>
        </w:rPr>
        <w:t xml:space="preserve">is a self-regulating mechanism </w:t>
      </w:r>
      <w:r w:rsidR="00270BDE" w:rsidRPr="00A76739">
        <w:rPr>
          <w:rFonts w:ascii="Times New Roman" w:hAnsi="Times New Roman" w:cs="Times New Roman"/>
          <w:sz w:val="24"/>
          <w:szCs w:val="24"/>
        </w:rPr>
        <w:t>inherent in</w:t>
      </w:r>
      <w:r w:rsidR="00F36924" w:rsidRPr="00A76739">
        <w:rPr>
          <w:rFonts w:ascii="Times New Roman" w:hAnsi="Times New Roman" w:cs="Times New Roman"/>
          <w:sz w:val="24"/>
          <w:szCs w:val="24"/>
        </w:rPr>
        <w:t xml:space="preserve"> historical test year ratemaking </w:t>
      </w:r>
      <w:r w:rsidR="00CC4FB2" w:rsidRPr="00A76739">
        <w:rPr>
          <w:rFonts w:ascii="Times New Roman" w:hAnsi="Times New Roman" w:cs="Times New Roman"/>
          <w:sz w:val="24"/>
          <w:szCs w:val="24"/>
        </w:rPr>
        <w:t xml:space="preserve">that </w:t>
      </w:r>
      <w:r w:rsidR="00A00FA6" w:rsidRPr="00A76739">
        <w:rPr>
          <w:rFonts w:ascii="Times New Roman" w:hAnsi="Times New Roman" w:cs="Times New Roman"/>
          <w:sz w:val="24"/>
          <w:szCs w:val="24"/>
        </w:rPr>
        <w:t xml:space="preserve">creates </w:t>
      </w:r>
      <w:r w:rsidR="00CC4FB2" w:rsidRPr="00A76739">
        <w:rPr>
          <w:rFonts w:ascii="Times New Roman" w:hAnsi="Times New Roman" w:cs="Times New Roman"/>
          <w:sz w:val="24"/>
          <w:szCs w:val="24"/>
        </w:rPr>
        <w:t xml:space="preserve">the proper </w:t>
      </w:r>
      <w:r w:rsidR="00A00FA6" w:rsidRPr="00A76739">
        <w:rPr>
          <w:rFonts w:ascii="Times New Roman" w:hAnsi="Times New Roman" w:cs="Times New Roman"/>
          <w:sz w:val="24"/>
          <w:szCs w:val="24"/>
        </w:rPr>
        <w:t>incentive</w:t>
      </w:r>
      <w:r w:rsidR="0091340D" w:rsidRPr="00A76739">
        <w:rPr>
          <w:rFonts w:ascii="Times New Roman" w:hAnsi="Times New Roman" w:cs="Times New Roman"/>
          <w:sz w:val="24"/>
          <w:szCs w:val="24"/>
        </w:rPr>
        <w:t xml:space="preserve">s for </w:t>
      </w:r>
      <w:r w:rsidR="00477D9B" w:rsidRPr="00A76739">
        <w:rPr>
          <w:rFonts w:ascii="Times New Roman" w:hAnsi="Times New Roman" w:cs="Times New Roman"/>
          <w:sz w:val="24"/>
          <w:szCs w:val="24"/>
        </w:rPr>
        <w:lastRenderedPageBreak/>
        <w:t xml:space="preserve">an </w:t>
      </w:r>
      <w:r w:rsidR="0091340D" w:rsidRPr="00A76739">
        <w:rPr>
          <w:rFonts w:ascii="Times New Roman" w:hAnsi="Times New Roman" w:cs="Times New Roman"/>
          <w:sz w:val="24"/>
          <w:szCs w:val="24"/>
        </w:rPr>
        <w:t>efficient and effective management</w:t>
      </w:r>
      <w:r w:rsidR="00A00FA6" w:rsidRPr="00A76739">
        <w:rPr>
          <w:rFonts w:ascii="Times New Roman" w:hAnsi="Times New Roman" w:cs="Times New Roman"/>
          <w:sz w:val="24"/>
          <w:szCs w:val="24"/>
        </w:rPr>
        <w:t>.</w:t>
      </w:r>
      <w:r w:rsidR="00A00FA6">
        <w:rPr>
          <w:rStyle w:val="FootnoteReference"/>
          <w:rFonts w:ascii="Times New Roman" w:hAnsi="Times New Roman" w:cs="Times New Roman"/>
          <w:sz w:val="24"/>
          <w:szCs w:val="24"/>
        </w:rPr>
        <w:footnoteReference w:id="73"/>
      </w:r>
      <w:r w:rsidR="00CC4FB2" w:rsidRPr="00A76739">
        <w:rPr>
          <w:rFonts w:ascii="Times New Roman" w:hAnsi="Times New Roman" w:cs="Times New Roman"/>
          <w:sz w:val="24"/>
          <w:szCs w:val="24"/>
        </w:rPr>
        <w:t xml:space="preserve">  </w:t>
      </w:r>
      <w:r w:rsidR="0091340D" w:rsidRPr="00A76739">
        <w:rPr>
          <w:rFonts w:ascii="Times New Roman" w:hAnsi="Times New Roman" w:cs="Times New Roman"/>
          <w:sz w:val="24"/>
          <w:szCs w:val="24"/>
        </w:rPr>
        <w:t xml:space="preserve"> </w:t>
      </w:r>
      <w:r w:rsidR="00CC4FB2" w:rsidRPr="00A76739">
        <w:rPr>
          <w:rFonts w:ascii="Times New Roman" w:hAnsi="Times New Roman" w:cs="Times New Roman"/>
          <w:sz w:val="24"/>
          <w:szCs w:val="24"/>
        </w:rPr>
        <w:t>The Company state</w:t>
      </w:r>
      <w:r w:rsidR="00A00FA6" w:rsidRPr="00A76739">
        <w:rPr>
          <w:rFonts w:ascii="Times New Roman" w:hAnsi="Times New Roman" w:cs="Times New Roman"/>
          <w:sz w:val="24"/>
          <w:szCs w:val="24"/>
        </w:rPr>
        <w:t xml:space="preserve">s that </w:t>
      </w:r>
      <w:r w:rsidR="003F54DB" w:rsidRPr="00A76739">
        <w:rPr>
          <w:rFonts w:ascii="Times New Roman" w:hAnsi="Times New Roman" w:cs="Times New Roman"/>
          <w:sz w:val="24"/>
          <w:szCs w:val="24"/>
        </w:rPr>
        <w:t xml:space="preserve">it always has and always will </w:t>
      </w:r>
      <w:r w:rsidR="00367C06" w:rsidRPr="00A76739">
        <w:rPr>
          <w:rFonts w:ascii="Times New Roman" w:hAnsi="Times New Roman" w:cs="Times New Roman"/>
          <w:sz w:val="24"/>
          <w:szCs w:val="24"/>
        </w:rPr>
        <w:t>have sole</w:t>
      </w:r>
      <w:r w:rsidR="003F54DB" w:rsidRPr="00A76739">
        <w:rPr>
          <w:rFonts w:ascii="Times New Roman" w:hAnsi="Times New Roman" w:cs="Times New Roman"/>
          <w:sz w:val="24"/>
          <w:szCs w:val="24"/>
        </w:rPr>
        <w:t xml:space="preserve"> </w:t>
      </w:r>
      <w:r w:rsidR="00D12885" w:rsidRPr="00A76739">
        <w:rPr>
          <w:rFonts w:ascii="Times New Roman" w:hAnsi="Times New Roman" w:cs="Times New Roman"/>
          <w:sz w:val="24"/>
          <w:szCs w:val="24"/>
        </w:rPr>
        <w:t xml:space="preserve">responsibility </w:t>
      </w:r>
      <w:r w:rsidR="003F54DB" w:rsidRPr="00A76739">
        <w:rPr>
          <w:rFonts w:ascii="Times New Roman" w:hAnsi="Times New Roman" w:cs="Times New Roman"/>
          <w:sz w:val="24"/>
          <w:szCs w:val="24"/>
        </w:rPr>
        <w:t>for the operation and safety of its pipeline system.</w:t>
      </w:r>
      <w:r w:rsidR="003F54DB">
        <w:rPr>
          <w:rStyle w:val="FootnoteReference"/>
          <w:rFonts w:ascii="Times New Roman" w:hAnsi="Times New Roman" w:cs="Times New Roman"/>
          <w:sz w:val="24"/>
          <w:szCs w:val="24"/>
        </w:rPr>
        <w:footnoteReference w:id="74"/>
      </w:r>
      <w:r w:rsidR="003F54DB" w:rsidRPr="00A76739">
        <w:rPr>
          <w:rFonts w:ascii="Times New Roman" w:hAnsi="Times New Roman" w:cs="Times New Roman"/>
          <w:sz w:val="24"/>
          <w:szCs w:val="24"/>
        </w:rPr>
        <w:t xml:space="preserve">  </w:t>
      </w:r>
      <w:r w:rsidR="00144686" w:rsidRPr="00A76739">
        <w:rPr>
          <w:rFonts w:ascii="Times New Roman" w:hAnsi="Times New Roman" w:cs="Times New Roman"/>
          <w:sz w:val="24"/>
          <w:szCs w:val="24"/>
        </w:rPr>
        <w:t xml:space="preserve">Commission rejection of the </w:t>
      </w:r>
      <w:r w:rsidR="00270BDE" w:rsidRPr="00A76739">
        <w:rPr>
          <w:rFonts w:ascii="Times New Roman" w:hAnsi="Times New Roman" w:cs="Times New Roman"/>
          <w:sz w:val="24"/>
          <w:szCs w:val="24"/>
        </w:rPr>
        <w:t xml:space="preserve">surcharge </w:t>
      </w:r>
      <w:r w:rsidR="003F54DB" w:rsidRPr="00A76739">
        <w:rPr>
          <w:rFonts w:ascii="Times New Roman" w:hAnsi="Times New Roman" w:cs="Times New Roman"/>
          <w:sz w:val="24"/>
          <w:szCs w:val="24"/>
        </w:rPr>
        <w:t>will hold the Company to that responsibility.</w:t>
      </w:r>
    </w:p>
    <w:p w:rsidR="00DE5197" w:rsidRPr="00750D67" w:rsidRDefault="00750D67" w:rsidP="0067553A">
      <w:pPr>
        <w:spacing w:after="0" w:line="240" w:lineRule="auto"/>
        <w:ind w:left="2160" w:hanging="720"/>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707233" w:rsidRPr="00750D67">
        <w:rPr>
          <w:rFonts w:ascii="Times New Roman" w:hAnsi="Times New Roman" w:cs="Times New Roman"/>
          <w:b/>
          <w:sz w:val="24"/>
          <w:szCs w:val="24"/>
        </w:rPr>
        <w:t>The Company Has the Financial Ability to Fund an Accelerated Pipeline Rep</w:t>
      </w:r>
      <w:r w:rsidR="00562921" w:rsidRPr="00750D67">
        <w:rPr>
          <w:rFonts w:ascii="Times New Roman" w:hAnsi="Times New Roman" w:cs="Times New Roman"/>
          <w:b/>
          <w:sz w:val="24"/>
          <w:szCs w:val="24"/>
        </w:rPr>
        <w:t>lacement Program Without the New Surcharge</w:t>
      </w:r>
    </w:p>
    <w:p w:rsidR="00707233" w:rsidRPr="00A76739" w:rsidRDefault="00707233" w:rsidP="00A76739">
      <w:pPr>
        <w:spacing w:after="0" w:line="240" w:lineRule="auto"/>
        <w:rPr>
          <w:rFonts w:ascii="Times New Roman" w:hAnsi="Times New Roman" w:cs="Times New Roman"/>
          <w:b/>
          <w:sz w:val="24"/>
          <w:szCs w:val="24"/>
        </w:rPr>
      </w:pPr>
    </w:p>
    <w:p w:rsidR="00707233"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42088" w:rsidRPr="00A76739">
        <w:rPr>
          <w:rFonts w:ascii="Times New Roman" w:hAnsi="Times New Roman" w:cs="Times New Roman"/>
          <w:sz w:val="24"/>
          <w:szCs w:val="24"/>
        </w:rPr>
        <w:t>The</w:t>
      </w:r>
      <w:r w:rsidR="00367C06" w:rsidRPr="00A76739">
        <w:rPr>
          <w:rFonts w:ascii="Times New Roman" w:hAnsi="Times New Roman" w:cs="Times New Roman"/>
          <w:sz w:val="24"/>
          <w:szCs w:val="24"/>
        </w:rPr>
        <w:t xml:space="preserve"> record shows that the Company has the financial wherewithal </w:t>
      </w:r>
      <w:r w:rsidR="00144686" w:rsidRPr="00A76739">
        <w:rPr>
          <w:rFonts w:ascii="Times New Roman" w:hAnsi="Times New Roman" w:cs="Times New Roman"/>
          <w:sz w:val="24"/>
          <w:szCs w:val="24"/>
        </w:rPr>
        <w:t xml:space="preserve">to </w:t>
      </w:r>
      <w:r w:rsidR="001A2A02" w:rsidRPr="00A76739">
        <w:rPr>
          <w:rFonts w:ascii="Times New Roman" w:hAnsi="Times New Roman" w:cs="Times New Roman"/>
          <w:sz w:val="24"/>
          <w:szCs w:val="24"/>
        </w:rPr>
        <w:t>fund an accelerated pipeline</w:t>
      </w:r>
      <w:r w:rsidR="002F6C33" w:rsidRPr="00A76739">
        <w:rPr>
          <w:rFonts w:ascii="Times New Roman" w:hAnsi="Times New Roman" w:cs="Times New Roman"/>
          <w:sz w:val="24"/>
          <w:szCs w:val="24"/>
        </w:rPr>
        <w:t xml:space="preserve"> replacement program</w:t>
      </w:r>
      <w:r w:rsidR="00064E0F" w:rsidRPr="00A76739">
        <w:rPr>
          <w:rFonts w:ascii="Times New Roman" w:hAnsi="Times New Roman" w:cs="Times New Roman"/>
          <w:sz w:val="24"/>
          <w:szCs w:val="24"/>
        </w:rPr>
        <w:t xml:space="preserve"> even without the new </w:t>
      </w:r>
      <w:r w:rsidR="00367C06" w:rsidRPr="00A76739">
        <w:rPr>
          <w:rFonts w:ascii="Times New Roman" w:hAnsi="Times New Roman" w:cs="Times New Roman"/>
          <w:sz w:val="24"/>
          <w:szCs w:val="24"/>
        </w:rPr>
        <w:t>surcharge</w:t>
      </w:r>
      <w:r w:rsidR="002F6C33" w:rsidRPr="00A76739">
        <w:rPr>
          <w:rFonts w:ascii="Times New Roman" w:hAnsi="Times New Roman" w:cs="Times New Roman"/>
          <w:sz w:val="24"/>
          <w:szCs w:val="24"/>
        </w:rPr>
        <w:t>.  T</w:t>
      </w:r>
      <w:r w:rsidR="001A2A02" w:rsidRPr="00A76739">
        <w:rPr>
          <w:rFonts w:ascii="Times New Roman" w:hAnsi="Times New Roman" w:cs="Times New Roman"/>
          <w:sz w:val="24"/>
          <w:szCs w:val="24"/>
        </w:rPr>
        <w:t>he Company’s</w:t>
      </w:r>
      <w:r w:rsidR="00A17D0D" w:rsidRPr="00A76739">
        <w:rPr>
          <w:rFonts w:ascii="Times New Roman" w:hAnsi="Times New Roman" w:cs="Times New Roman"/>
          <w:sz w:val="24"/>
          <w:szCs w:val="24"/>
        </w:rPr>
        <w:t xml:space="preserve"> investment in pipeline replacement has increased over th</w:t>
      </w:r>
      <w:r w:rsidR="00064E0F" w:rsidRPr="00A76739">
        <w:rPr>
          <w:rFonts w:ascii="Times New Roman" w:hAnsi="Times New Roman" w:cs="Times New Roman"/>
          <w:sz w:val="24"/>
          <w:szCs w:val="24"/>
        </w:rPr>
        <w:t>e last decade without accelerated cost recovery</w:t>
      </w:r>
      <w:r w:rsidR="001A2A02" w:rsidRPr="00A76739">
        <w:rPr>
          <w:rFonts w:ascii="Times New Roman" w:hAnsi="Times New Roman" w:cs="Times New Roman"/>
          <w:sz w:val="24"/>
          <w:szCs w:val="24"/>
        </w:rPr>
        <w:t xml:space="preserve"> and is expected to continue </w:t>
      </w:r>
      <w:r w:rsidR="00285BE2" w:rsidRPr="00A76739">
        <w:rPr>
          <w:rFonts w:ascii="Times New Roman" w:hAnsi="Times New Roman" w:cs="Times New Roman"/>
          <w:sz w:val="24"/>
          <w:szCs w:val="24"/>
        </w:rPr>
        <w:t xml:space="preserve">to increase </w:t>
      </w:r>
      <w:r w:rsidR="001A2A02" w:rsidRPr="00A76739">
        <w:rPr>
          <w:rFonts w:ascii="Times New Roman" w:hAnsi="Times New Roman" w:cs="Times New Roman"/>
          <w:sz w:val="24"/>
          <w:szCs w:val="24"/>
        </w:rPr>
        <w:t xml:space="preserve">without </w:t>
      </w:r>
      <w:r w:rsidR="00064E0F" w:rsidRPr="00A76739">
        <w:rPr>
          <w:rFonts w:ascii="Times New Roman" w:hAnsi="Times New Roman" w:cs="Times New Roman"/>
          <w:sz w:val="24"/>
          <w:szCs w:val="24"/>
        </w:rPr>
        <w:t>accelerated cost recovery.</w:t>
      </w:r>
      <w:r w:rsidR="00A17D0D">
        <w:rPr>
          <w:rStyle w:val="FootnoteReference"/>
          <w:rFonts w:ascii="Times New Roman" w:hAnsi="Times New Roman" w:cs="Times New Roman"/>
          <w:sz w:val="24"/>
          <w:szCs w:val="24"/>
        </w:rPr>
        <w:footnoteReference w:id="75"/>
      </w:r>
      <w:r w:rsidR="001A2A02" w:rsidRPr="00A76739">
        <w:rPr>
          <w:rFonts w:ascii="Times New Roman" w:hAnsi="Times New Roman" w:cs="Times New Roman"/>
          <w:sz w:val="24"/>
          <w:szCs w:val="24"/>
        </w:rPr>
        <w:t xml:space="preserve">  PSE has spent </w:t>
      </w:r>
      <w:r w:rsidR="00242088" w:rsidRPr="00A76739">
        <w:rPr>
          <w:rFonts w:ascii="Times New Roman" w:hAnsi="Times New Roman" w:cs="Times New Roman"/>
          <w:sz w:val="24"/>
          <w:szCs w:val="24"/>
        </w:rPr>
        <w:t xml:space="preserve">at least $28 </w:t>
      </w:r>
      <w:r w:rsidR="001A2A02" w:rsidRPr="00A76739">
        <w:rPr>
          <w:rFonts w:ascii="Times New Roman" w:hAnsi="Times New Roman" w:cs="Times New Roman"/>
          <w:sz w:val="24"/>
          <w:szCs w:val="24"/>
        </w:rPr>
        <w:t xml:space="preserve">million </w:t>
      </w:r>
      <w:r w:rsidR="00242088" w:rsidRPr="00A76739">
        <w:rPr>
          <w:rFonts w:ascii="Times New Roman" w:hAnsi="Times New Roman" w:cs="Times New Roman"/>
          <w:sz w:val="24"/>
          <w:szCs w:val="24"/>
        </w:rPr>
        <w:t>beginning in 2008.  The Company’s current investment plans call for spending of $34 million in 2011 and greater amounts in later years.</w:t>
      </w:r>
      <w:r w:rsidR="00261C36" w:rsidRPr="00A76739">
        <w:rPr>
          <w:rFonts w:ascii="Times New Roman" w:hAnsi="Times New Roman" w:cs="Times New Roman"/>
          <w:sz w:val="24"/>
          <w:szCs w:val="24"/>
        </w:rPr>
        <w:t xml:space="preserve">  </w:t>
      </w:r>
    </w:p>
    <w:p w:rsidR="00242088"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25029">
        <w:rPr>
          <w:rFonts w:ascii="Times New Roman" w:hAnsi="Times New Roman" w:cs="Times New Roman"/>
          <w:sz w:val="24"/>
          <w:szCs w:val="24"/>
        </w:rPr>
        <w:t xml:space="preserve">PSE </w:t>
      </w:r>
      <w:r w:rsidR="00242088" w:rsidRPr="00A76739">
        <w:rPr>
          <w:rFonts w:ascii="Times New Roman" w:hAnsi="Times New Roman" w:cs="Times New Roman"/>
          <w:sz w:val="24"/>
          <w:szCs w:val="24"/>
        </w:rPr>
        <w:t xml:space="preserve">does not dispute </w:t>
      </w:r>
      <w:r w:rsidR="001A2A02" w:rsidRPr="00A76739">
        <w:rPr>
          <w:rFonts w:ascii="Times New Roman" w:hAnsi="Times New Roman" w:cs="Times New Roman"/>
          <w:sz w:val="24"/>
          <w:szCs w:val="24"/>
        </w:rPr>
        <w:t xml:space="preserve">that it is financially </w:t>
      </w:r>
      <w:r w:rsidR="00242088" w:rsidRPr="00A76739">
        <w:rPr>
          <w:rFonts w:ascii="Times New Roman" w:hAnsi="Times New Roman" w:cs="Times New Roman"/>
          <w:sz w:val="24"/>
          <w:szCs w:val="24"/>
        </w:rPr>
        <w:t>able to accelerate the replacement of targeted</w:t>
      </w:r>
      <w:r w:rsidR="00064E0F" w:rsidRPr="00A76739">
        <w:rPr>
          <w:rFonts w:ascii="Times New Roman" w:hAnsi="Times New Roman" w:cs="Times New Roman"/>
          <w:sz w:val="24"/>
          <w:szCs w:val="24"/>
        </w:rPr>
        <w:t xml:space="preserve"> pipeline without the new </w:t>
      </w:r>
      <w:r w:rsidR="00242088" w:rsidRPr="00A76739">
        <w:rPr>
          <w:rFonts w:ascii="Times New Roman" w:hAnsi="Times New Roman" w:cs="Times New Roman"/>
          <w:sz w:val="24"/>
          <w:szCs w:val="24"/>
        </w:rPr>
        <w:t>surcharge.  PSE argue</w:t>
      </w:r>
      <w:r w:rsidR="001A2A02" w:rsidRPr="00A76739">
        <w:rPr>
          <w:rFonts w:ascii="Times New Roman" w:hAnsi="Times New Roman" w:cs="Times New Roman"/>
          <w:sz w:val="24"/>
          <w:szCs w:val="24"/>
        </w:rPr>
        <w:t xml:space="preserve">s, instead, that </w:t>
      </w:r>
      <w:r w:rsidR="00A25029">
        <w:rPr>
          <w:rFonts w:ascii="Times New Roman" w:hAnsi="Times New Roman" w:cs="Times New Roman"/>
          <w:sz w:val="24"/>
          <w:szCs w:val="24"/>
        </w:rPr>
        <w:t>a majority of</w:t>
      </w:r>
      <w:r w:rsidR="002260D1" w:rsidRPr="00A76739">
        <w:rPr>
          <w:rFonts w:ascii="Times New Roman" w:hAnsi="Times New Roman" w:cs="Times New Roman"/>
          <w:sz w:val="24"/>
          <w:szCs w:val="24"/>
        </w:rPr>
        <w:t xml:space="preserve"> actual and budgeted spending has been devoted to the bare steel replacement program.</w:t>
      </w:r>
      <w:r w:rsidR="002260D1">
        <w:rPr>
          <w:rStyle w:val="FootnoteReference"/>
          <w:rFonts w:ascii="Times New Roman" w:hAnsi="Times New Roman" w:cs="Times New Roman"/>
          <w:sz w:val="24"/>
          <w:szCs w:val="24"/>
        </w:rPr>
        <w:footnoteReference w:id="76"/>
      </w:r>
      <w:r w:rsidR="002260D1" w:rsidRPr="00A76739">
        <w:rPr>
          <w:rFonts w:ascii="Times New Roman" w:hAnsi="Times New Roman" w:cs="Times New Roman"/>
          <w:sz w:val="24"/>
          <w:szCs w:val="24"/>
        </w:rPr>
        <w:t xml:space="preserve">  T</w:t>
      </w:r>
      <w:r w:rsidR="001A2A02" w:rsidRPr="00A76739">
        <w:rPr>
          <w:rFonts w:ascii="Times New Roman" w:hAnsi="Times New Roman" w:cs="Times New Roman"/>
          <w:sz w:val="24"/>
          <w:szCs w:val="24"/>
        </w:rPr>
        <w:t>he</w:t>
      </w:r>
      <w:r w:rsidR="002260D1" w:rsidRPr="00A76739">
        <w:rPr>
          <w:rFonts w:ascii="Times New Roman" w:hAnsi="Times New Roman" w:cs="Times New Roman"/>
          <w:sz w:val="24"/>
          <w:szCs w:val="24"/>
        </w:rPr>
        <w:t>refore, according to PSE, the</w:t>
      </w:r>
      <w:r w:rsidR="001A2A02" w:rsidRPr="00A76739">
        <w:rPr>
          <w:rFonts w:ascii="Times New Roman" w:hAnsi="Times New Roman" w:cs="Times New Roman"/>
          <w:sz w:val="24"/>
          <w:szCs w:val="24"/>
        </w:rPr>
        <w:t xml:space="preserve"> surcharge will </w:t>
      </w:r>
      <w:r w:rsidR="00CA2DC8" w:rsidRPr="00A76739">
        <w:rPr>
          <w:rFonts w:ascii="Times New Roman" w:hAnsi="Times New Roman" w:cs="Times New Roman"/>
          <w:sz w:val="24"/>
          <w:szCs w:val="24"/>
        </w:rPr>
        <w:t xml:space="preserve">“remove barriers” by </w:t>
      </w:r>
      <w:r w:rsidR="001A2A02" w:rsidRPr="00A76739">
        <w:rPr>
          <w:rFonts w:ascii="Times New Roman" w:hAnsi="Times New Roman" w:cs="Times New Roman"/>
          <w:sz w:val="24"/>
          <w:szCs w:val="24"/>
        </w:rPr>
        <w:t>allow</w:t>
      </w:r>
      <w:r w:rsidR="00CA2DC8" w:rsidRPr="00A76739">
        <w:rPr>
          <w:rFonts w:ascii="Times New Roman" w:hAnsi="Times New Roman" w:cs="Times New Roman"/>
          <w:sz w:val="24"/>
          <w:szCs w:val="24"/>
        </w:rPr>
        <w:t xml:space="preserve">ing the Company to accelerate </w:t>
      </w:r>
      <w:r w:rsidR="00A25029">
        <w:rPr>
          <w:rFonts w:ascii="Times New Roman" w:hAnsi="Times New Roman" w:cs="Times New Roman"/>
          <w:sz w:val="24"/>
          <w:szCs w:val="24"/>
        </w:rPr>
        <w:t xml:space="preserve">the replacement of other </w:t>
      </w:r>
      <w:r w:rsidR="001A2A02" w:rsidRPr="00A76739">
        <w:rPr>
          <w:rFonts w:ascii="Times New Roman" w:hAnsi="Times New Roman" w:cs="Times New Roman"/>
          <w:sz w:val="24"/>
          <w:szCs w:val="24"/>
        </w:rPr>
        <w:t xml:space="preserve">pipeline </w:t>
      </w:r>
      <w:r w:rsidR="0020250F" w:rsidRPr="00A76739">
        <w:rPr>
          <w:rFonts w:ascii="Times New Roman" w:hAnsi="Times New Roman" w:cs="Times New Roman"/>
          <w:sz w:val="24"/>
          <w:szCs w:val="24"/>
        </w:rPr>
        <w:t xml:space="preserve">beyond current plans </w:t>
      </w:r>
      <w:r w:rsidR="001A2A02" w:rsidRPr="00A76739">
        <w:rPr>
          <w:rFonts w:ascii="Times New Roman" w:hAnsi="Times New Roman" w:cs="Times New Roman"/>
          <w:sz w:val="24"/>
          <w:szCs w:val="24"/>
        </w:rPr>
        <w:t>without those efforts having to compete in the Company’s overall capital investment budgeting process.</w:t>
      </w:r>
      <w:r w:rsidR="002260D1">
        <w:rPr>
          <w:rStyle w:val="FootnoteReference"/>
          <w:rFonts w:ascii="Times New Roman" w:hAnsi="Times New Roman" w:cs="Times New Roman"/>
          <w:sz w:val="24"/>
          <w:szCs w:val="24"/>
        </w:rPr>
        <w:footnoteReference w:id="77"/>
      </w:r>
      <w:r w:rsidR="001A2A02" w:rsidRPr="00A76739">
        <w:rPr>
          <w:rFonts w:ascii="Times New Roman" w:hAnsi="Times New Roman" w:cs="Times New Roman"/>
          <w:sz w:val="24"/>
          <w:szCs w:val="24"/>
        </w:rPr>
        <w:t xml:space="preserve"> </w:t>
      </w:r>
    </w:p>
    <w:p w:rsidR="000F3D22"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A2DC8" w:rsidRPr="00A76739">
        <w:rPr>
          <w:rFonts w:ascii="Times New Roman" w:hAnsi="Times New Roman" w:cs="Times New Roman"/>
          <w:sz w:val="24"/>
          <w:szCs w:val="24"/>
        </w:rPr>
        <w:t xml:space="preserve">However, </w:t>
      </w:r>
      <w:r w:rsidR="000F3D22" w:rsidRPr="00A76739">
        <w:rPr>
          <w:rFonts w:ascii="Times New Roman" w:hAnsi="Times New Roman" w:cs="Times New Roman"/>
          <w:sz w:val="24"/>
          <w:szCs w:val="24"/>
        </w:rPr>
        <w:t xml:space="preserve">the bare steel replacement program will be completed in 2014.  This will </w:t>
      </w:r>
      <w:r w:rsidR="00A25029">
        <w:rPr>
          <w:rFonts w:ascii="Times New Roman" w:hAnsi="Times New Roman" w:cs="Times New Roman"/>
          <w:sz w:val="24"/>
          <w:szCs w:val="24"/>
        </w:rPr>
        <w:t xml:space="preserve">free up a significant </w:t>
      </w:r>
      <w:r w:rsidR="000F3D22" w:rsidRPr="00A76739">
        <w:rPr>
          <w:rFonts w:ascii="Times New Roman" w:hAnsi="Times New Roman" w:cs="Times New Roman"/>
          <w:sz w:val="24"/>
          <w:szCs w:val="24"/>
        </w:rPr>
        <w:t>funding that can be devo</w:t>
      </w:r>
      <w:r w:rsidR="001A4C74" w:rsidRPr="00A76739">
        <w:rPr>
          <w:rFonts w:ascii="Times New Roman" w:hAnsi="Times New Roman" w:cs="Times New Roman"/>
          <w:sz w:val="24"/>
          <w:szCs w:val="24"/>
        </w:rPr>
        <w:t xml:space="preserve">ted to the replacement of the </w:t>
      </w:r>
      <w:r w:rsidR="000F3D22" w:rsidRPr="00A76739">
        <w:rPr>
          <w:rFonts w:ascii="Times New Roman" w:hAnsi="Times New Roman" w:cs="Times New Roman"/>
          <w:sz w:val="24"/>
          <w:szCs w:val="24"/>
        </w:rPr>
        <w:t>categories of pipeline</w:t>
      </w:r>
      <w:r w:rsidR="00064E0F" w:rsidRPr="00A76739">
        <w:rPr>
          <w:rFonts w:ascii="Times New Roman" w:hAnsi="Times New Roman" w:cs="Times New Roman"/>
          <w:sz w:val="24"/>
          <w:szCs w:val="24"/>
        </w:rPr>
        <w:t xml:space="preserve"> that would be targeted by the proposed </w:t>
      </w:r>
      <w:r w:rsidR="001A4C74" w:rsidRPr="00A76739">
        <w:rPr>
          <w:rFonts w:ascii="Times New Roman" w:hAnsi="Times New Roman" w:cs="Times New Roman"/>
          <w:sz w:val="24"/>
          <w:szCs w:val="24"/>
        </w:rPr>
        <w:t>surcharge</w:t>
      </w:r>
      <w:r w:rsidR="000F3D22" w:rsidRPr="00A76739">
        <w:rPr>
          <w:rFonts w:ascii="Times New Roman" w:hAnsi="Times New Roman" w:cs="Times New Roman"/>
          <w:sz w:val="24"/>
          <w:szCs w:val="24"/>
        </w:rPr>
        <w:t>.</w:t>
      </w:r>
    </w:p>
    <w:p w:rsidR="001E0E29"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F3D22" w:rsidRPr="00A76739">
        <w:rPr>
          <w:rFonts w:ascii="Times New Roman" w:hAnsi="Times New Roman" w:cs="Times New Roman"/>
          <w:sz w:val="24"/>
          <w:szCs w:val="24"/>
        </w:rPr>
        <w:t xml:space="preserve">Moreover, </w:t>
      </w:r>
      <w:r w:rsidR="00CA2DC8" w:rsidRPr="00A76739">
        <w:rPr>
          <w:rFonts w:ascii="Times New Roman" w:hAnsi="Times New Roman" w:cs="Times New Roman"/>
          <w:sz w:val="24"/>
          <w:szCs w:val="24"/>
        </w:rPr>
        <w:t xml:space="preserve">the </w:t>
      </w:r>
      <w:r w:rsidR="0020250F" w:rsidRPr="00A76739">
        <w:rPr>
          <w:rFonts w:ascii="Times New Roman" w:hAnsi="Times New Roman" w:cs="Times New Roman"/>
          <w:sz w:val="24"/>
          <w:szCs w:val="24"/>
        </w:rPr>
        <w:t xml:space="preserve">accelerated </w:t>
      </w:r>
      <w:r w:rsidR="00CA2DC8" w:rsidRPr="00A76739">
        <w:rPr>
          <w:rFonts w:ascii="Times New Roman" w:hAnsi="Times New Roman" w:cs="Times New Roman"/>
          <w:sz w:val="24"/>
          <w:szCs w:val="24"/>
        </w:rPr>
        <w:t xml:space="preserve">pipeline replacement </w:t>
      </w:r>
      <w:r w:rsidR="00261C36" w:rsidRPr="00A76739">
        <w:rPr>
          <w:rFonts w:ascii="Times New Roman" w:hAnsi="Times New Roman" w:cs="Times New Roman"/>
          <w:sz w:val="24"/>
          <w:szCs w:val="24"/>
        </w:rPr>
        <w:t xml:space="preserve">program </w:t>
      </w:r>
      <w:r w:rsidR="0020250F" w:rsidRPr="00A76739">
        <w:rPr>
          <w:rFonts w:ascii="Times New Roman" w:hAnsi="Times New Roman" w:cs="Times New Roman"/>
          <w:sz w:val="24"/>
          <w:szCs w:val="24"/>
        </w:rPr>
        <w:t xml:space="preserve">envisioned by the PSE </w:t>
      </w:r>
      <w:r w:rsidR="00CA2DC8" w:rsidRPr="00A76739">
        <w:rPr>
          <w:rFonts w:ascii="Times New Roman" w:hAnsi="Times New Roman" w:cs="Times New Roman"/>
          <w:sz w:val="24"/>
          <w:szCs w:val="24"/>
        </w:rPr>
        <w:t>is an exceeding</w:t>
      </w:r>
      <w:r w:rsidR="0020250F" w:rsidRPr="00A76739">
        <w:rPr>
          <w:rFonts w:ascii="Times New Roman" w:hAnsi="Times New Roman" w:cs="Times New Roman"/>
          <w:sz w:val="24"/>
          <w:szCs w:val="24"/>
        </w:rPr>
        <w:t>ly</w:t>
      </w:r>
      <w:r w:rsidR="00CA2DC8" w:rsidRPr="00A76739">
        <w:rPr>
          <w:rFonts w:ascii="Times New Roman" w:hAnsi="Times New Roman" w:cs="Times New Roman"/>
          <w:sz w:val="24"/>
          <w:szCs w:val="24"/>
        </w:rPr>
        <w:t xml:space="preserve"> small part of the Company’s overall </w:t>
      </w:r>
      <w:r w:rsidR="00920B7C" w:rsidRPr="00A76739">
        <w:rPr>
          <w:rFonts w:ascii="Times New Roman" w:hAnsi="Times New Roman" w:cs="Times New Roman"/>
          <w:sz w:val="24"/>
          <w:szCs w:val="24"/>
        </w:rPr>
        <w:t xml:space="preserve">budget for its </w:t>
      </w:r>
      <w:r w:rsidR="000F3D22" w:rsidRPr="00A76739">
        <w:rPr>
          <w:rFonts w:ascii="Times New Roman" w:hAnsi="Times New Roman" w:cs="Times New Roman"/>
          <w:sz w:val="24"/>
          <w:szCs w:val="24"/>
        </w:rPr>
        <w:t>utility</w:t>
      </w:r>
      <w:r w:rsidR="00CA2DC8" w:rsidRPr="00A76739">
        <w:rPr>
          <w:rFonts w:ascii="Times New Roman" w:hAnsi="Times New Roman" w:cs="Times New Roman"/>
          <w:sz w:val="24"/>
          <w:szCs w:val="24"/>
        </w:rPr>
        <w:t xml:space="preserve"> operations</w:t>
      </w:r>
      <w:r w:rsidR="000F3D22" w:rsidRPr="00A76739">
        <w:rPr>
          <w:rFonts w:ascii="Times New Roman" w:hAnsi="Times New Roman" w:cs="Times New Roman"/>
          <w:sz w:val="24"/>
          <w:szCs w:val="24"/>
        </w:rPr>
        <w:t>, which is financed on total-Company basis, not an individual program basis</w:t>
      </w:r>
      <w:r w:rsidR="00CA2DC8" w:rsidRPr="00A76739">
        <w:rPr>
          <w:rFonts w:ascii="Times New Roman" w:hAnsi="Times New Roman" w:cs="Times New Roman"/>
          <w:sz w:val="24"/>
          <w:szCs w:val="24"/>
        </w:rPr>
        <w:t>.</w:t>
      </w:r>
      <w:r w:rsidR="00CA2DC8">
        <w:rPr>
          <w:rStyle w:val="FootnoteReference"/>
          <w:rFonts w:ascii="Times New Roman" w:hAnsi="Times New Roman" w:cs="Times New Roman"/>
          <w:sz w:val="24"/>
          <w:szCs w:val="24"/>
        </w:rPr>
        <w:footnoteReference w:id="78"/>
      </w:r>
      <w:r w:rsidR="00261C36" w:rsidRPr="00A76739">
        <w:rPr>
          <w:rFonts w:ascii="Times New Roman" w:hAnsi="Times New Roman" w:cs="Times New Roman"/>
          <w:sz w:val="24"/>
          <w:szCs w:val="24"/>
        </w:rPr>
        <w:t xml:space="preserve">  Indeed, the $25 mill</w:t>
      </w:r>
      <w:r w:rsidR="00285BE2" w:rsidRPr="00A76739">
        <w:rPr>
          <w:rFonts w:ascii="Times New Roman" w:hAnsi="Times New Roman" w:cs="Times New Roman"/>
          <w:sz w:val="24"/>
          <w:szCs w:val="24"/>
        </w:rPr>
        <w:t xml:space="preserve">ion that PSE might </w:t>
      </w:r>
      <w:r w:rsidR="00261C36" w:rsidRPr="00A76739">
        <w:rPr>
          <w:rFonts w:ascii="Times New Roman" w:hAnsi="Times New Roman" w:cs="Times New Roman"/>
          <w:sz w:val="24"/>
          <w:szCs w:val="24"/>
        </w:rPr>
        <w:t>spend on targeted programs is</w:t>
      </w:r>
      <w:r w:rsidR="00285BE2" w:rsidRPr="00A76739">
        <w:rPr>
          <w:rFonts w:ascii="Times New Roman" w:hAnsi="Times New Roman" w:cs="Times New Roman"/>
          <w:sz w:val="24"/>
          <w:szCs w:val="24"/>
        </w:rPr>
        <w:t xml:space="preserve"> </w:t>
      </w:r>
      <w:r w:rsidR="001A4C74" w:rsidRPr="00A76739">
        <w:rPr>
          <w:rFonts w:ascii="Times New Roman" w:hAnsi="Times New Roman" w:cs="Times New Roman"/>
          <w:sz w:val="24"/>
          <w:szCs w:val="24"/>
        </w:rPr>
        <w:t>miniscule compared to</w:t>
      </w:r>
      <w:r w:rsidR="00285BE2" w:rsidRPr="00A76739">
        <w:rPr>
          <w:rFonts w:ascii="Times New Roman" w:hAnsi="Times New Roman" w:cs="Times New Roman"/>
          <w:sz w:val="24"/>
          <w:szCs w:val="24"/>
        </w:rPr>
        <w:t xml:space="preserve"> the $2.5 billion the Company</w:t>
      </w:r>
      <w:r w:rsidR="00261C36" w:rsidRPr="00A76739">
        <w:rPr>
          <w:rFonts w:ascii="Times New Roman" w:hAnsi="Times New Roman" w:cs="Times New Roman"/>
          <w:sz w:val="24"/>
          <w:szCs w:val="24"/>
        </w:rPr>
        <w:t xml:space="preserve"> may spend in the next 3 years to support energy supply and delivery infrastructure needs.</w:t>
      </w:r>
      <w:r w:rsidR="00261C36">
        <w:rPr>
          <w:rStyle w:val="FootnoteReference"/>
          <w:rFonts w:ascii="Times New Roman" w:hAnsi="Times New Roman" w:cs="Times New Roman"/>
          <w:sz w:val="24"/>
          <w:szCs w:val="24"/>
        </w:rPr>
        <w:footnoteReference w:id="79"/>
      </w:r>
      <w:r w:rsidR="00261C36" w:rsidRPr="00A76739">
        <w:rPr>
          <w:rFonts w:ascii="Times New Roman" w:hAnsi="Times New Roman" w:cs="Times New Roman"/>
          <w:sz w:val="24"/>
          <w:szCs w:val="24"/>
        </w:rPr>
        <w:t xml:space="preserve">  </w:t>
      </w:r>
      <w:r w:rsidR="0020250F" w:rsidRPr="00A76739">
        <w:rPr>
          <w:rFonts w:ascii="Times New Roman" w:hAnsi="Times New Roman" w:cs="Times New Roman"/>
          <w:sz w:val="24"/>
          <w:szCs w:val="24"/>
        </w:rPr>
        <w:t xml:space="preserve">Despite expectations of these </w:t>
      </w:r>
      <w:r w:rsidR="001A4C74" w:rsidRPr="00A76739">
        <w:rPr>
          <w:rFonts w:ascii="Times New Roman" w:hAnsi="Times New Roman" w:cs="Times New Roman"/>
          <w:sz w:val="24"/>
          <w:szCs w:val="24"/>
        </w:rPr>
        <w:t>significant</w:t>
      </w:r>
      <w:r w:rsidR="0020250F" w:rsidRPr="00A76739">
        <w:rPr>
          <w:rFonts w:ascii="Times New Roman" w:hAnsi="Times New Roman" w:cs="Times New Roman"/>
          <w:sz w:val="24"/>
          <w:szCs w:val="24"/>
        </w:rPr>
        <w:t xml:space="preserve"> overall c</w:t>
      </w:r>
      <w:r w:rsidR="00064E0F" w:rsidRPr="00A76739">
        <w:rPr>
          <w:rFonts w:ascii="Times New Roman" w:hAnsi="Times New Roman" w:cs="Times New Roman"/>
          <w:sz w:val="24"/>
          <w:szCs w:val="24"/>
        </w:rPr>
        <w:t>apital expenditures, PSE</w:t>
      </w:r>
      <w:r w:rsidR="0020250F" w:rsidRPr="00A76739">
        <w:rPr>
          <w:rFonts w:ascii="Times New Roman" w:hAnsi="Times New Roman" w:cs="Times New Roman"/>
          <w:sz w:val="24"/>
          <w:szCs w:val="24"/>
        </w:rPr>
        <w:t xml:space="preserve">’s bond </w:t>
      </w:r>
      <w:r w:rsidR="00367C06" w:rsidRPr="00A76739">
        <w:rPr>
          <w:rFonts w:ascii="Times New Roman" w:hAnsi="Times New Roman" w:cs="Times New Roman"/>
          <w:sz w:val="24"/>
          <w:szCs w:val="24"/>
        </w:rPr>
        <w:t xml:space="preserve">ratings have </w:t>
      </w:r>
      <w:r w:rsidR="0020250F" w:rsidRPr="00A76739">
        <w:rPr>
          <w:rFonts w:ascii="Times New Roman" w:hAnsi="Times New Roman" w:cs="Times New Roman"/>
          <w:sz w:val="24"/>
          <w:szCs w:val="24"/>
        </w:rPr>
        <w:t>improved.</w:t>
      </w:r>
      <w:r w:rsidR="0020250F">
        <w:rPr>
          <w:rStyle w:val="FootnoteReference"/>
          <w:rFonts w:ascii="Times New Roman" w:hAnsi="Times New Roman" w:cs="Times New Roman"/>
          <w:sz w:val="24"/>
          <w:szCs w:val="24"/>
        </w:rPr>
        <w:footnoteReference w:id="80"/>
      </w:r>
      <w:r w:rsidR="0020250F" w:rsidRPr="00A76739">
        <w:rPr>
          <w:rFonts w:ascii="Times New Roman" w:hAnsi="Times New Roman" w:cs="Times New Roman"/>
          <w:sz w:val="24"/>
          <w:szCs w:val="24"/>
        </w:rPr>
        <w:t xml:space="preserve">  These impr</w:t>
      </w:r>
      <w:r w:rsidR="00411681">
        <w:rPr>
          <w:rFonts w:ascii="Times New Roman" w:hAnsi="Times New Roman" w:cs="Times New Roman"/>
          <w:sz w:val="24"/>
          <w:szCs w:val="24"/>
        </w:rPr>
        <w:t xml:space="preserve">oved ratings occurred given investor </w:t>
      </w:r>
      <w:r w:rsidR="0020250F" w:rsidRPr="00A76739">
        <w:rPr>
          <w:rFonts w:ascii="Times New Roman" w:hAnsi="Times New Roman" w:cs="Times New Roman"/>
          <w:sz w:val="24"/>
          <w:szCs w:val="24"/>
        </w:rPr>
        <w:t>expectation</w:t>
      </w:r>
      <w:r w:rsidR="00411681">
        <w:rPr>
          <w:rFonts w:ascii="Times New Roman" w:hAnsi="Times New Roman" w:cs="Times New Roman"/>
          <w:sz w:val="24"/>
          <w:szCs w:val="24"/>
        </w:rPr>
        <w:t xml:space="preserve">s </w:t>
      </w:r>
      <w:r w:rsidR="0020250F" w:rsidRPr="00A76739">
        <w:rPr>
          <w:rFonts w:ascii="Times New Roman" w:hAnsi="Times New Roman" w:cs="Times New Roman"/>
          <w:sz w:val="24"/>
          <w:szCs w:val="24"/>
        </w:rPr>
        <w:t>that regular general</w:t>
      </w:r>
      <w:r w:rsidR="00411681">
        <w:rPr>
          <w:rFonts w:ascii="Times New Roman" w:hAnsi="Times New Roman" w:cs="Times New Roman"/>
          <w:sz w:val="24"/>
          <w:szCs w:val="24"/>
        </w:rPr>
        <w:t xml:space="preserve"> rate cases will occur </w:t>
      </w:r>
      <w:r w:rsidR="0020250F" w:rsidRPr="00A76739">
        <w:rPr>
          <w:rFonts w:ascii="Times New Roman" w:hAnsi="Times New Roman" w:cs="Times New Roman"/>
          <w:sz w:val="24"/>
          <w:szCs w:val="24"/>
        </w:rPr>
        <w:t>in order to minimize the effects of regulatory lag.</w:t>
      </w:r>
      <w:r w:rsidR="0020250F">
        <w:rPr>
          <w:rStyle w:val="FootnoteReference"/>
          <w:rFonts w:ascii="Times New Roman" w:hAnsi="Times New Roman" w:cs="Times New Roman"/>
          <w:sz w:val="24"/>
          <w:szCs w:val="24"/>
        </w:rPr>
        <w:footnoteReference w:id="81"/>
      </w:r>
      <w:r w:rsidR="001E0E29" w:rsidRPr="00A76739">
        <w:rPr>
          <w:rFonts w:ascii="Times New Roman" w:hAnsi="Times New Roman" w:cs="Times New Roman"/>
          <w:sz w:val="24"/>
          <w:szCs w:val="24"/>
        </w:rPr>
        <w:t xml:space="preserve">  </w:t>
      </w:r>
    </w:p>
    <w:p w:rsidR="001E0E29"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5BE2" w:rsidRPr="00A76739">
        <w:rPr>
          <w:rFonts w:ascii="Times New Roman" w:hAnsi="Times New Roman" w:cs="Times New Roman"/>
          <w:sz w:val="24"/>
          <w:szCs w:val="24"/>
        </w:rPr>
        <w:t xml:space="preserve">It is, therefore, difficult </w:t>
      </w:r>
      <w:r w:rsidR="0020250F" w:rsidRPr="00A76739">
        <w:rPr>
          <w:rFonts w:ascii="Times New Roman" w:hAnsi="Times New Roman" w:cs="Times New Roman"/>
          <w:sz w:val="24"/>
          <w:szCs w:val="24"/>
        </w:rPr>
        <w:t xml:space="preserve">to envision there being </w:t>
      </w:r>
      <w:r w:rsidR="00064E0F" w:rsidRPr="00A76739">
        <w:rPr>
          <w:rFonts w:ascii="Times New Roman" w:hAnsi="Times New Roman" w:cs="Times New Roman"/>
          <w:sz w:val="24"/>
          <w:szCs w:val="24"/>
        </w:rPr>
        <w:t>any obstacle</w:t>
      </w:r>
      <w:r w:rsidR="00285BE2" w:rsidRPr="00A76739">
        <w:rPr>
          <w:rFonts w:ascii="Times New Roman" w:hAnsi="Times New Roman" w:cs="Times New Roman"/>
          <w:sz w:val="24"/>
          <w:szCs w:val="24"/>
        </w:rPr>
        <w:t xml:space="preserve"> to accelerated </w:t>
      </w:r>
      <w:r w:rsidR="00144686" w:rsidRPr="00A76739">
        <w:rPr>
          <w:rFonts w:ascii="Times New Roman" w:hAnsi="Times New Roman" w:cs="Times New Roman"/>
          <w:sz w:val="24"/>
          <w:szCs w:val="24"/>
        </w:rPr>
        <w:t xml:space="preserve">pipeline </w:t>
      </w:r>
      <w:r w:rsidR="00285BE2" w:rsidRPr="00A76739">
        <w:rPr>
          <w:rFonts w:ascii="Times New Roman" w:hAnsi="Times New Roman" w:cs="Times New Roman"/>
          <w:sz w:val="24"/>
          <w:szCs w:val="24"/>
        </w:rPr>
        <w:t xml:space="preserve">investment without </w:t>
      </w:r>
      <w:r w:rsidR="0020250F" w:rsidRPr="00A76739">
        <w:rPr>
          <w:rFonts w:ascii="Times New Roman" w:hAnsi="Times New Roman" w:cs="Times New Roman"/>
          <w:sz w:val="24"/>
          <w:szCs w:val="24"/>
        </w:rPr>
        <w:t>accelerated cost recovery</w:t>
      </w:r>
      <w:r w:rsidR="00064E0F" w:rsidRPr="00A76739">
        <w:rPr>
          <w:rFonts w:ascii="Times New Roman" w:hAnsi="Times New Roman" w:cs="Times New Roman"/>
          <w:sz w:val="24"/>
          <w:szCs w:val="24"/>
        </w:rPr>
        <w:t xml:space="preserve"> through the proposed surcharge</w:t>
      </w:r>
      <w:r w:rsidR="0020250F" w:rsidRPr="00A76739">
        <w:rPr>
          <w:rFonts w:ascii="Times New Roman" w:hAnsi="Times New Roman" w:cs="Times New Roman"/>
          <w:sz w:val="24"/>
          <w:szCs w:val="24"/>
        </w:rPr>
        <w:t xml:space="preserve">.  </w:t>
      </w:r>
      <w:r w:rsidR="002F6C33" w:rsidRPr="00A76739">
        <w:rPr>
          <w:rFonts w:ascii="Times New Roman" w:hAnsi="Times New Roman" w:cs="Times New Roman"/>
          <w:sz w:val="24"/>
          <w:szCs w:val="24"/>
        </w:rPr>
        <w:t xml:space="preserve">But even if such </w:t>
      </w:r>
      <w:r w:rsidR="001E0E29" w:rsidRPr="00A76739">
        <w:rPr>
          <w:rFonts w:ascii="Times New Roman" w:hAnsi="Times New Roman" w:cs="Times New Roman"/>
          <w:sz w:val="24"/>
          <w:szCs w:val="24"/>
        </w:rPr>
        <w:t xml:space="preserve">obstacles </w:t>
      </w:r>
      <w:r w:rsidR="002F6C33" w:rsidRPr="00A76739">
        <w:rPr>
          <w:rFonts w:ascii="Times New Roman" w:hAnsi="Times New Roman" w:cs="Times New Roman"/>
          <w:sz w:val="24"/>
          <w:szCs w:val="24"/>
        </w:rPr>
        <w:t>do arise</w:t>
      </w:r>
      <w:r w:rsidR="001E0E29" w:rsidRPr="00A76739">
        <w:rPr>
          <w:rFonts w:ascii="Times New Roman" w:hAnsi="Times New Roman" w:cs="Times New Roman"/>
          <w:sz w:val="24"/>
          <w:szCs w:val="24"/>
        </w:rPr>
        <w:t xml:space="preserve">, they would not interfere with the Company’s ability to insure the safety of its pipeline system.  PSE </w:t>
      </w:r>
      <w:r w:rsidR="002F6C33" w:rsidRPr="00A76739">
        <w:rPr>
          <w:rFonts w:ascii="Times New Roman" w:hAnsi="Times New Roman" w:cs="Times New Roman"/>
          <w:sz w:val="24"/>
          <w:szCs w:val="24"/>
        </w:rPr>
        <w:t>committ</w:t>
      </w:r>
      <w:r w:rsidR="001A4C74" w:rsidRPr="00A76739">
        <w:rPr>
          <w:rFonts w:ascii="Times New Roman" w:hAnsi="Times New Roman" w:cs="Times New Roman"/>
          <w:sz w:val="24"/>
          <w:szCs w:val="24"/>
        </w:rPr>
        <w:t xml:space="preserve">ed that </w:t>
      </w:r>
      <w:r w:rsidR="00B21370" w:rsidRPr="00A76739">
        <w:rPr>
          <w:rFonts w:ascii="Times New Roman" w:hAnsi="Times New Roman" w:cs="Times New Roman"/>
          <w:sz w:val="24"/>
          <w:szCs w:val="24"/>
        </w:rPr>
        <w:t xml:space="preserve">public safety would never take a back seat to other capital spending </w:t>
      </w:r>
      <w:r w:rsidR="00F13D95" w:rsidRPr="00A76739">
        <w:rPr>
          <w:rFonts w:ascii="Times New Roman" w:hAnsi="Times New Roman" w:cs="Times New Roman"/>
          <w:sz w:val="24"/>
          <w:szCs w:val="24"/>
        </w:rPr>
        <w:t>and</w:t>
      </w:r>
      <w:r w:rsidR="001A4C74" w:rsidRPr="00A76739">
        <w:rPr>
          <w:rFonts w:ascii="Times New Roman" w:hAnsi="Times New Roman" w:cs="Times New Roman"/>
          <w:sz w:val="24"/>
          <w:szCs w:val="24"/>
        </w:rPr>
        <w:t xml:space="preserve"> management will</w:t>
      </w:r>
      <w:r w:rsidR="001E0E29" w:rsidRPr="00A76739">
        <w:rPr>
          <w:rFonts w:ascii="Times New Roman" w:hAnsi="Times New Roman" w:cs="Times New Roman"/>
          <w:sz w:val="24"/>
          <w:szCs w:val="24"/>
        </w:rPr>
        <w:t xml:space="preserve"> always approve funds for additional </w:t>
      </w:r>
      <w:r w:rsidR="00B21370" w:rsidRPr="00A76739">
        <w:rPr>
          <w:rFonts w:ascii="Times New Roman" w:hAnsi="Times New Roman" w:cs="Times New Roman"/>
          <w:sz w:val="24"/>
          <w:szCs w:val="24"/>
        </w:rPr>
        <w:t xml:space="preserve">spending on </w:t>
      </w:r>
      <w:r w:rsidR="00144686" w:rsidRPr="00A76739">
        <w:rPr>
          <w:rFonts w:ascii="Times New Roman" w:hAnsi="Times New Roman" w:cs="Times New Roman"/>
          <w:sz w:val="24"/>
          <w:szCs w:val="24"/>
        </w:rPr>
        <w:t xml:space="preserve">pipeline </w:t>
      </w:r>
      <w:r w:rsidR="00B21370" w:rsidRPr="00A76739">
        <w:rPr>
          <w:rFonts w:ascii="Times New Roman" w:hAnsi="Times New Roman" w:cs="Times New Roman"/>
          <w:sz w:val="24"/>
          <w:szCs w:val="24"/>
        </w:rPr>
        <w:t>infrastructure</w:t>
      </w:r>
      <w:r w:rsidR="00107964" w:rsidRPr="00A76739">
        <w:rPr>
          <w:rFonts w:ascii="Times New Roman" w:hAnsi="Times New Roman" w:cs="Times New Roman"/>
          <w:sz w:val="24"/>
          <w:szCs w:val="24"/>
        </w:rPr>
        <w:t xml:space="preserve"> </w:t>
      </w:r>
      <w:r w:rsidR="001E0E29" w:rsidRPr="00A76739">
        <w:rPr>
          <w:rFonts w:ascii="Times New Roman" w:hAnsi="Times New Roman" w:cs="Times New Roman"/>
          <w:sz w:val="24"/>
          <w:szCs w:val="24"/>
        </w:rPr>
        <w:t>when</w:t>
      </w:r>
      <w:r w:rsidR="00B21370" w:rsidRPr="00A76739">
        <w:rPr>
          <w:rFonts w:ascii="Times New Roman" w:hAnsi="Times New Roman" w:cs="Times New Roman"/>
          <w:sz w:val="24"/>
          <w:szCs w:val="24"/>
        </w:rPr>
        <w:t xml:space="preserve">ever necessary to protect the </w:t>
      </w:r>
      <w:r w:rsidR="001E0E29" w:rsidRPr="00A76739">
        <w:rPr>
          <w:rFonts w:ascii="Times New Roman" w:hAnsi="Times New Roman" w:cs="Times New Roman"/>
          <w:sz w:val="24"/>
          <w:szCs w:val="24"/>
        </w:rPr>
        <w:t>public safety.</w:t>
      </w:r>
      <w:r w:rsidR="001E0E29">
        <w:rPr>
          <w:rStyle w:val="FootnoteReference"/>
          <w:rFonts w:ascii="Times New Roman" w:hAnsi="Times New Roman" w:cs="Times New Roman"/>
          <w:sz w:val="24"/>
          <w:szCs w:val="24"/>
        </w:rPr>
        <w:footnoteReference w:id="82"/>
      </w:r>
    </w:p>
    <w:p w:rsidR="00BD7CB1" w:rsidRPr="00750D67" w:rsidRDefault="00750D67" w:rsidP="0067553A">
      <w:pPr>
        <w:spacing w:after="0" w:line="240" w:lineRule="auto"/>
        <w:ind w:left="2160" w:hanging="720"/>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144686" w:rsidRPr="00750D67">
        <w:rPr>
          <w:rFonts w:ascii="Times New Roman" w:hAnsi="Times New Roman" w:cs="Times New Roman"/>
          <w:b/>
          <w:sz w:val="24"/>
          <w:szCs w:val="24"/>
        </w:rPr>
        <w:t>The Surcharge</w:t>
      </w:r>
      <w:r w:rsidR="00AE469E" w:rsidRPr="00750D67">
        <w:rPr>
          <w:rFonts w:ascii="Times New Roman" w:hAnsi="Times New Roman" w:cs="Times New Roman"/>
          <w:b/>
          <w:sz w:val="24"/>
          <w:szCs w:val="24"/>
        </w:rPr>
        <w:t xml:space="preserve"> Is Not Justified By Federal and </w:t>
      </w:r>
      <w:r w:rsidR="00E347C0" w:rsidRPr="00750D67">
        <w:rPr>
          <w:rFonts w:ascii="Times New Roman" w:hAnsi="Times New Roman" w:cs="Times New Roman"/>
          <w:b/>
          <w:sz w:val="24"/>
          <w:szCs w:val="24"/>
        </w:rPr>
        <w:t xml:space="preserve">Other </w:t>
      </w:r>
      <w:r w:rsidR="00AE469E" w:rsidRPr="00750D67">
        <w:rPr>
          <w:rFonts w:ascii="Times New Roman" w:hAnsi="Times New Roman" w:cs="Times New Roman"/>
          <w:b/>
          <w:sz w:val="24"/>
          <w:szCs w:val="24"/>
        </w:rPr>
        <w:t xml:space="preserve">State Initiatives </w:t>
      </w:r>
      <w:r w:rsidR="00F07DEA" w:rsidRPr="00750D67">
        <w:rPr>
          <w:rFonts w:ascii="Times New Roman" w:hAnsi="Times New Roman" w:cs="Times New Roman"/>
          <w:b/>
          <w:sz w:val="24"/>
          <w:szCs w:val="24"/>
        </w:rPr>
        <w:t xml:space="preserve">Regarding Pipeline Replacement </w:t>
      </w:r>
    </w:p>
    <w:p w:rsidR="00AE469E" w:rsidRPr="00A76739" w:rsidRDefault="00AE469E" w:rsidP="00A76739">
      <w:pPr>
        <w:spacing w:after="0" w:line="240" w:lineRule="auto"/>
        <w:rPr>
          <w:rFonts w:ascii="Times New Roman" w:hAnsi="Times New Roman" w:cs="Times New Roman"/>
          <w:b/>
          <w:sz w:val="24"/>
          <w:szCs w:val="24"/>
        </w:rPr>
      </w:pPr>
    </w:p>
    <w:p w:rsidR="007C2B4D"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21639" w:rsidRPr="00A76739">
        <w:rPr>
          <w:rFonts w:ascii="Times New Roman" w:hAnsi="Times New Roman" w:cs="Times New Roman"/>
          <w:sz w:val="24"/>
          <w:szCs w:val="24"/>
        </w:rPr>
        <w:t xml:space="preserve">PSE </w:t>
      </w:r>
      <w:r w:rsidR="007C2B4D" w:rsidRPr="00A76739">
        <w:rPr>
          <w:rFonts w:ascii="Times New Roman" w:hAnsi="Times New Roman" w:cs="Times New Roman"/>
          <w:sz w:val="24"/>
          <w:szCs w:val="24"/>
        </w:rPr>
        <w:t xml:space="preserve">must install and maintain facilities as </w:t>
      </w:r>
      <w:r w:rsidR="00E70B48" w:rsidRPr="00A76739">
        <w:rPr>
          <w:rFonts w:ascii="Times New Roman" w:hAnsi="Times New Roman" w:cs="Times New Roman"/>
          <w:sz w:val="24"/>
          <w:szCs w:val="24"/>
        </w:rPr>
        <w:t xml:space="preserve">are </w:t>
      </w:r>
      <w:r w:rsidR="007C2B4D" w:rsidRPr="00A76739">
        <w:rPr>
          <w:rFonts w:ascii="Times New Roman" w:hAnsi="Times New Roman" w:cs="Times New Roman"/>
          <w:sz w:val="24"/>
          <w:szCs w:val="24"/>
        </w:rPr>
        <w:t xml:space="preserve">necessary to provide safe and reliable service to the public.  This </w:t>
      </w:r>
      <w:r w:rsidR="00321639" w:rsidRPr="00A76739">
        <w:rPr>
          <w:rFonts w:ascii="Times New Roman" w:hAnsi="Times New Roman" w:cs="Times New Roman"/>
          <w:sz w:val="24"/>
          <w:szCs w:val="24"/>
        </w:rPr>
        <w:t xml:space="preserve">responsibility </w:t>
      </w:r>
      <w:r w:rsidR="007C2B4D" w:rsidRPr="00A76739">
        <w:rPr>
          <w:rFonts w:ascii="Times New Roman" w:hAnsi="Times New Roman" w:cs="Times New Roman"/>
          <w:sz w:val="24"/>
          <w:szCs w:val="24"/>
        </w:rPr>
        <w:t>is not new or remarkable</w:t>
      </w:r>
      <w:r w:rsidR="002E4184" w:rsidRPr="00A76739">
        <w:rPr>
          <w:rFonts w:ascii="Times New Roman" w:hAnsi="Times New Roman" w:cs="Times New Roman"/>
          <w:sz w:val="24"/>
          <w:szCs w:val="24"/>
        </w:rPr>
        <w:t>.  I</w:t>
      </w:r>
      <w:r w:rsidR="007C2B4D" w:rsidRPr="00A76739">
        <w:rPr>
          <w:rFonts w:ascii="Times New Roman" w:hAnsi="Times New Roman" w:cs="Times New Roman"/>
          <w:sz w:val="24"/>
          <w:szCs w:val="24"/>
        </w:rPr>
        <w:t>t is PSE’s fundamental and long-standing statutory obliga</w:t>
      </w:r>
      <w:r w:rsidR="004344CC">
        <w:rPr>
          <w:rFonts w:ascii="Times New Roman" w:hAnsi="Times New Roman" w:cs="Times New Roman"/>
          <w:sz w:val="24"/>
          <w:szCs w:val="24"/>
        </w:rPr>
        <w:t>tion</w:t>
      </w:r>
      <w:r w:rsidR="007C2B4D" w:rsidRPr="00A76739">
        <w:rPr>
          <w:rFonts w:ascii="Times New Roman" w:hAnsi="Times New Roman" w:cs="Times New Roman"/>
          <w:sz w:val="24"/>
          <w:szCs w:val="24"/>
        </w:rPr>
        <w:t>.</w:t>
      </w:r>
      <w:r w:rsidR="007C2B4D">
        <w:rPr>
          <w:rStyle w:val="FootnoteReference"/>
          <w:rFonts w:ascii="Times New Roman" w:hAnsi="Times New Roman" w:cs="Times New Roman"/>
          <w:sz w:val="24"/>
          <w:szCs w:val="24"/>
        </w:rPr>
        <w:footnoteReference w:id="83"/>
      </w:r>
      <w:r w:rsidR="007C2B4D" w:rsidRPr="00A76739">
        <w:rPr>
          <w:rFonts w:ascii="Times New Roman" w:hAnsi="Times New Roman" w:cs="Times New Roman"/>
          <w:sz w:val="24"/>
          <w:szCs w:val="24"/>
        </w:rPr>
        <w:t xml:space="preserve">  </w:t>
      </w:r>
      <w:r w:rsidR="00AE469E" w:rsidRPr="00A76739">
        <w:rPr>
          <w:rFonts w:ascii="Times New Roman" w:hAnsi="Times New Roman" w:cs="Times New Roman"/>
          <w:sz w:val="24"/>
          <w:szCs w:val="24"/>
        </w:rPr>
        <w:t>Thus, any</w:t>
      </w:r>
      <w:r w:rsidR="00321639" w:rsidRPr="00A76739">
        <w:rPr>
          <w:rFonts w:ascii="Times New Roman" w:hAnsi="Times New Roman" w:cs="Times New Roman"/>
          <w:sz w:val="24"/>
          <w:szCs w:val="24"/>
        </w:rPr>
        <w:t xml:space="preserve"> need to proactively replace aging and higher risk pipeline is not an extraordinary circumstance.  It is part of the normal course of infrastructure improvements to ensure continued safety and reliability.</w:t>
      </w:r>
    </w:p>
    <w:p w:rsidR="002E4184"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A71A1">
        <w:rPr>
          <w:rFonts w:ascii="Times New Roman" w:hAnsi="Times New Roman" w:cs="Times New Roman"/>
          <w:sz w:val="24"/>
          <w:szCs w:val="24"/>
        </w:rPr>
        <w:t>Nevertheless, t</w:t>
      </w:r>
      <w:r w:rsidR="00144686" w:rsidRPr="00A76739">
        <w:rPr>
          <w:rFonts w:ascii="Times New Roman" w:hAnsi="Times New Roman" w:cs="Times New Roman"/>
          <w:sz w:val="24"/>
          <w:szCs w:val="24"/>
        </w:rPr>
        <w:t xml:space="preserve">he Company argues that the surcharge </w:t>
      </w:r>
      <w:r w:rsidR="00BD7CB1" w:rsidRPr="00A76739">
        <w:rPr>
          <w:rFonts w:ascii="Times New Roman" w:hAnsi="Times New Roman" w:cs="Times New Roman"/>
          <w:sz w:val="24"/>
          <w:szCs w:val="24"/>
        </w:rPr>
        <w:t>responds to a “nationally recognized need to accelerate the replacement of pipeline th</w:t>
      </w:r>
      <w:r w:rsidR="00E70B48" w:rsidRPr="00A76739">
        <w:rPr>
          <w:rFonts w:ascii="Times New Roman" w:hAnsi="Times New Roman" w:cs="Times New Roman"/>
          <w:sz w:val="24"/>
          <w:szCs w:val="24"/>
        </w:rPr>
        <w:t xml:space="preserve">at is prone to failure and is </w:t>
      </w:r>
      <w:r w:rsidR="00BD7CB1" w:rsidRPr="00A76739">
        <w:rPr>
          <w:rFonts w:ascii="Times New Roman" w:hAnsi="Times New Roman" w:cs="Times New Roman"/>
          <w:sz w:val="24"/>
          <w:szCs w:val="24"/>
        </w:rPr>
        <w:t>pervasive throughout the natural gas delivery system in this country.”</w:t>
      </w:r>
      <w:r w:rsidR="00BD7CB1">
        <w:rPr>
          <w:rStyle w:val="FootnoteReference"/>
          <w:rFonts w:ascii="Times New Roman" w:hAnsi="Times New Roman" w:cs="Times New Roman"/>
          <w:sz w:val="24"/>
          <w:szCs w:val="24"/>
        </w:rPr>
        <w:footnoteReference w:id="84"/>
      </w:r>
      <w:r w:rsidR="00BD7CB1" w:rsidRPr="00A76739">
        <w:rPr>
          <w:rFonts w:ascii="Times New Roman" w:hAnsi="Times New Roman" w:cs="Times New Roman"/>
          <w:sz w:val="24"/>
          <w:szCs w:val="24"/>
        </w:rPr>
        <w:t xml:space="preserve">  </w:t>
      </w:r>
      <w:r w:rsidR="001369A0" w:rsidRPr="00A76739">
        <w:rPr>
          <w:rFonts w:ascii="Times New Roman" w:hAnsi="Times New Roman" w:cs="Times New Roman"/>
          <w:sz w:val="24"/>
          <w:szCs w:val="24"/>
        </w:rPr>
        <w:t xml:space="preserve">However, the </w:t>
      </w:r>
      <w:r w:rsidR="002E4184" w:rsidRPr="00A76739">
        <w:rPr>
          <w:rFonts w:ascii="Times New Roman" w:hAnsi="Times New Roman" w:cs="Times New Roman"/>
          <w:sz w:val="24"/>
          <w:szCs w:val="24"/>
        </w:rPr>
        <w:t xml:space="preserve">federal </w:t>
      </w:r>
      <w:r w:rsidR="001369A0" w:rsidRPr="00A76739">
        <w:rPr>
          <w:rFonts w:ascii="Times New Roman" w:hAnsi="Times New Roman" w:cs="Times New Roman"/>
          <w:sz w:val="24"/>
          <w:szCs w:val="24"/>
        </w:rPr>
        <w:t>initiatives ci</w:t>
      </w:r>
      <w:r w:rsidR="002E4184" w:rsidRPr="00A76739">
        <w:rPr>
          <w:rFonts w:ascii="Times New Roman" w:hAnsi="Times New Roman" w:cs="Times New Roman"/>
          <w:sz w:val="24"/>
          <w:szCs w:val="24"/>
        </w:rPr>
        <w:t xml:space="preserve">ted by PSE </w:t>
      </w:r>
      <w:r w:rsidR="007D76BD" w:rsidRPr="00A76739">
        <w:rPr>
          <w:rFonts w:ascii="Times New Roman" w:hAnsi="Times New Roman" w:cs="Times New Roman"/>
          <w:sz w:val="24"/>
          <w:szCs w:val="24"/>
        </w:rPr>
        <w:t xml:space="preserve">also </w:t>
      </w:r>
      <w:r w:rsidR="001369A0" w:rsidRPr="00A76739">
        <w:rPr>
          <w:rFonts w:ascii="Times New Roman" w:hAnsi="Times New Roman" w:cs="Times New Roman"/>
          <w:sz w:val="24"/>
          <w:szCs w:val="24"/>
        </w:rPr>
        <w:t>recognize that pipeline incidents resulting in serious injury or death are down nearly 50 percent over the last 20 years.</w:t>
      </w:r>
      <w:r w:rsidR="001369A0">
        <w:rPr>
          <w:rStyle w:val="FootnoteReference"/>
          <w:rFonts w:ascii="Times New Roman" w:hAnsi="Times New Roman" w:cs="Times New Roman"/>
          <w:sz w:val="24"/>
          <w:szCs w:val="24"/>
        </w:rPr>
        <w:footnoteReference w:id="85"/>
      </w:r>
      <w:r w:rsidR="001369A0" w:rsidRPr="00A76739">
        <w:rPr>
          <w:rFonts w:ascii="Times New Roman" w:hAnsi="Times New Roman" w:cs="Times New Roman"/>
          <w:sz w:val="24"/>
          <w:szCs w:val="24"/>
        </w:rPr>
        <w:t xml:space="preserve">  </w:t>
      </w:r>
      <w:r w:rsidR="00E87918" w:rsidRPr="00A76739">
        <w:rPr>
          <w:rFonts w:ascii="Times New Roman" w:hAnsi="Times New Roman" w:cs="Times New Roman"/>
          <w:sz w:val="24"/>
          <w:szCs w:val="24"/>
        </w:rPr>
        <w:t xml:space="preserve">While </w:t>
      </w:r>
      <w:r w:rsidR="002E4184" w:rsidRPr="00A76739">
        <w:rPr>
          <w:rFonts w:ascii="Times New Roman" w:hAnsi="Times New Roman" w:cs="Times New Roman"/>
          <w:sz w:val="24"/>
          <w:szCs w:val="24"/>
        </w:rPr>
        <w:t xml:space="preserve">recent incidents </w:t>
      </w:r>
      <w:r w:rsidR="005F2FA4">
        <w:rPr>
          <w:rFonts w:ascii="Times New Roman" w:hAnsi="Times New Roman" w:cs="Times New Roman"/>
          <w:sz w:val="24"/>
          <w:szCs w:val="24"/>
        </w:rPr>
        <w:t xml:space="preserve">certainly </w:t>
      </w:r>
      <w:r w:rsidR="00B502E7" w:rsidRPr="00A76739">
        <w:rPr>
          <w:rFonts w:ascii="Times New Roman" w:hAnsi="Times New Roman" w:cs="Times New Roman"/>
          <w:sz w:val="24"/>
          <w:szCs w:val="24"/>
        </w:rPr>
        <w:t xml:space="preserve">have </w:t>
      </w:r>
      <w:r w:rsidR="001A18B2" w:rsidRPr="00A76739">
        <w:rPr>
          <w:rFonts w:ascii="Times New Roman" w:hAnsi="Times New Roman" w:cs="Times New Roman"/>
          <w:sz w:val="24"/>
          <w:szCs w:val="24"/>
        </w:rPr>
        <w:t>ramped up</w:t>
      </w:r>
      <w:r w:rsidR="00E87918" w:rsidRPr="00A76739">
        <w:rPr>
          <w:rFonts w:ascii="Times New Roman" w:hAnsi="Times New Roman" w:cs="Times New Roman"/>
          <w:sz w:val="24"/>
          <w:szCs w:val="24"/>
        </w:rPr>
        <w:t xml:space="preserve"> attention</w:t>
      </w:r>
      <w:r w:rsidR="001A18B2" w:rsidRPr="00A76739">
        <w:rPr>
          <w:rFonts w:ascii="Times New Roman" w:hAnsi="Times New Roman" w:cs="Times New Roman"/>
          <w:sz w:val="24"/>
          <w:szCs w:val="24"/>
        </w:rPr>
        <w:t xml:space="preserve"> to</w:t>
      </w:r>
      <w:r w:rsidR="002E4184" w:rsidRPr="00A76739">
        <w:rPr>
          <w:rFonts w:ascii="Times New Roman" w:hAnsi="Times New Roman" w:cs="Times New Roman"/>
          <w:sz w:val="24"/>
          <w:szCs w:val="24"/>
        </w:rPr>
        <w:t xml:space="preserve"> </w:t>
      </w:r>
      <w:r w:rsidR="002700BC" w:rsidRPr="00A76739">
        <w:rPr>
          <w:rFonts w:ascii="Times New Roman" w:hAnsi="Times New Roman" w:cs="Times New Roman"/>
          <w:sz w:val="24"/>
          <w:szCs w:val="24"/>
        </w:rPr>
        <w:t xml:space="preserve">the </w:t>
      </w:r>
      <w:r w:rsidR="007D76BD" w:rsidRPr="00A76739">
        <w:rPr>
          <w:rFonts w:ascii="Times New Roman" w:hAnsi="Times New Roman" w:cs="Times New Roman"/>
          <w:sz w:val="24"/>
          <w:szCs w:val="24"/>
        </w:rPr>
        <w:t xml:space="preserve">replacement of </w:t>
      </w:r>
      <w:r w:rsidR="00B502E7" w:rsidRPr="00A76739">
        <w:rPr>
          <w:rFonts w:ascii="Times New Roman" w:hAnsi="Times New Roman" w:cs="Times New Roman"/>
          <w:sz w:val="24"/>
          <w:szCs w:val="24"/>
        </w:rPr>
        <w:t>pipeline infrastructure</w:t>
      </w:r>
      <w:r w:rsidR="00E87918" w:rsidRPr="00A76739">
        <w:rPr>
          <w:rFonts w:ascii="Times New Roman" w:hAnsi="Times New Roman" w:cs="Times New Roman"/>
          <w:sz w:val="24"/>
          <w:szCs w:val="24"/>
        </w:rPr>
        <w:t xml:space="preserve">, </w:t>
      </w:r>
      <w:r w:rsidR="00B502E7" w:rsidRPr="00A76739">
        <w:rPr>
          <w:rFonts w:ascii="Times New Roman" w:hAnsi="Times New Roman" w:cs="Times New Roman"/>
          <w:sz w:val="24"/>
          <w:szCs w:val="24"/>
        </w:rPr>
        <w:t xml:space="preserve">those incidents involved </w:t>
      </w:r>
      <w:r w:rsidR="00E93A2F" w:rsidRPr="00A76739">
        <w:rPr>
          <w:rFonts w:ascii="Times New Roman" w:hAnsi="Times New Roman" w:cs="Times New Roman"/>
          <w:sz w:val="24"/>
          <w:szCs w:val="24"/>
        </w:rPr>
        <w:t>fac</w:t>
      </w:r>
      <w:r w:rsidR="00082732" w:rsidRPr="00A76739">
        <w:rPr>
          <w:rFonts w:ascii="Times New Roman" w:hAnsi="Times New Roman" w:cs="Times New Roman"/>
          <w:sz w:val="24"/>
          <w:szCs w:val="24"/>
        </w:rPr>
        <w:t xml:space="preserve">ilities not targeted by the </w:t>
      </w:r>
      <w:r w:rsidR="00E93A2F" w:rsidRPr="00A76739">
        <w:rPr>
          <w:rFonts w:ascii="Times New Roman" w:hAnsi="Times New Roman" w:cs="Times New Roman"/>
          <w:sz w:val="24"/>
          <w:szCs w:val="24"/>
        </w:rPr>
        <w:t>surcharge</w:t>
      </w:r>
      <w:r w:rsidR="008942FF" w:rsidRPr="00A76739">
        <w:rPr>
          <w:rFonts w:ascii="Times New Roman" w:hAnsi="Times New Roman" w:cs="Times New Roman"/>
          <w:sz w:val="24"/>
          <w:szCs w:val="24"/>
        </w:rPr>
        <w:t>:</w:t>
      </w:r>
      <w:r w:rsidR="00E93A2F" w:rsidRPr="00A76739">
        <w:rPr>
          <w:rFonts w:ascii="Times New Roman" w:hAnsi="Times New Roman" w:cs="Times New Roman"/>
          <w:sz w:val="24"/>
          <w:szCs w:val="24"/>
        </w:rPr>
        <w:t xml:space="preserve"> </w:t>
      </w:r>
      <w:r w:rsidR="00B502E7" w:rsidRPr="00A76739">
        <w:rPr>
          <w:rFonts w:ascii="Times New Roman" w:hAnsi="Times New Roman" w:cs="Times New Roman"/>
          <w:sz w:val="24"/>
          <w:szCs w:val="24"/>
        </w:rPr>
        <w:t>a high pressure transmission pipeline in California and old cast iron systems in Pennsylvania.</w:t>
      </w:r>
      <w:r w:rsidR="00B502E7">
        <w:rPr>
          <w:rStyle w:val="FootnoteReference"/>
          <w:rFonts w:ascii="Times New Roman" w:hAnsi="Times New Roman" w:cs="Times New Roman"/>
          <w:sz w:val="24"/>
          <w:szCs w:val="24"/>
        </w:rPr>
        <w:footnoteReference w:id="86"/>
      </w:r>
      <w:r w:rsidR="002E4184" w:rsidRPr="00A76739">
        <w:rPr>
          <w:rFonts w:ascii="Times New Roman" w:hAnsi="Times New Roman" w:cs="Times New Roman"/>
          <w:sz w:val="24"/>
          <w:szCs w:val="24"/>
        </w:rPr>
        <w:t xml:space="preserve">  </w:t>
      </w:r>
      <w:r w:rsidR="003366E2" w:rsidRPr="00A76739">
        <w:rPr>
          <w:rFonts w:ascii="Times New Roman" w:hAnsi="Times New Roman" w:cs="Times New Roman"/>
          <w:sz w:val="24"/>
          <w:szCs w:val="24"/>
        </w:rPr>
        <w:t>Indeed, federal initiatives</w:t>
      </w:r>
      <w:r w:rsidR="00E87918" w:rsidRPr="00A76739">
        <w:rPr>
          <w:rFonts w:ascii="Times New Roman" w:hAnsi="Times New Roman" w:cs="Times New Roman"/>
          <w:sz w:val="24"/>
          <w:szCs w:val="24"/>
        </w:rPr>
        <w:t xml:space="preserve"> emphasize </w:t>
      </w:r>
      <w:r w:rsidR="00021118" w:rsidRPr="00A76739">
        <w:rPr>
          <w:rFonts w:ascii="Times New Roman" w:hAnsi="Times New Roman" w:cs="Times New Roman"/>
          <w:sz w:val="24"/>
          <w:szCs w:val="24"/>
        </w:rPr>
        <w:t xml:space="preserve">pipelines </w:t>
      </w:r>
      <w:r w:rsidR="007D76BD" w:rsidRPr="00A76739">
        <w:rPr>
          <w:rFonts w:ascii="Times New Roman" w:hAnsi="Times New Roman" w:cs="Times New Roman"/>
          <w:sz w:val="24"/>
          <w:szCs w:val="24"/>
        </w:rPr>
        <w:t xml:space="preserve">made of </w:t>
      </w:r>
      <w:r w:rsidR="00021118" w:rsidRPr="00A76739">
        <w:rPr>
          <w:rFonts w:ascii="Times New Roman" w:hAnsi="Times New Roman" w:cs="Times New Roman"/>
          <w:sz w:val="24"/>
          <w:szCs w:val="24"/>
        </w:rPr>
        <w:t>bare steel</w:t>
      </w:r>
      <w:r w:rsidR="002F6C33" w:rsidRPr="00A76739">
        <w:rPr>
          <w:rFonts w:ascii="Times New Roman" w:hAnsi="Times New Roman" w:cs="Times New Roman"/>
          <w:sz w:val="24"/>
          <w:szCs w:val="24"/>
        </w:rPr>
        <w:t xml:space="preserve"> and</w:t>
      </w:r>
      <w:r w:rsidR="00021118" w:rsidRPr="00A76739">
        <w:rPr>
          <w:rFonts w:ascii="Times New Roman" w:hAnsi="Times New Roman" w:cs="Times New Roman"/>
          <w:sz w:val="24"/>
          <w:szCs w:val="24"/>
        </w:rPr>
        <w:t xml:space="preserve"> cast iron that are many decades old and not expected to be replaced for many decades in the future</w:t>
      </w:r>
      <w:r w:rsidR="003366E2" w:rsidRPr="00A76739">
        <w:rPr>
          <w:rFonts w:ascii="Times New Roman" w:hAnsi="Times New Roman" w:cs="Times New Roman"/>
          <w:sz w:val="24"/>
          <w:szCs w:val="24"/>
        </w:rPr>
        <w:t>.</w:t>
      </w:r>
      <w:r w:rsidR="003366E2">
        <w:rPr>
          <w:rStyle w:val="FootnoteReference"/>
          <w:rFonts w:ascii="Times New Roman" w:hAnsi="Times New Roman" w:cs="Times New Roman"/>
          <w:sz w:val="24"/>
          <w:szCs w:val="24"/>
        </w:rPr>
        <w:footnoteReference w:id="87"/>
      </w:r>
      <w:r w:rsidR="003366E2" w:rsidRPr="00A76739">
        <w:rPr>
          <w:rFonts w:ascii="Times New Roman" w:hAnsi="Times New Roman" w:cs="Times New Roman"/>
          <w:sz w:val="24"/>
          <w:szCs w:val="24"/>
        </w:rPr>
        <w:t xml:space="preserve">  </w:t>
      </w:r>
      <w:r w:rsidR="00C07D17" w:rsidRPr="00A76739">
        <w:rPr>
          <w:rFonts w:ascii="Times New Roman" w:hAnsi="Times New Roman" w:cs="Times New Roman"/>
          <w:sz w:val="24"/>
          <w:szCs w:val="24"/>
        </w:rPr>
        <w:t>None of these circumstance</w:t>
      </w:r>
      <w:r w:rsidR="00411681">
        <w:rPr>
          <w:rFonts w:ascii="Times New Roman" w:hAnsi="Times New Roman" w:cs="Times New Roman"/>
          <w:sz w:val="24"/>
          <w:szCs w:val="24"/>
        </w:rPr>
        <w:t xml:space="preserve">s pertain to PSE’s </w:t>
      </w:r>
      <w:r w:rsidR="008942FF" w:rsidRPr="00A76739">
        <w:rPr>
          <w:rFonts w:ascii="Times New Roman" w:hAnsi="Times New Roman" w:cs="Times New Roman"/>
          <w:sz w:val="24"/>
          <w:szCs w:val="24"/>
        </w:rPr>
        <w:t xml:space="preserve">system </w:t>
      </w:r>
      <w:r w:rsidR="00C07D17" w:rsidRPr="00A76739">
        <w:rPr>
          <w:rFonts w:ascii="Times New Roman" w:hAnsi="Times New Roman" w:cs="Times New Roman"/>
          <w:sz w:val="24"/>
          <w:szCs w:val="24"/>
        </w:rPr>
        <w:t xml:space="preserve">which </w:t>
      </w:r>
      <w:r w:rsidR="00411681">
        <w:rPr>
          <w:rFonts w:ascii="Times New Roman" w:hAnsi="Times New Roman" w:cs="Times New Roman"/>
          <w:sz w:val="24"/>
          <w:szCs w:val="24"/>
        </w:rPr>
        <w:t xml:space="preserve">has no cast iron pipe </w:t>
      </w:r>
      <w:r w:rsidR="00C07D17" w:rsidRPr="00A76739">
        <w:rPr>
          <w:rFonts w:ascii="Times New Roman" w:hAnsi="Times New Roman" w:cs="Times New Roman"/>
          <w:sz w:val="24"/>
          <w:szCs w:val="24"/>
        </w:rPr>
        <w:t>and which is already scheduled to e</w:t>
      </w:r>
      <w:r w:rsidR="00411681">
        <w:rPr>
          <w:rFonts w:ascii="Times New Roman" w:hAnsi="Times New Roman" w:cs="Times New Roman"/>
          <w:sz w:val="24"/>
          <w:szCs w:val="24"/>
        </w:rPr>
        <w:t>liminate all bare steel pipe</w:t>
      </w:r>
      <w:r w:rsidR="00C07D17" w:rsidRPr="00A76739">
        <w:rPr>
          <w:rFonts w:ascii="Times New Roman" w:hAnsi="Times New Roman" w:cs="Times New Roman"/>
          <w:sz w:val="24"/>
          <w:szCs w:val="24"/>
        </w:rPr>
        <w:t xml:space="preserve"> by 2014.</w:t>
      </w:r>
    </w:p>
    <w:p w:rsidR="002E01B2" w:rsidRPr="00255AD2" w:rsidRDefault="00A76739" w:rsidP="002E01B2">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18B2" w:rsidRPr="00A76739">
        <w:rPr>
          <w:rFonts w:ascii="Times New Roman" w:hAnsi="Times New Roman" w:cs="Times New Roman"/>
          <w:sz w:val="24"/>
          <w:szCs w:val="24"/>
        </w:rPr>
        <w:t xml:space="preserve">PSE </w:t>
      </w:r>
      <w:r w:rsidR="002700BC" w:rsidRPr="00A76739">
        <w:rPr>
          <w:rFonts w:ascii="Times New Roman" w:hAnsi="Times New Roman" w:cs="Times New Roman"/>
          <w:sz w:val="24"/>
          <w:szCs w:val="24"/>
        </w:rPr>
        <w:t>c</w:t>
      </w:r>
      <w:r w:rsidR="00F27E7D" w:rsidRPr="00A76739">
        <w:rPr>
          <w:rFonts w:ascii="Times New Roman" w:hAnsi="Times New Roman" w:cs="Times New Roman"/>
          <w:sz w:val="24"/>
          <w:szCs w:val="24"/>
        </w:rPr>
        <w:t xml:space="preserve">ites </w:t>
      </w:r>
      <w:r w:rsidR="00F40C30" w:rsidRPr="00A76739">
        <w:rPr>
          <w:rFonts w:ascii="Times New Roman" w:hAnsi="Times New Roman" w:cs="Times New Roman"/>
          <w:sz w:val="24"/>
          <w:szCs w:val="24"/>
        </w:rPr>
        <w:t xml:space="preserve">other state commissions </w:t>
      </w:r>
      <w:r w:rsidR="002700BC" w:rsidRPr="00A76739">
        <w:rPr>
          <w:rFonts w:ascii="Times New Roman" w:hAnsi="Times New Roman" w:cs="Times New Roman"/>
          <w:sz w:val="24"/>
          <w:szCs w:val="24"/>
        </w:rPr>
        <w:t xml:space="preserve">that have </w:t>
      </w:r>
      <w:r w:rsidR="005C5FE5" w:rsidRPr="00A76739">
        <w:rPr>
          <w:rFonts w:ascii="Times New Roman" w:hAnsi="Times New Roman" w:cs="Times New Roman"/>
          <w:sz w:val="24"/>
          <w:szCs w:val="24"/>
        </w:rPr>
        <w:t xml:space="preserve">approved </w:t>
      </w:r>
      <w:r w:rsidR="00A425E9" w:rsidRPr="00A76739">
        <w:rPr>
          <w:rFonts w:ascii="Times New Roman" w:hAnsi="Times New Roman" w:cs="Times New Roman"/>
          <w:sz w:val="24"/>
          <w:szCs w:val="24"/>
        </w:rPr>
        <w:t>surcharges</w:t>
      </w:r>
      <w:r w:rsidR="002700BC" w:rsidRPr="00A76739">
        <w:rPr>
          <w:rFonts w:ascii="Times New Roman" w:hAnsi="Times New Roman" w:cs="Times New Roman"/>
          <w:sz w:val="24"/>
          <w:szCs w:val="24"/>
        </w:rPr>
        <w:t xml:space="preserve"> for accelerated pipeline replacement programs</w:t>
      </w:r>
      <w:r w:rsidR="00082732" w:rsidRPr="00A76739">
        <w:rPr>
          <w:rFonts w:ascii="Times New Roman" w:hAnsi="Times New Roman" w:cs="Times New Roman"/>
          <w:sz w:val="24"/>
          <w:szCs w:val="24"/>
        </w:rPr>
        <w:t xml:space="preserve"> as evidence of </w:t>
      </w:r>
      <w:r w:rsidR="001A18B2" w:rsidRPr="00A76739">
        <w:rPr>
          <w:rFonts w:ascii="Times New Roman" w:hAnsi="Times New Roman" w:cs="Times New Roman"/>
          <w:sz w:val="24"/>
          <w:szCs w:val="24"/>
        </w:rPr>
        <w:t>a “new landscape”</w:t>
      </w:r>
      <w:r w:rsidR="0064651B" w:rsidRPr="00A76739">
        <w:rPr>
          <w:rFonts w:ascii="Times New Roman" w:hAnsi="Times New Roman" w:cs="Times New Roman"/>
          <w:sz w:val="24"/>
          <w:szCs w:val="24"/>
        </w:rPr>
        <w:t xml:space="preserve"> encouraging</w:t>
      </w:r>
      <w:r w:rsidR="001A18B2" w:rsidRPr="00A76739">
        <w:rPr>
          <w:rFonts w:ascii="Times New Roman" w:hAnsi="Times New Roman" w:cs="Times New Roman"/>
          <w:sz w:val="24"/>
          <w:szCs w:val="24"/>
        </w:rPr>
        <w:t xml:space="preserve"> such activity</w:t>
      </w:r>
      <w:r w:rsidR="002700BC" w:rsidRPr="00A76739">
        <w:rPr>
          <w:rFonts w:ascii="Times New Roman" w:hAnsi="Times New Roman" w:cs="Times New Roman"/>
          <w:sz w:val="24"/>
          <w:szCs w:val="24"/>
        </w:rPr>
        <w:t xml:space="preserve">.  </w:t>
      </w:r>
      <w:r w:rsidR="00255AD2">
        <w:rPr>
          <w:rFonts w:ascii="Times New Roman" w:hAnsi="Times New Roman" w:cs="Times New Roman"/>
          <w:sz w:val="24"/>
          <w:szCs w:val="24"/>
        </w:rPr>
        <w:t xml:space="preserve">However, </w:t>
      </w:r>
      <w:r w:rsidR="002E01B2">
        <w:rPr>
          <w:rFonts w:ascii="Times New Roman" w:hAnsi="Times New Roman" w:cs="Times New Roman"/>
          <w:sz w:val="24"/>
          <w:szCs w:val="24"/>
        </w:rPr>
        <w:t>i</w:t>
      </w:r>
      <w:r w:rsidR="002E01B2" w:rsidRPr="00A76739">
        <w:rPr>
          <w:rFonts w:ascii="Times New Roman" w:eastAsia="Times New Roman" w:hAnsi="Times New Roman" w:cs="Times New Roman"/>
          <w:sz w:val="24"/>
          <w:szCs w:val="24"/>
        </w:rPr>
        <w:t xml:space="preserve">n the only relevant court case we could find, the Illinois Court of Appeals </w:t>
      </w:r>
      <w:r w:rsidR="00EA71A1">
        <w:rPr>
          <w:rFonts w:ascii="Times New Roman" w:eastAsia="Times New Roman" w:hAnsi="Times New Roman" w:cs="Times New Roman"/>
          <w:sz w:val="24"/>
          <w:szCs w:val="24"/>
        </w:rPr>
        <w:t xml:space="preserve">recently </w:t>
      </w:r>
      <w:r w:rsidR="002E01B2" w:rsidRPr="00A76739">
        <w:rPr>
          <w:rFonts w:ascii="Times New Roman" w:eastAsia="Times New Roman" w:hAnsi="Times New Roman" w:cs="Times New Roman"/>
          <w:sz w:val="24"/>
          <w:szCs w:val="24"/>
        </w:rPr>
        <w:t>overturned a commission decision approving an accelerated pipeline replacement surcharge.</w:t>
      </w:r>
      <w:r w:rsidR="002E01B2">
        <w:rPr>
          <w:rStyle w:val="FootnoteReference"/>
          <w:rFonts w:ascii="Times New Roman" w:eastAsia="Times New Roman" w:hAnsi="Times New Roman" w:cs="Times New Roman"/>
          <w:sz w:val="24"/>
          <w:szCs w:val="24"/>
        </w:rPr>
        <w:footnoteReference w:id="88"/>
      </w:r>
      <w:r w:rsidR="002E01B2" w:rsidRPr="00A76739">
        <w:rPr>
          <w:rFonts w:ascii="Times New Roman" w:eastAsia="Times New Roman" w:hAnsi="Times New Roman" w:cs="Times New Roman"/>
          <w:sz w:val="24"/>
          <w:szCs w:val="24"/>
        </w:rPr>
        <w:t xml:space="preserve">  The court held that the surcharge constituted single-issue ratemaking that was not justified by special circumstances warranting a deviation from traditional ratemaking procedures.</w:t>
      </w:r>
      <w:r w:rsidR="002E01B2">
        <w:rPr>
          <w:rStyle w:val="FootnoteReference"/>
          <w:rFonts w:ascii="Times New Roman" w:eastAsia="Times New Roman" w:hAnsi="Times New Roman" w:cs="Times New Roman"/>
          <w:sz w:val="24"/>
          <w:szCs w:val="24"/>
        </w:rPr>
        <w:footnoteReference w:id="89"/>
      </w:r>
      <w:r w:rsidR="002E01B2" w:rsidRPr="00A76739">
        <w:rPr>
          <w:rFonts w:ascii="Times New Roman" w:eastAsia="Times New Roman" w:hAnsi="Times New Roman" w:cs="Times New Roman"/>
          <w:sz w:val="24"/>
          <w:szCs w:val="24"/>
        </w:rPr>
        <w:t xml:space="preserve">  The court was not persuaded by the utility’s argument that the program would benefit the public because of enhanced safety.</w:t>
      </w:r>
      <w:r w:rsidR="002E01B2">
        <w:rPr>
          <w:rStyle w:val="FootnoteReference"/>
          <w:rFonts w:ascii="Times New Roman" w:eastAsia="Times New Roman" w:hAnsi="Times New Roman" w:cs="Times New Roman"/>
          <w:sz w:val="24"/>
          <w:szCs w:val="24"/>
        </w:rPr>
        <w:footnoteReference w:id="90"/>
      </w:r>
      <w:r w:rsidR="002E01B2" w:rsidRPr="00A76739">
        <w:rPr>
          <w:rFonts w:ascii="Times New Roman" w:eastAsia="Times New Roman" w:hAnsi="Times New Roman" w:cs="Times New Roman"/>
          <w:sz w:val="24"/>
          <w:szCs w:val="24"/>
        </w:rPr>
        <w:t xml:space="preserve">  The court also rejected the utility’s </w:t>
      </w:r>
      <w:r w:rsidR="002E01B2" w:rsidRPr="00A76739">
        <w:rPr>
          <w:rFonts w:ascii="Times New Roman" w:eastAsia="Times New Roman" w:hAnsi="Times New Roman" w:cs="Times New Roman"/>
          <w:sz w:val="24"/>
          <w:szCs w:val="24"/>
        </w:rPr>
        <w:lastRenderedPageBreak/>
        <w:t>argument that the surcharge would allow it to proceed with the accelerated pipeline replacement program and avoid regulatory lag.</w:t>
      </w:r>
      <w:r w:rsidR="002E01B2">
        <w:rPr>
          <w:rStyle w:val="FootnoteReference"/>
          <w:rFonts w:ascii="Times New Roman" w:eastAsia="Times New Roman" w:hAnsi="Times New Roman" w:cs="Times New Roman"/>
          <w:sz w:val="24"/>
          <w:szCs w:val="24"/>
        </w:rPr>
        <w:footnoteReference w:id="91"/>
      </w:r>
      <w:r w:rsidR="002E01B2" w:rsidRPr="00A76739">
        <w:rPr>
          <w:rFonts w:ascii="Times New Roman" w:eastAsia="Times New Roman" w:hAnsi="Times New Roman" w:cs="Times New Roman"/>
          <w:sz w:val="24"/>
          <w:szCs w:val="24"/>
        </w:rPr>
        <w:t xml:space="preserve">  </w:t>
      </w:r>
      <w:r w:rsidR="002E01B2" w:rsidRPr="00255AD2">
        <w:rPr>
          <w:rFonts w:ascii="Times New Roman" w:hAnsi="Times New Roman" w:cs="Times New Roman"/>
          <w:sz w:val="24"/>
          <w:szCs w:val="24"/>
        </w:rPr>
        <w:tab/>
      </w:r>
    </w:p>
    <w:p w:rsidR="00255AD2" w:rsidRPr="00A76739" w:rsidRDefault="002E01B2" w:rsidP="00255AD2">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Even </w:t>
      </w:r>
      <w:r w:rsidR="00255AD2" w:rsidRPr="00255AD2">
        <w:rPr>
          <w:rFonts w:ascii="Times New Roman" w:hAnsi="Times New Roman" w:cs="Times New Roman"/>
          <w:sz w:val="24"/>
          <w:szCs w:val="24"/>
        </w:rPr>
        <w:t>the commission decisions cited by PSE should be viewed with caution</w:t>
      </w:r>
      <w:r>
        <w:rPr>
          <w:rFonts w:ascii="Times New Roman" w:hAnsi="Times New Roman" w:cs="Times New Roman"/>
          <w:sz w:val="24"/>
          <w:szCs w:val="24"/>
        </w:rPr>
        <w:t xml:space="preserve"> by the Commission</w:t>
      </w:r>
      <w:r w:rsidR="00255AD2" w:rsidRPr="00255AD2">
        <w:rPr>
          <w:rFonts w:ascii="Times New Roman" w:hAnsi="Times New Roman" w:cs="Times New Roman"/>
          <w:sz w:val="24"/>
          <w:szCs w:val="24"/>
        </w:rPr>
        <w:t xml:space="preserve">.  </w:t>
      </w:r>
      <w:r w:rsidR="00255AD2">
        <w:rPr>
          <w:rFonts w:ascii="Times New Roman" w:hAnsi="Times New Roman" w:cs="Times New Roman"/>
          <w:sz w:val="24"/>
          <w:szCs w:val="24"/>
        </w:rPr>
        <w:t>O</w:t>
      </w:r>
      <w:r w:rsidR="00255AD2" w:rsidRPr="00A76739">
        <w:rPr>
          <w:rFonts w:ascii="Times New Roman" w:hAnsi="Times New Roman" w:cs="Times New Roman"/>
          <w:sz w:val="24"/>
          <w:szCs w:val="24"/>
        </w:rPr>
        <w:t>f the forty-four utilities granted such mechanisms, almost half (nineteen) hailed from states with sp</w:t>
      </w:r>
      <w:r w:rsidR="00255AD2">
        <w:rPr>
          <w:rFonts w:ascii="Times New Roman" w:hAnsi="Times New Roman" w:cs="Times New Roman"/>
          <w:sz w:val="24"/>
          <w:szCs w:val="24"/>
        </w:rPr>
        <w:t>ecific statutes</w:t>
      </w:r>
      <w:r w:rsidR="00255AD2" w:rsidRPr="00A76739">
        <w:rPr>
          <w:rFonts w:ascii="Times New Roman" w:hAnsi="Times New Roman" w:cs="Times New Roman"/>
          <w:sz w:val="24"/>
          <w:szCs w:val="24"/>
        </w:rPr>
        <w:t xml:space="preserve"> (Kansas, Kentucky, Missouri, Nebraska, Texas and Virginia) or state economic recovery initiatives (New Jersey) authorizing such mechanisms.</w:t>
      </w:r>
      <w:r w:rsidR="00EA71A1">
        <w:rPr>
          <w:rStyle w:val="FootnoteReference"/>
          <w:rFonts w:ascii="Times New Roman" w:hAnsi="Times New Roman" w:cs="Times New Roman"/>
          <w:sz w:val="24"/>
          <w:szCs w:val="24"/>
        </w:rPr>
        <w:footnoteReference w:id="92"/>
      </w:r>
      <w:r w:rsidR="00255AD2" w:rsidRPr="00A76739">
        <w:rPr>
          <w:rFonts w:ascii="Times New Roman" w:hAnsi="Times New Roman" w:cs="Times New Roman"/>
          <w:sz w:val="24"/>
          <w:szCs w:val="24"/>
        </w:rPr>
        <w:t xml:space="preserve"> </w:t>
      </w:r>
      <w:r>
        <w:rPr>
          <w:rFonts w:ascii="Times New Roman" w:hAnsi="Times New Roman" w:cs="Times New Roman"/>
          <w:sz w:val="24"/>
          <w:szCs w:val="24"/>
        </w:rPr>
        <w:t>No such initiatives are present in our state.</w:t>
      </w:r>
    </w:p>
    <w:p w:rsidR="00255AD2" w:rsidRPr="00255AD2" w:rsidRDefault="00255AD2" w:rsidP="00255AD2">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01B2">
        <w:rPr>
          <w:rFonts w:ascii="Times New Roman" w:hAnsi="Times New Roman" w:cs="Times New Roman"/>
          <w:sz w:val="24"/>
          <w:szCs w:val="24"/>
        </w:rPr>
        <w:t>In fact, i</w:t>
      </w:r>
      <w:r w:rsidRPr="00255AD2">
        <w:rPr>
          <w:rFonts w:ascii="Times New Roman" w:hAnsi="Times New Roman" w:cs="Times New Roman"/>
          <w:sz w:val="24"/>
          <w:szCs w:val="24"/>
        </w:rPr>
        <w:t xml:space="preserve">n </w:t>
      </w:r>
      <w:r>
        <w:rPr>
          <w:rFonts w:ascii="Times New Roman" w:hAnsi="Times New Roman" w:cs="Times New Roman"/>
          <w:sz w:val="24"/>
          <w:szCs w:val="24"/>
        </w:rPr>
        <w:t>a state</w:t>
      </w:r>
      <w:r w:rsidRPr="00255AD2">
        <w:rPr>
          <w:rFonts w:ascii="Times New Roman" w:hAnsi="Times New Roman" w:cs="Times New Roman"/>
          <w:sz w:val="24"/>
          <w:szCs w:val="24"/>
        </w:rPr>
        <w:t xml:space="preserve"> </w:t>
      </w:r>
      <w:r w:rsidR="002E01B2">
        <w:rPr>
          <w:rFonts w:ascii="Times New Roman" w:hAnsi="Times New Roman" w:cs="Times New Roman"/>
          <w:sz w:val="24"/>
          <w:szCs w:val="24"/>
        </w:rPr>
        <w:t xml:space="preserve">like ours </w:t>
      </w:r>
      <w:r w:rsidRPr="00255AD2">
        <w:rPr>
          <w:rFonts w:ascii="Times New Roman" w:hAnsi="Times New Roman" w:cs="Times New Roman"/>
          <w:sz w:val="24"/>
          <w:szCs w:val="24"/>
        </w:rPr>
        <w:t>without such initiat</w:t>
      </w:r>
      <w:r>
        <w:rPr>
          <w:rFonts w:ascii="Times New Roman" w:hAnsi="Times New Roman" w:cs="Times New Roman"/>
          <w:sz w:val="24"/>
          <w:szCs w:val="24"/>
        </w:rPr>
        <w:t xml:space="preserve">ives, the </w:t>
      </w:r>
      <w:r w:rsidRPr="00255AD2">
        <w:rPr>
          <w:rFonts w:ascii="Times New Roman" w:hAnsi="Times New Roman" w:cs="Times New Roman"/>
          <w:sz w:val="24"/>
          <w:szCs w:val="24"/>
        </w:rPr>
        <w:t>Maryland Public Service Commission recently denied a</w:t>
      </w:r>
      <w:r>
        <w:rPr>
          <w:rFonts w:ascii="Times New Roman" w:hAnsi="Times New Roman" w:cs="Times New Roman"/>
          <w:sz w:val="24"/>
          <w:szCs w:val="24"/>
        </w:rPr>
        <w:t>n</w:t>
      </w:r>
      <w:r w:rsidRPr="00255AD2">
        <w:rPr>
          <w:rFonts w:ascii="Times New Roman" w:hAnsi="Times New Roman" w:cs="Times New Roman"/>
          <w:sz w:val="24"/>
          <w:szCs w:val="24"/>
        </w:rPr>
        <w:t xml:space="preserve"> accelerated pipeline replacement surcharge even though it approved the underlying pipeline replacement program itself:</w:t>
      </w:r>
    </w:p>
    <w:p w:rsidR="00255AD2" w:rsidRDefault="00255AD2" w:rsidP="00255AD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Commission has reviewed the issues and positions of the parties and finds that the Company’s proposed [Accelerated Pipeline Replacement Plan] has merit and represents a laudably proactive approach to mitigate risk.  The Company should, in our view, replace aging pipelines proactively as part of its normal course of infrastructure improvements to ensure continued safety and reliability, and should do so at a pace that minimizes health and safety risks to its customers. </w:t>
      </w:r>
    </w:p>
    <w:p w:rsidR="00255AD2" w:rsidRDefault="00255AD2" w:rsidP="00255AD2">
      <w:pPr>
        <w:spacing w:after="0" w:line="240" w:lineRule="auto"/>
        <w:ind w:left="720"/>
        <w:rPr>
          <w:rFonts w:ascii="Times New Roman" w:hAnsi="Times New Roman" w:cs="Times New Roman"/>
          <w:sz w:val="24"/>
          <w:szCs w:val="24"/>
        </w:rPr>
      </w:pPr>
    </w:p>
    <w:p w:rsidR="00255AD2" w:rsidRDefault="00255AD2" w:rsidP="00255AD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 are not, however, convinced that surcharge recovery is an appropriate, let alone necessary, quid pro quo for the Company to accelerate the replacement of aging pipes, as in several cases, we decline to deviate from traditional ratemaking process and adopt the proposed Rider surcharge.</w:t>
      </w:r>
      <w:r>
        <w:rPr>
          <w:rStyle w:val="FootnoteReference"/>
          <w:rFonts w:ascii="Times New Roman" w:hAnsi="Times New Roman" w:cs="Times New Roman"/>
          <w:sz w:val="24"/>
          <w:szCs w:val="24"/>
        </w:rPr>
        <w:footnoteReference w:id="93"/>
      </w:r>
    </w:p>
    <w:p w:rsidR="00255AD2" w:rsidRDefault="00255AD2" w:rsidP="00255AD2">
      <w:pPr>
        <w:spacing w:after="0" w:line="240" w:lineRule="auto"/>
        <w:rPr>
          <w:rFonts w:ascii="Times New Roman" w:hAnsi="Times New Roman" w:cs="Times New Roman"/>
          <w:sz w:val="24"/>
          <w:szCs w:val="24"/>
        </w:rPr>
      </w:pPr>
    </w:p>
    <w:p w:rsidR="00255AD2" w:rsidRDefault="00255AD2" w:rsidP="00255AD2">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In rejecting the surcharge, the Maryland commission noted factors similar to those on record in this case:  the utility’s commitment to maintain a safe and reliable pipeline system for its customers that would continue even without the surcharge, and the company’s operational and financial ability</w:t>
      </w:r>
      <w:r w:rsidRPr="00A12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Pr="00A425E9">
        <w:rPr>
          <w:rFonts w:ascii="Times New Roman" w:eastAsia="Times New Roman" w:hAnsi="Times New Roman" w:cs="Times New Roman"/>
          <w:sz w:val="24"/>
          <w:szCs w:val="24"/>
        </w:rPr>
        <w:t>accelerate its existing pipe replacement program</w:t>
      </w:r>
      <w:r>
        <w:rPr>
          <w:rFonts w:ascii="Times New Roman" w:eastAsia="Times New Roman" w:hAnsi="Times New Roman" w:cs="Times New Roman"/>
          <w:sz w:val="24"/>
          <w:szCs w:val="24"/>
        </w:rPr>
        <w:t xml:space="preserve"> and recover the associated costs in base rates with an appropriate return.</w:t>
      </w:r>
    </w:p>
    <w:p w:rsidR="002E01B2" w:rsidRPr="00EA71A1" w:rsidRDefault="00EA71A1" w:rsidP="00EA71A1">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Our point is that </w:t>
      </w:r>
      <w:r w:rsidR="002E01B2" w:rsidRPr="00EA71A1">
        <w:rPr>
          <w:rFonts w:ascii="Times New Roman" w:hAnsi="Times New Roman" w:cs="Times New Roman"/>
          <w:sz w:val="24"/>
          <w:szCs w:val="24"/>
        </w:rPr>
        <w:t>different commissions take different approaches based upon the specific facts and circumstances they are presented.  The Commission should reject PSE’s tactic that urges the Commission to “jump on the band wagon” and appro</w:t>
      </w:r>
      <w:r w:rsidR="00411681" w:rsidRPr="00EA71A1">
        <w:rPr>
          <w:rFonts w:ascii="Times New Roman" w:hAnsi="Times New Roman" w:cs="Times New Roman"/>
          <w:sz w:val="24"/>
          <w:szCs w:val="24"/>
        </w:rPr>
        <w:t xml:space="preserve">ve the new surcharge </w:t>
      </w:r>
      <w:r w:rsidR="002E01B2" w:rsidRPr="00EA71A1">
        <w:rPr>
          <w:rFonts w:ascii="Times New Roman" w:hAnsi="Times New Roman" w:cs="Times New Roman"/>
          <w:sz w:val="24"/>
          <w:szCs w:val="24"/>
        </w:rPr>
        <w:t>given the shortcomings of the Company’s proposal that we have highlighted.</w:t>
      </w:r>
    </w:p>
    <w:p w:rsidR="00BC1C90" w:rsidRDefault="00750D67" w:rsidP="0067553A">
      <w:pPr>
        <w:spacing w:after="0" w:line="240" w:lineRule="auto"/>
        <w:ind w:left="216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ab/>
      </w:r>
      <w:r w:rsidR="00082732">
        <w:rPr>
          <w:rFonts w:ascii="Times New Roman" w:eastAsia="Times New Roman" w:hAnsi="Times New Roman" w:cs="Times New Roman"/>
          <w:b/>
          <w:sz w:val="24"/>
          <w:szCs w:val="24"/>
        </w:rPr>
        <w:t xml:space="preserve">The </w:t>
      </w:r>
      <w:r w:rsidR="00BC1C90">
        <w:rPr>
          <w:rFonts w:ascii="Times New Roman" w:eastAsia="Times New Roman" w:hAnsi="Times New Roman" w:cs="Times New Roman"/>
          <w:b/>
          <w:sz w:val="24"/>
          <w:szCs w:val="24"/>
        </w:rPr>
        <w:t>Surcharge is N</w:t>
      </w:r>
      <w:r w:rsidR="00BC1C90" w:rsidRPr="00BC1C90">
        <w:rPr>
          <w:rFonts w:ascii="Times New Roman" w:eastAsia="Times New Roman" w:hAnsi="Times New Roman" w:cs="Times New Roman"/>
          <w:b/>
          <w:sz w:val="24"/>
          <w:szCs w:val="24"/>
        </w:rPr>
        <w:t>ot Necessary for Commission Pipeline Safety Staff to Advocate for Enhanced Pipeline Replacement</w:t>
      </w:r>
    </w:p>
    <w:p w:rsidR="00BC1C90" w:rsidRDefault="00BC1C90" w:rsidP="00A76739">
      <w:pPr>
        <w:spacing w:after="0" w:line="240" w:lineRule="auto"/>
        <w:rPr>
          <w:rFonts w:ascii="Times New Roman" w:eastAsia="Times New Roman" w:hAnsi="Times New Roman" w:cs="Times New Roman"/>
          <w:b/>
          <w:sz w:val="24"/>
          <w:szCs w:val="24"/>
        </w:rPr>
      </w:pPr>
    </w:p>
    <w:p w:rsidR="00BC1C90"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C1C90" w:rsidRPr="00A76739">
        <w:rPr>
          <w:rFonts w:ascii="Times New Roman" w:hAnsi="Times New Roman" w:cs="Times New Roman"/>
          <w:sz w:val="24"/>
          <w:szCs w:val="24"/>
        </w:rPr>
        <w:t xml:space="preserve">The Company argues that the annual consultation process envisioned by the </w:t>
      </w:r>
      <w:r w:rsidR="00064E0F" w:rsidRPr="00A76739">
        <w:rPr>
          <w:rFonts w:ascii="Times New Roman" w:hAnsi="Times New Roman" w:cs="Times New Roman"/>
          <w:sz w:val="24"/>
          <w:szCs w:val="24"/>
        </w:rPr>
        <w:t xml:space="preserve">new </w:t>
      </w:r>
      <w:r w:rsidR="00BC1C90" w:rsidRPr="00A76739">
        <w:rPr>
          <w:rFonts w:ascii="Times New Roman" w:hAnsi="Times New Roman" w:cs="Times New Roman"/>
          <w:sz w:val="24"/>
          <w:szCs w:val="24"/>
        </w:rPr>
        <w:t xml:space="preserve">surcharge will allow </w:t>
      </w:r>
      <w:r w:rsidR="00F07DEA" w:rsidRPr="00A76739">
        <w:rPr>
          <w:rFonts w:ascii="Times New Roman" w:hAnsi="Times New Roman" w:cs="Times New Roman"/>
          <w:sz w:val="24"/>
          <w:szCs w:val="24"/>
        </w:rPr>
        <w:t xml:space="preserve">members of </w:t>
      </w:r>
      <w:r w:rsidR="00BC1C90" w:rsidRPr="00A76739">
        <w:rPr>
          <w:rFonts w:ascii="Times New Roman" w:hAnsi="Times New Roman" w:cs="Times New Roman"/>
          <w:sz w:val="24"/>
          <w:szCs w:val="24"/>
        </w:rPr>
        <w:t xml:space="preserve">the Commission’s Pipeline Safety Staff </w:t>
      </w:r>
      <w:r w:rsidR="00BD007C" w:rsidRPr="00A76739">
        <w:rPr>
          <w:rFonts w:ascii="Times New Roman" w:hAnsi="Times New Roman" w:cs="Times New Roman"/>
          <w:sz w:val="24"/>
          <w:szCs w:val="24"/>
        </w:rPr>
        <w:t xml:space="preserve">more opportunity </w:t>
      </w:r>
      <w:r w:rsidR="00562921" w:rsidRPr="00A76739">
        <w:rPr>
          <w:rFonts w:ascii="Times New Roman" w:hAnsi="Times New Roman" w:cs="Times New Roman"/>
          <w:sz w:val="24"/>
          <w:szCs w:val="24"/>
        </w:rPr>
        <w:t xml:space="preserve">than they have presently </w:t>
      </w:r>
      <w:r w:rsidR="00BC1C90" w:rsidRPr="00A76739">
        <w:rPr>
          <w:rFonts w:ascii="Times New Roman" w:hAnsi="Times New Roman" w:cs="Times New Roman"/>
          <w:sz w:val="24"/>
          <w:szCs w:val="24"/>
        </w:rPr>
        <w:t>to advocate for work they would like to see done by PSE.</w:t>
      </w:r>
      <w:r w:rsidR="00BC1C90">
        <w:rPr>
          <w:rStyle w:val="FootnoteReference"/>
          <w:rFonts w:ascii="Times New Roman" w:hAnsi="Times New Roman" w:cs="Times New Roman"/>
          <w:sz w:val="24"/>
          <w:szCs w:val="24"/>
        </w:rPr>
        <w:footnoteReference w:id="94"/>
      </w:r>
      <w:r w:rsidR="00374B32" w:rsidRPr="00A76739">
        <w:rPr>
          <w:rFonts w:ascii="Times New Roman" w:hAnsi="Times New Roman" w:cs="Times New Roman"/>
          <w:sz w:val="24"/>
          <w:szCs w:val="24"/>
        </w:rPr>
        <w:t xml:space="preserve">  However, the record demonstrates that Pipeline Safety Staff already </w:t>
      </w:r>
      <w:r w:rsidR="00F07DEA" w:rsidRPr="00A76739">
        <w:rPr>
          <w:rFonts w:ascii="Times New Roman" w:hAnsi="Times New Roman" w:cs="Times New Roman"/>
          <w:sz w:val="24"/>
          <w:szCs w:val="24"/>
        </w:rPr>
        <w:t xml:space="preserve">has full opportunity to </w:t>
      </w:r>
      <w:r w:rsidR="00374B32" w:rsidRPr="00A76739">
        <w:rPr>
          <w:rFonts w:ascii="Times New Roman" w:hAnsi="Times New Roman" w:cs="Times New Roman"/>
          <w:sz w:val="24"/>
          <w:szCs w:val="24"/>
        </w:rPr>
        <w:t xml:space="preserve">promote pipeline safety measures </w:t>
      </w:r>
      <w:r w:rsidR="00884C55" w:rsidRPr="00A76739">
        <w:rPr>
          <w:rFonts w:ascii="Times New Roman" w:hAnsi="Times New Roman" w:cs="Times New Roman"/>
          <w:sz w:val="24"/>
          <w:szCs w:val="24"/>
        </w:rPr>
        <w:t>it</w:t>
      </w:r>
      <w:r w:rsidR="00BE0701" w:rsidRPr="00A76739">
        <w:rPr>
          <w:rFonts w:ascii="Times New Roman" w:hAnsi="Times New Roman" w:cs="Times New Roman"/>
          <w:sz w:val="24"/>
          <w:szCs w:val="24"/>
        </w:rPr>
        <w:t xml:space="preserve"> want</w:t>
      </w:r>
      <w:r w:rsidR="00884C55" w:rsidRPr="00A76739">
        <w:rPr>
          <w:rFonts w:ascii="Times New Roman" w:hAnsi="Times New Roman" w:cs="Times New Roman"/>
          <w:sz w:val="24"/>
          <w:szCs w:val="24"/>
        </w:rPr>
        <w:t>s</w:t>
      </w:r>
      <w:r w:rsidR="00BE0701" w:rsidRPr="00A76739">
        <w:rPr>
          <w:rFonts w:ascii="Times New Roman" w:hAnsi="Times New Roman" w:cs="Times New Roman"/>
          <w:sz w:val="24"/>
          <w:szCs w:val="24"/>
        </w:rPr>
        <w:t xml:space="preserve"> the</w:t>
      </w:r>
      <w:r w:rsidR="00374B32" w:rsidRPr="00A76739">
        <w:rPr>
          <w:rFonts w:ascii="Times New Roman" w:hAnsi="Times New Roman" w:cs="Times New Roman"/>
          <w:sz w:val="24"/>
          <w:szCs w:val="24"/>
        </w:rPr>
        <w:t xml:space="preserve"> Company</w:t>
      </w:r>
      <w:r w:rsidR="00BE0701" w:rsidRPr="00A76739">
        <w:rPr>
          <w:rFonts w:ascii="Times New Roman" w:hAnsi="Times New Roman" w:cs="Times New Roman"/>
          <w:sz w:val="24"/>
          <w:szCs w:val="24"/>
        </w:rPr>
        <w:t xml:space="preserve"> to </w:t>
      </w:r>
      <w:r w:rsidR="00884C55" w:rsidRPr="00A76739">
        <w:rPr>
          <w:rFonts w:ascii="Times New Roman" w:hAnsi="Times New Roman" w:cs="Times New Roman"/>
          <w:sz w:val="24"/>
          <w:szCs w:val="24"/>
        </w:rPr>
        <w:t>u</w:t>
      </w:r>
      <w:r w:rsidR="00BE0701" w:rsidRPr="00A76739">
        <w:rPr>
          <w:rFonts w:ascii="Times New Roman" w:hAnsi="Times New Roman" w:cs="Times New Roman"/>
          <w:sz w:val="24"/>
          <w:szCs w:val="24"/>
        </w:rPr>
        <w:t>ndertake</w:t>
      </w:r>
      <w:r w:rsidR="00082732" w:rsidRPr="00A76739">
        <w:rPr>
          <w:rFonts w:ascii="Times New Roman" w:hAnsi="Times New Roman" w:cs="Times New Roman"/>
          <w:sz w:val="24"/>
          <w:szCs w:val="24"/>
        </w:rPr>
        <w:t>.  The</w:t>
      </w:r>
      <w:r w:rsidR="00374B32" w:rsidRPr="00A76739">
        <w:rPr>
          <w:rFonts w:ascii="Times New Roman" w:hAnsi="Times New Roman" w:cs="Times New Roman"/>
          <w:sz w:val="24"/>
          <w:szCs w:val="24"/>
        </w:rPr>
        <w:t xml:space="preserve"> surcharge process adds nothin</w:t>
      </w:r>
      <w:r w:rsidR="00392A48">
        <w:rPr>
          <w:rFonts w:ascii="Times New Roman" w:hAnsi="Times New Roman" w:cs="Times New Roman"/>
          <w:sz w:val="24"/>
          <w:szCs w:val="24"/>
        </w:rPr>
        <w:t>g of significance</w:t>
      </w:r>
      <w:r w:rsidR="00374B32" w:rsidRPr="00A76739">
        <w:rPr>
          <w:rFonts w:ascii="Times New Roman" w:hAnsi="Times New Roman" w:cs="Times New Roman"/>
          <w:sz w:val="24"/>
          <w:szCs w:val="24"/>
        </w:rPr>
        <w:t>.</w:t>
      </w:r>
    </w:p>
    <w:p w:rsidR="00DE6E60"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74B32" w:rsidRPr="00A76739">
        <w:rPr>
          <w:rFonts w:ascii="Times New Roman" w:hAnsi="Times New Roman" w:cs="Times New Roman"/>
          <w:sz w:val="24"/>
          <w:szCs w:val="24"/>
        </w:rPr>
        <w:t xml:space="preserve">In fact, Pipeline Safety Staff and PSE </w:t>
      </w:r>
      <w:r w:rsidR="00201CA3" w:rsidRPr="00A76739">
        <w:rPr>
          <w:rFonts w:ascii="Times New Roman" w:hAnsi="Times New Roman" w:cs="Times New Roman"/>
          <w:sz w:val="24"/>
          <w:szCs w:val="24"/>
        </w:rPr>
        <w:t xml:space="preserve">already </w:t>
      </w:r>
      <w:r w:rsidR="00374B32" w:rsidRPr="00A76739">
        <w:rPr>
          <w:rFonts w:ascii="Times New Roman" w:hAnsi="Times New Roman" w:cs="Times New Roman"/>
          <w:sz w:val="24"/>
          <w:szCs w:val="24"/>
        </w:rPr>
        <w:t>communic</w:t>
      </w:r>
      <w:r w:rsidR="00BE0701" w:rsidRPr="00A76739">
        <w:rPr>
          <w:rFonts w:ascii="Times New Roman" w:hAnsi="Times New Roman" w:cs="Times New Roman"/>
          <w:sz w:val="24"/>
          <w:szCs w:val="24"/>
        </w:rPr>
        <w:t xml:space="preserve">ate </w:t>
      </w:r>
      <w:r w:rsidR="00374B32" w:rsidRPr="00A76739">
        <w:rPr>
          <w:rFonts w:ascii="Times New Roman" w:hAnsi="Times New Roman" w:cs="Times New Roman"/>
          <w:sz w:val="24"/>
          <w:szCs w:val="24"/>
        </w:rPr>
        <w:t xml:space="preserve">on a more regular </w:t>
      </w:r>
      <w:r w:rsidR="00201CA3" w:rsidRPr="00A76739">
        <w:rPr>
          <w:rFonts w:ascii="Times New Roman" w:hAnsi="Times New Roman" w:cs="Times New Roman"/>
          <w:sz w:val="24"/>
          <w:szCs w:val="24"/>
        </w:rPr>
        <w:t xml:space="preserve">and frequent </w:t>
      </w:r>
      <w:r w:rsidR="00374B32" w:rsidRPr="00A76739">
        <w:rPr>
          <w:rFonts w:ascii="Times New Roman" w:hAnsi="Times New Roman" w:cs="Times New Roman"/>
          <w:sz w:val="24"/>
          <w:szCs w:val="24"/>
        </w:rPr>
        <w:t xml:space="preserve">basis than </w:t>
      </w:r>
      <w:r w:rsidR="00082732" w:rsidRPr="00A76739">
        <w:rPr>
          <w:rFonts w:ascii="Times New Roman" w:hAnsi="Times New Roman" w:cs="Times New Roman"/>
          <w:sz w:val="24"/>
          <w:szCs w:val="24"/>
        </w:rPr>
        <w:t xml:space="preserve">would be required under the </w:t>
      </w:r>
      <w:r w:rsidR="00374B32" w:rsidRPr="00A76739">
        <w:rPr>
          <w:rFonts w:ascii="Times New Roman" w:hAnsi="Times New Roman" w:cs="Times New Roman"/>
          <w:sz w:val="24"/>
          <w:szCs w:val="24"/>
        </w:rPr>
        <w:t>surcharge.</w:t>
      </w:r>
      <w:r w:rsidR="00201CA3">
        <w:rPr>
          <w:rStyle w:val="FootnoteReference"/>
          <w:rFonts w:ascii="Times New Roman" w:hAnsi="Times New Roman" w:cs="Times New Roman"/>
          <w:sz w:val="24"/>
          <w:szCs w:val="24"/>
        </w:rPr>
        <w:footnoteReference w:id="95"/>
      </w:r>
      <w:r w:rsidR="00374B32" w:rsidRPr="00A76739">
        <w:rPr>
          <w:rFonts w:ascii="Times New Roman" w:hAnsi="Times New Roman" w:cs="Times New Roman"/>
          <w:sz w:val="24"/>
          <w:szCs w:val="24"/>
        </w:rPr>
        <w:t xml:space="preserve">  </w:t>
      </w:r>
      <w:r w:rsidR="00201CA3" w:rsidRPr="00A76739">
        <w:rPr>
          <w:rFonts w:ascii="Times New Roman" w:hAnsi="Times New Roman" w:cs="Times New Roman"/>
          <w:sz w:val="24"/>
          <w:szCs w:val="24"/>
        </w:rPr>
        <w:t>Those meetings occur both quarterly and monthly.</w:t>
      </w:r>
      <w:r w:rsidR="00201CA3">
        <w:rPr>
          <w:rStyle w:val="FootnoteReference"/>
          <w:rFonts w:ascii="Times New Roman" w:hAnsi="Times New Roman" w:cs="Times New Roman"/>
          <w:sz w:val="24"/>
          <w:szCs w:val="24"/>
        </w:rPr>
        <w:footnoteReference w:id="96"/>
      </w:r>
      <w:r w:rsidR="00201CA3" w:rsidRPr="00A76739">
        <w:rPr>
          <w:rFonts w:ascii="Times New Roman" w:hAnsi="Times New Roman" w:cs="Times New Roman"/>
          <w:sz w:val="24"/>
          <w:szCs w:val="24"/>
        </w:rPr>
        <w:t xml:space="preserve">  They provide a forum for Pipeline Safety Staff to advocate for pipeline replacement work t</w:t>
      </w:r>
      <w:r w:rsidR="00884C55" w:rsidRPr="00A76739">
        <w:rPr>
          <w:rFonts w:ascii="Times New Roman" w:hAnsi="Times New Roman" w:cs="Times New Roman"/>
          <w:sz w:val="24"/>
          <w:szCs w:val="24"/>
        </w:rPr>
        <w:t>hey believe PSE should pursue</w:t>
      </w:r>
      <w:r w:rsidR="00201CA3" w:rsidRPr="00A76739">
        <w:rPr>
          <w:rFonts w:ascii="Times New Roman" w:hAnsi="Times New Roman" w:cs="Times New Roman"/>
          <w:sz w:val="24"/>
          <w:szCs w:val="24"/>
        </w:rPr>
        <w:t>.</w:t>
      </w:r>
      <w:r w:rsidR="00201CA3">
        <w:rPr>
          <w:rStyle w:val="FootnoteReference"/>
          <w:rFonts w:ascii="Times New Roman" w:hAnsi="Times New Roman" w:cs="Times New Roman"/>
          <w:sz w:val="24"/>
          <w:szCs w:val="24"/>
        </w:rPr>
        <w:footnoteReference w:id="97"/>
      </w:r>
      <w:r w:rsidR="00BE0701" w:rsidRPr="00A76739">
        <w:rPr>
          <w:rFonts w:ascii="Times New Roman" w:hAnsi="Times New Roman" w:cs="Times New Roman"/>
          <w:sz w:val="24"/>
          <w:szCs w:val="24"/>
        </w:rPr>
        <w:t xml:space="preserve">  </w:t>
      </w:r>
      <w:r w:rsidR="00DE6E60" w:rsidRPr="00A76739">
        <w:rPr>
          <w:rFonts w:ascii="Times New Roman" w:hAnsi="Times New Roman" w:cs="Times New Roman"/>
          <w:sz w:val="24"/>
          <w:szCs w:val="24"/>
        </w:rPr>
        <w:t>They also have already resulted in Pipeline Safety Staff</w:t>
      </w:r>
      <w:r w:rsidR="00884C55" w:rsidRPr="00A76739">
        <w:rPr>
          <w:rFonts w:ascii="Times New Roman" w:hAnsi="Times New Roman" w:cs="Times New Roman"/>
          <w:sz w:val="24"/>
          <w:szCs w:val="24"/>
        </w:rPr>
        <w:t xml:space="preserve"> review of the risk model us</w:t>
      </w:r>
      <w:r w:rsidR="00DE6E60" w:rsidRPr="00A76739">
        <w:rPr>
          <w:rFonts w:ascii="Times New Roman" w:hAnsi="Times New Roman" w:cs="Times New Roman"/>
          <w:sz w:val="24"/>
          <w:szCs w:val="24"/>
        </w:rPr>
        <w:t>ed by PSE to set priorities for pipeline replacement.</w:t>
      </w:r>
      <w:r w:rsidR="00DE6E60">
        <w:rPr>
          <w:rStyle w:val="FootnoteReference"/>
          <w:rFonts w:ascii="Times New Roman" w:hAnsi="Times New Roman" w:cs="Times New Roman"/>
          <w:sz w:val="24"/>
          <w:szCs w:val="24"/>
        </w:rPr>
        <w:footnoteReference w:id="98"/>
      </w:r>
      <w:r w:rsidR="00DE6E60" w:rsidRPr="00A76739">
        <w:rPr>
          <w:rFonts w:ascii="Times New Roman" w:hAnsi="Times New Roman" w:cs="Times New Roman"/>
          <w:sz w:val="24"/>
          <w:szCs w:val="24"/>
        </w:rPr>
        <w:t xml:space="preserve">  </w:t>
      </w:r>
    </w:p>
    <w:p w:rsidR="00374B32"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E0701" w:rsidRPr="00A76739">
        <w:rPr>
          <w:rFonts w:ascii="Times New Roman" w:hAnsi="Times New Roman" w:cs="Times New Roman"/>
          <w:sz w:val="24"/>
          <w:szCs w:val="24"/>
        </w:rPr>
        <w:t>Both Pipeline Safety Staf</w:t>
      </w:r>
      <w:r w:rsidR="00DE6E60" w:rsidRPr="00A76739">
        <w:rPr>
          <w:rFonts w:ascii="Times New Roman" w:hAnsi="Times New Roman" w:cs="Times New Roman"/>
          <w:sz w:val="24"/>
          <w:szCs w:val="24"/>
        </w:rPr>
        <w:t>f a</w:t>
      </w:r>
      <w:r w:rsidR="00884C55" w:rsidRPr="00A76739">
        <w:rPr>
          <w:rFonts w:ascii="Times New Roman" w:hAnsi="Times New Roman" w:cs="Times New Roman"/>
          <w:sz w:val="24"/>
          <w:szCs w:val="24"/>
        </w:rPr>
        <w:t xml:space="preserve">nd PSE agree that these </w:t>
      </w:r>
      <w:r w:rsidR="00DE6E60" w:rsidRPr="00A76739">
        <w:rPr>
          <w:rFonts w:ascii="Times New Roman" w:hAnsi="Times New Roman" w:cs="Times New Roman"/>
          <w:sz w:val="24"/>
          <w:szCs w:val="24"/>
        </w:rPr>
        <w:t xml:space="preserve">communications </w:t>
      </w:r>
      <w:r w:rsidR="00BE0701" w:rsidRPr="00A76739">
        <w:rPr>
          <w:rFonts w:ascii="Times New Roman" w:hAnsi="Times New Roman" w:cs="Times New Roman"/>
          <w:sz w:val="24"/>
          <w:szCs w:val="24"/>
        </w:rPr>
        <w:t>will continue even if the Comm</w:t>
      </w:r>
      <w:r w:rsidR="00392A48">
        <w:rPr>
          <w:rFonts w:ascii="Times New Roman" w:hAnsi="Times New Roman" w:cs="Times New Roman"/>
          <w:sz w:val="24"/>
          <w:szCs w:val="24"/>
        </w:rPr>
        <w:t xml:space="preserve">ission rejects </w:t>
      </w:r>
      <w:r w:rsidR="00082732" w:rsidRPr="00A76739">
        <w:rPr>
          <w:rFonts w:ascii="Times New Roman" w:hAnsi="Times New Roman" w:cs="Times New Roman"/>
          <w:sz w:val="24"/>
          <w:szCs w:val="24"/>
        </w:rPr>
        <w:t xml:space="preserve">the </w:t>
      </w:r>
      <w:r w:rsidR="00BE0701" w:rsidRPr="00A76739">
        <w:rPr>
          <w:rFonts w:ascii="Times New Roman" w:hAnsi="Times New Roman" w:cs="Times New Roman"/>
          <w:sz w:val="24"/>
          <w:szCs w:val="24"/>
        </w:rPr>
        <w:t>surcharge.</w:t>
      </w:r>
      <w:r w:rsidR="00BE0701">
        <w:rPr>
          <w:rStyle w:val="FootnoteReference"/>
          <w:rFonts w:ascii="Times New Roman" w:hAnsi="Times New Roman" w:cs="Times New Roman"/>
          <w:sz w:val="24"/>
          <w:szCs w:val="24"/>
        </w:rPr>
        <w:footnoteReference w:id="99"/>
      </w:r>
      <w:r w:rsidR="00BE0701" w:rsidRPr="00A76739">
        <w:rPr>
          <w:rFonts w:ascii="Times New Roman" w:hAnsi="Times New Roman" w:cs="Times New Roman"/>
          <w:sz w:val="24"/>
          <w:szCs w:val="24"/>
        </w:rPr>
        <w:t xml:space="preserve">  That forum will include Pipeline Safety </w:t>
      </w:r>
      <w:r w:rsidR="00BE0701" w:rsidRPr="00A76739">
        <w:rPr>
          <w:rFonts w:ascii="Times New Roman" w:hAnsi="Times New Roman" w:cs="Times New Roman"/>
          <w:sz w:val="24"/>
          <w:szCs w:val="24"/>
        </w:rPr>
        <w:lastRenderedPageBreak/>
        <w:t xml:space="preserve">Staff consultation on the Company’s plastic pipeline replacement efforts, as well as </w:t>
      </w:r>
      <w:r w:rsidR="00DE6E60" w:rsidRPr="00A76739">
        <w:rPr>
          <w:rFonts w:ascii="Times New Roman" w:hAnsi="Times New Roman" w:cs="Times New Roman"/>
          <w:sz w:val="24"/>
          <w:szCs w:val="24"/>
        </w:rPr>
        <w:t>the Company’s integration of DIMP regulations that went into effect recently in August 2011.</w:t>
      </w:r>
      <w:r w:rsidR="00DE6E60">
        <w:rPr>
          <w:rStyle w:val="FootnoteReference"/>
          <w:rFonts w:ascii="Times New Roman" w:hAnsi="Times New Roman" w:cs="Times New Roman"/>
          <w:sz w:val="24"/>
          <w:szCs w:val="24"/>
        </w:rPr>
        <w:footnoteReference w:id="100"/>
      </w:r>
    </w:p>
    <w:p w:rsidR="00DE6E60"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E6E60" w:rsidRPr="00A76739">
        <w:rPr>
          <w:rFonts w:ascii="Times New Roman" w:hAnsi="Times New Roman" w:cs="Times New Roman"/>
          <w:sz w:val="24"/>
          <w:szCs w:val="24"/>
        </w:rPr>
        <w:t xml:space="preserve">The Company does not dispute that consultations between PSE and Pipeline Safety Staff have resulted in accelerated </w:t>
      </w:r>
      <w:r w:rsidR="002462E4" w:rsidRPr="00A76739">
        <w:rPr>
          <w:rFonts w:ascii="Times New Roman" w:hAnsi="Times New Roman" w:cs="Times New Roman"/>
          <w:sz w:val="24"/>
          <w:szCs w:val="24"/>
        </w:rPr>
        <w:t>replacement of higher risk pipeline.  The Company’s accelerated cast iron and bare steel pipeline repl</w:t>
      </w:r>
      <w:r w:rsidR="00A61C4D" w:rsidRPr="00A76739">
        <w:rPr>
          <w:rFonts w:ascii="Times New Roman" w:hAnsi="Times New Roman" w:cs="Times New Roman"/>
          <w:sz w:val="24"/>
          <w:szCs w:val="24"/>
        </w:rPr>
        <w:t xml:space="preserve">acement programs are </w:t>
      </w:r>
      <w:r w:rsidR="002462E4" w:rsidRPr="00A76739">
        <w:rPr>
          <w:rFonts w:ascii="Times New Roman" w:hAnsi="Times New Roman" w:cs="Times New Roman"/>
          <w:sz w:val="24"/>
          <w:szCs w:val="24"/>
        </w:rPr>
        <w:t>examples.</w:t>
      </w:r>
      <w:r w:rsidR="00415533">
        <w:rPr>
          <w:rStyle w:val="FootnoteReference"/>
          <w:rFonts w:ascii="Times New Roman" w:hAnsi="Times New Roman" w:cs="Times New Roman"/>
          <w:sz w:val="24"/>
          <w:szCs w:val="24"/>
        </w:rPr>
        <w:footnoteReference w:id="101"/>
      </w:r>
      <w:r w:rsidR="002462E4" w:rsidRPr="00A76739">
        <w:rPr>
          <w:rFonts w:ascii="Times New Roman" w:hAnsi="Times New Roman" w:cs="Times New Roman"/>
          <w:sz w:val="24"/>
          <w:szCs w:val="24"/>
        </w:rPr>
        <w:t xml:space="preserve">  </w:t>
      </w:r>
    </w:p>
    <w:p w:rsidR="003E32A6"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462E4" w:rsidRPr="00A76739">
        <w:rPr>
          <w:rFonts w:ascii="Times New Roman" w:hAnsi="Times New Roman" w:cs="Times New Roman"/>
          <w:sz w:val="24"/>
          <w:szCs w:val="24"/>
        </w:rPr>
        <w:t>Instead, PS</w:t>
      </w:r>
      <w:r w:rsidR="00A61C4D" w:rsidRPr="00A76739">
        <w:rPr>
          <w:rFonts w:ascii="Times New Roman" w:hAnsi="Times New Roman" w:cs="Times New Roman"/>
          <w:sz w:val="24"/>
          <w:szCs w:val="24"/>
        </w:rPr>
        <w:t xml:space="preserve">E argues that </w:t>
      </w:r>
      <w:r w:rsidR="002462E4" w:rsidRPr="00A76739">
        <w:rPr>
          <w:rFonts w:ascii="Times New Roman" w:hAnsi="Times New Roman" w:cs="Times New Roman"/>
          <w:sz w:val="24"/>
          <w:szCs w:val="24"/>
        </w:rPr>
        <w:t>the</w:t>
      </w:r>
      <w:r w:rsidR="00884C55" w:rsidRPr="00A76739">
        <w:rPr>
          <w:rFonts w:ascii="Times New Roman" w:hAnsi="Times New Roman" w:cs="Times New Roman"/>
          <w:sz w:val="24"/>
          <w:szCs w:val="24"/>
        </w:rPr>
        <w:t xml:space="preserve">se prior </w:t>
      </w:r>
      <w:r w:rsidR="00367C06" w:rsidRPr="00A76739">
        <w:rPr>
          <w:rFonts w:ascii="Times New Roman" w:hAnsi="Times New Roman" w:cs="Times New Roman"/>
          <w:sz w:val="24"/>
          <w:szCs w:val="24"/>
        </w:rPr>
        <w:t xml:space="preserve">efforts </w:t>
      </w:r>
      <w:r w:rsidR="002462E4" w:rsidRPr="00A76739">
        <w:rPr>
          <w:rFonts w:ascii="Times New Roman" w:hAnsi="Times New Roman" w:cs="Times New Roman"/>
          <w:sz w:val="24"/>
          <w:szCs w:val="24"/>
        </w:rPr>
        <w:t>occurred in the context of Commission formal complaints, rather than through non-adversarial collaboration</w:t>
      </w:r>
      <w:r w:rsidR="00A61C4D" w:rsidRPr="00A76739">
        <w:rPr>
          <w:rFonts w:ascii="Times New Roman" w:hAnsi="Times New Roman" w:cs="Times New Roman"/>
          <w:sz w:val="24"/>
          <w:szCs w:val="24"/>
        </w:rPr>
        <w:t xml:space="preserve"> between Pipeline Safety Staff and the Company</w:t>
      </w:r>
      <w:r w:rsidR="002462E4" w:rsidRPr="00A76739">
        <w:rPr>
          <w:rFonts w:ascii="Times New Roman" w:hAnsi="Times New Roman" w:cs="Times New Roman"/>
          <w:sz w:val="24"/>
          <w:szCs w:val="24"/>
        </w:rPr>
        <w:t>.</w:t>
      </w:r>
      <w:r w:rsidR="002462E4">
        <w:rPr>
          <w:rStyle w:val="FootnoteReference"/>
          <w:rFonts w:ascii="Times New Roman" w:hAnsi="Times New Roman" w:cs="Times New Roman"/>
          <w:sz w:val="24"/>
          <w:szCs w:val="24"/>
        </w:rPr>
        <w:footnoteReference w:id="102"/>
      </w:r>
      <w:r w:rsidR="0025177D" w:rsidRPr="00A76739">
        <w:rPr>
          <w:rFonts w:ascii="Times New Roman" w:hAnsi="Times New Roman" w:cs="Times New Roman"/>
          <w:sz w:val="24"/>
          <w:szCs w:val="24"/>
        </w:rPr>
        <w:t xml:space="preserve">  As we explained above</w:t>
      </w:r>
      <w:r w:rsidR="00415533" w:rsidRPr="00A76739">
        <w:rPr>
          <w:rFonts w:ascii="Times New Roman" w:hAnsi="Times New Roman" w:cs="Times New Roman"/>
          <w:sz w:val="24"/>
          <w:szCs w:val="24"/>
        </w:rPr>
        <w:t xml:space="preserve">, however, </w:t>
      </w:r>
      <w:r w:rsidR="0025177D" w:rsidRPr="00A76739">
        <w:rPr>
          <w:rFonts w:ascii="Times New Roman" w:hAnsi="Times New Roman" w:cs="Times New Roman"/>
          <w:sz w:val="24"/>
          <w:szCs w:val="24"/>
        </w:rPr>
        <w:t xml:space="preserve">non-adversarial results are still not guaranteed </w:t>
      </w:r>
      <w:r w:rsidR="003E32A6" w:rsidRPr="00A76739">
        <w:rPr>
          <w:rFonts w:ascii="Times New Roman" w:hAnsi="Times New Roman" w:cs="Times New Roman"/>
          <w:sz w:val="24"/>
          <w:szCs w:val="24"/>
        </w:rPr>
        <w:t xml:space="preserve">under the </w:t>
      </w:r>
      <w:r w:rsidR="0025177D" w:rsidRPr="00A76739">
        <w:rPr>
          <w:rFonts w:ascii="Times New Roman" w:hAnsi="Times New Roman" w:cs="Times New Roman"/>
          <w:sz w:val="24"/>
          <w:szCs w:val="24"/>
        </w:rPr>
        <w:t>annual consultations that would occur with the surcharge</w:t>
      </w:r>
      <w:r w:rsidR="000D0B07" w:rsidRPr="00A76739">
        <w:rPr>
          <w:rFonts w:ascii="Times New Roman" w:hAnsi="Times New Roman" w:cs="Times New Roman"/>
          <w:sz w:val="24"/>
          <w:szCs w:val="24"/>
        </w:rPr>
        <w:t xml:space="preserve">.  </w:t>
      </w:r>
    </w:p>
    <w:p w:rsidR="00323354"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D0B07" w:rsidRPr="00A76739">
        <w:rPr>
          <w:rFonts w:ascii="Times New Roman" w:hAnsi="Times New Roman" w:cs="Times New Roman"/>
          <w:sz w:val="24"/>
          <w:szCs w:val="24"/>
        </w:rPr>
        <w:t>Moreover, since</w:t>
      </w:r>
      <w:r w:rsidR="00367C06" w:rsidRPr="00A76739">
        <w:rPr>
          <w:rFonts w:ascii="Times New Roman" w:hAnsi="Times New Roman" w:cs="Times New Roman"/>
          <w:sz w:val="24"/>
          <w:szCs w:val="24"/>
        </w:rPr>
        <w:t xml:space="preserve"> prior </w:t>
      </w:r>
      <w:r w:rsidR="00884C55" w:rsidRPr="00A76739">
        <w:rPr>
          <w:rFonts w:ascii="Times New Roman" w:hAnsi="Times New Roman" w:cs="Times New Roman"/>
          <w:sz w:val="24"/>
          <w:szCs w:val="24"/>
        </w:rPr>
        <w:t>Commission complaint</w:t>
      </w:r>
      <w:r w:rsidR="00B86844" w:rsidRPr="00A76739">
        <w:rPr>
          <w:rFonts w:ascii="Times New Roman" w:hAnsi="Times New Roman" w:cs="Times New Roman"/>
          <w:sz w:val="24"/>
          <w:szCs w:val="24"/>
        </w:rPr>
        <w:t>s</w:t>
      </w:r>
      <w:r w:rsidR="00884C55" w:rsidRPr="00A76739">
        <w:rPr>
          <w:rFonts w:ascii="Times New Roman" w:hAnsi="Times New Roman" w:cs="Times New Roman"/>
          <w:sz w:val="24"/>
          <w:szCs w:val="24"/>
        </w:rPr>
        <w:t xml:space="preserve"> </w:t>
      </w:r>
      <w:r w:rsidR="0025177D" w:rsidRPr="00A76739">
        <w:rPr>
          <w:rFonts w:ascii="Times New Roman" w:hAnsi="Times New Roman" w:cs="Times New Roman"/>
          <w:sz w:val="24"/>
          <w:szCs w:val="24"/>
        </w:rPr>
        <w:t xml:space="preserve">were successful in accelerating the </w:t>
      </w:r>
      <w:r w:rsidR="00415533" w:rsidRPr="00A76739">
        <w:rPr>
          <w:rFonts w:ascii="Times New Roman" w:hAnsi="Times New Roman" w:cs="Times New Roman"/>
          <w:sz w:val="24"/>
          <w:szCs w:val="24"/>
        </w:rPr>
        <w:t xml:space="preserve">replacement </w:t>
      </w:r>
      <w:r w:rsidR="000D0B07" w:rsidRPr="00A76739">
        <w:rPr>
          <w:rFonts w:ascii="Times New Roman" w:hAnsi="Times New Roman" w:cs="Times New Roman"/>
          <w:sz w:val="24"/>
          <w:szCs w:val="24"/>
        </w:rPr>
        <w:t>of higher risk pipeline like</w:t>
      </w:r>
      <w:r w:rsidR="00884C55" w:rsidRPr="00A76739">
        <w:rPr>
          <w:rFonts w:ascii="Times New Roman" w:hAnsi="Times New Roman" w:cs="Times New Roman"/>
          <w:sz w:val="24"/>
          <w:szCs w:val="24"/>
        </w:rPr>
        <w:t xml:space="preserve"> cast iron and bare steel, </w:t>
      </w:r>
      <w:r w:rsidR="000D0B07" w:rsidRPr="00A76739">
        <w:rPr>
          <w:rFonts w:ascii="Times New Roman" w:hAnsi="Times New Roman" w:cs="Times New Roman"/>
          <w:sz w:val="24"/>
          <w:szCs w:val="24"/>
        </w:rPr>
        <w:t xml:space="preserve">perhaps that </w:t>
      </w:r>
      <w:r w:rsidR="00411681">
        <w:rPr>
          <w:rFonts w:ascii="Times New Roman" w:hAnsi="Times New Roman" w:cs="Times New Roman"/>
          <w:sz w:val="24"/>
          <w:szCs w:val="24"/>
        </w:rPr>
        <w:t xml:space="preserve">is the </w:t>
      </w:r>
      <w:r w:rsidR="000D0B07" w:rsidRPr="00A76739">
        <w:rPr>
          <w:rFonts w:ascii="Times New Roman" w:hAnsi="Times New Roman" w:cs="Times New Roman"/>
          <w:sz w:val="24"/>
          <w:szCs w:val="24"/>
        </w:rPr>
        <w:t xml:space="preserve">process </w:t>
      </w:r>
      <w:r w:rsidR="00411681">
        <w:rPr>
          <w:rFonts w:ascii="Times New Roman" w:hAnsi="Times New Roman" w:cs="Times New Roman"/>
          <w:sz w:val="24"/>
          <w:szCs w:val="24"/>
        </w:rPr>
        <w:t xml:space="preserve">that </w:t>
      </w:r>
      <w:r w:rsidR="000D0B07" w:rsidRPr="00A76739">
        <w:rPr>
          <w:rFonts w:ascii="Times New Roman" w:hAnsi="Times New Roman" w:cs="Times New Roman"/>
          <w:sz w:val="24"/>
          <w:szCs w:val="24"/>
        </w:rPr>
        <w:t xml:space="preserve">should also be used to accelerate pipeline </w:t>
      </w:r>
      <w:r w:rsidR="002B4A21" w:rsidRPr="00A76739">
        <w:rPr>
          <w:rFonts w:ascii="Times New Roman" w:hAnsi="Times New Roman" w:cs="Times New Roman"/>
          <w:sz w:val="24"/>
          <w:szCs w:val="24"/>
        </w:rPr>
        <w:t xml:space="preserve">replacement </w:t>
      </w:r>
      <w:r w:rsidR="003E32A6" w:rsidRPr="00A76739">
        <w:rPr>
          <w:rFonts w:ascii="Times New Roman" w:hAnsi="Times New Roman" w:cs="Times New Roman"/>
          <w:sz w:val="24"/>
          <w:szCs w:val="24"/>
        </w:rPr>
        <w:t xml:space="preserve">targeted by the </w:t>
      </w:r>
      <w:r w:rsidR="0025177D" w:rsidRPr="00A76739">
        <w:rPr>
          <w:rFonts w:ascii="Times New Roman" w:hAnsi="Times New Roman" w:cs="Times New Roman"/>
          <w:sz w:val="24"/>
          <w:szCs w:val="24"/>
        </w:rPr>
        <w:t xml:space="preserve">new </w:t>
      </w:r>
      <w:r w:rsidR="000D0B07" w:rsidRPr="00A76739">
        <w:rPr>
          <w:rFonts w:ascii="Times New Roman" w:hAnsi="Times New Roman" w:cs="Times New Roman"/>
          <w:sz w:val="24"/>
          <w:szCs w:val="24"/>
        </w:rPr>
        <w:t>surcharge.</w:t>
      </w:r>
    </w:p>
    <w:p w:rsidR="00323354" w:rsidRDefault="00323354" w:rsidP="0067553A">
      <w:pPr>
        <w:keepNext/>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750D67">
        <w:rPr>
          <w:rFonts w:ascii="Times New Roman" w:hAnsi="Times New Roman" w:cs="Times New Roman"/>
          <w:b/>
          <w:sz w:val="24"/>
          <w:szCs w:val="24"/>
        </w:rPr>
        <w:t>The Proposed Surcharge</w:t>
      </w:r>
      <w:r w:rsidR="0082073E">
        <w:rPr>
          <w:rFonts w:ascii="Times New Roman" w:hAnsi="Times New Roman" w:cs="Times New Roman"/>
          <w:b/>
          <w:sz w:val="24"/>
          <w:szCs w:val="24"/>
        </w:rPr>
        <w:t xml:space="preserve"> is Flawed Because It Does Not Define the Process by Which Pipeline Replacement Projects Would be Reviewed</w:t>
      </w:r>
    </w:p>
    <w:p w:rsidR="00323354" w:rsidRDefault="00323354" w:rsidP="0067553A">
      <w:pPr>
        <w:keepNext/>
        <w:spacing w:after="0" w:line="240" w:lineRule="auto"/>
        <w:ind w:left="1080" w:hanging="360"/>
        <w:rPr>
          <w:rFonts w:ascii="Times New Roman" w:hAnsi="Times New Roman" w:cs="Times New Roman"/>
          <w:b/>
          <w:sz w:val="24"/>
          <w:szCs w:val="24"/>
        </w:rPr>
      </w:pPr>
    </w:p>
    <w:p w:rsidR="00323354" w:rsidRPr="00A76739" w:rsidRDefault="00A76739" w:rsidP="00A7673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10AB6" w:rsidRPr="00A76739">
        <w:rPr>
          <w:rFonts w:ascii="Times New Roman" w:hAnsi="Times New Roman" w:cs="Times New Roman"/>
          <w:sz w:val="24"/>
          <w:szCs w:val="24"/>
        </w:rPr>
        <w:t>Earlier we explained why</w:t>
      </w:r>
      <w:r w:rsidR="0097419F" w:rsidRPr="00A76739">
        <w:rPr>
          <w:rFonts w:ascii="Times New Roman" w:hAnsi="Times New Roman" w:cs="Times New Roman"/>
          <w:sz w:val="24"/>
          <w:szCs w:val="24"/>
        </w:rPr>
        <w:t xml:space="preserve"> the lack of specificity by PSE regarding the scope, cost and timing of a pipeline replacement program negates any showing of ratepayer benefit from paying higher rates soon</w:t>
      </w:r>
      <w:r w:rsidR="00247D92" w:rsidRPr="00A76739">
        <w:rPr>
          <w:rFonts w:ascii="Times New Roman" w:hAnsi="Times New Roman" w:cs="Times New Roman"/>
          <w:sz w:val="24"/>
          <w:szCs w:val="24"/>
        </w:rPr>
        <w:t>er under the new surcharge.  This lack of clarity</w:t>
      </w:r>
      <w:r w:rsidR="0032308F" w:rsidRPr="00A76739">
        <w:rPr>
          <w:rFonts w:ascii="Times New Roman" w:hAnsi="Times New Roman" w:cs="Times New Roman"/>
          <w:sz w:val="24"/>
          <w:szCs w:val="24"/>
        </w:rPr>
        <w:t xml:space="preserve"> </w:t>
      </w:r>
      <w:r w:rsidR="0097419F" w:rsidRPr="00A76739">
        <w:rPr>
          <w:rFonts w:ascii="Times New Roman" w:hAnsi="Times New Roman" w:cs="Times New Roman"/>
          <w:sz w:val="24"/>
          <w:szCs w:val="24"/>
        </w:rPr>
        <w:t>ext</w:t>
      </w:r>
      <w:r w:rsidR="00E347C0" w:rsidRPr="00A76739">
        <w:rPr>
          <w:rFonts w:ascii="Times New Roman" w:hAnsi="Times New Roman" w:cs="Times New Roman"/>
          <w:sz w:val="24"/>
          <w:szCs w:val="24"/>
        </w:rPr>
        <w:t xml:space="preserve">ends to the process PSE </w:t>
      </w:r>
      <w:r w:rsidR="0097419F" w:rsidRPr="00A76739">
        <w:rPr>
          <w:rFonts w:ascii="Times New Roman" w:hAnsi="Times New Roman" w:cs="Times New Roman"/>
          <w:sz w:val="24"/>
          <w:szCs w:val="24"/>
        </w:rPr>
        <w:t xml:space="preserve">envisions </w:t>
      </w:r>
      <w:r w:rsidR="0032308F" w:rsidRPr="00A76739">
        <w:rPr>
          <w:rFonts w:ascii="Times New Roman" w:hAnsi="Times New Roman" w:cs="Times New Roman"/>
          <w:sz w:val="24"/>
          <w:szCs w:val="24"/>
        </w:rPr>
        <w:t>for review by stakeho</w:t>
      </w:r>
      <w:r w:rsidR="00411681">
        <w:rPr>
          <w:rFonts w:ascii="Times New Roman" w:hAnsi="Times New Roman" w:cs="Times New Roman"/>
          <w:sz w:val="24"/>
          <w:szCs w:val="24"/>
        </w:rPr>
        <w:t xml:space="preserve">lders and the Commission itself </w:t>
      </w:r>
      <w:r w:rsidR="0032308F" w:rsidRPr="00A76739">
        <w:rPr>
          <w:rFonts w:ascii="Times New Roman" w:hAnsi="Times New Roman" w:cs="Times New Roman"/>
          <w:sz w:val="24"/>
          <w:szCs w:val="24"/>
        </w:rPr>
        <w:t>of pipeline replacement</w:t>
      </w:r>
      <w:r w:rsidR="005E134D" w:rsidRPr="00A76739">
        <w:rPr>
          <w:rFonts w:ascii="Times New Roman" w:hAnsi="Times New Roman" w:cs="Times New Roman"/>
          <w:sz w:val="24"/>
          <w:szCs w:val="24"/>
        </w:rPr>
        <w:t xml:space="preserve"> projects</w:t>
      </w:r>
      <w:r w:rsidR="0032308F" w:rsidRPr="00A76739">
        <w:rPr>
          <w:rFonts w:ascii="Times New Roman" w:hAnsi="Times New Roman" w:cs="Times New Roman"/>
          <w:sz w:val="24"/>
          <w:szCs w:val="24"/>
        </w:rPr>
        <w:t xml:space="preserve"> that </w:t>
      </w:r>
      <w:r w:rsidR="005A6287" w:rsidRPr="00A76739">
        <w:rPr>
          <w:rFonts w:ascii="Times New Roman" w:hAnsi="Times New Roman" w:cs="Times New Roman"/>
          <w:sz w:val="24"/>
          <w:szCs w:val="24"/>
        </w:rPr>
        <w:t xml:space="preserve">nevertheless </w:t>
      </w:r>
      <w:r w:rsidR="0032308F" w:rsidRPr="00A76739">
        <w:rPr>
          <w:rFonts w:ascii="Times New Roman" w:hAnsi="Times New Roman" w:cs="Times New Roman"/>
          <w:sz w:val="24"/>
          <w:szCs w:val="24"/>
        </w:rPr>
        <w:t xml:space="preserve">would be recovered through the </w:t>
      </w:r>
      <w:r w:rsidR="005A6287" w:rsidRPr="00A76739">
        <w:rPr>
          <w:rFonts w:ascii="Times New Roman" w:hAnsi="Times New Roman" w:cs="Times New Roman"/>
          <w:sz w:val="24"/>
          <w:szCs w:val="24"/>
        </w:rPr>
        <w:t xml:space="preserve">new </w:t>
      </w:r>
      <w:r w:rsidR="0032308F" w:rsidRPr="00A76739">
        <w:rPr>
          <w:rFonts w:ascii="Times New Roman" w:hAnsi="Times New Roman" w:cs="Times New Roman"/>
          <w:sz w:val="24"/>
          <w:szCs w:val="24"/>
        </w:rPr>
        <w:t>surcharge</w:t>
      </w:r>
      <w:r w:rsidR="00E347C0" w:rsidRPr="00A76739">
        <w:rPr>
          <w:rFonts w:ascii="Times New Roman" w:hAnsi="Times New Roman" w:cs="Times New Roman"/>
          <w:sz w:val="24"/>
          <w:szCs w:val="24"/>
        </w:rPr>
        <w:t>.</w:t>
      </w:r>
      <w:r w:rsidR="005E134D" w:rsidRPr="00A76739">
        <w:rPr>
          <w:rFonts w:ascii="Times New Roman" w:hAnsi="Times New Roman" w:cs="Times New Roman"/>
          <w:sz w:val="24"/>
          <w:szCs w:val="24"/>
        </w:rPr>
        <w:t xml:space="preserve">  </w:t>
      </w:r>
    </w:p>
    <w:p w:rsidR="00132856" w:rsidRPr="00286389" w:rsidRDefault="00286389" w:rsidP="0028638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2308F" w:rsidRPr="00286389">
        <w:rPr>
          <w:rFonts w:ascii="Times New Roman" w:hAnsi="Times New Roman" w:cs="Times New Roman"/>
          <w:sz w:val="24"/>
          <w:szCs w:val="24"/>
        </w:rPr>
        <w:t xml:space="preserve">In fact, it became quite clear during the hearings that the Company simply has not thought through important </w:t>
      </w:r>
      <w:r w:rsidR="005A6287" w:rsidRPr="00286389">
        <w:rPr>
          <w:rFonts w:ascii="Times New Roman" w:hAnsi="Times New Roman" w:cs="Times New Roman"/>
          <w:sz w:val="24"/>
          <w:szCs w:val="24"/>
        </w:rPr>
        <w:t xml:space="preserve">procedural </w:t>
      </w:r>
      <w:r w:rsidR="0032308F" w:rsidRPr="00286389">
        <w:rPr>
          <w:rFonts w:ascii="Times New Roman" w:hAnsi="Times New Roman" w:cs="Times New Roman"/>
          <w:sz w:val="24"/>
          <w:szCs w:val="24"/>
        </w:rPr>
        <w:t>details of its proposal</w:t>
      </w:r>
      <w:r w:rsidR="005E134D" w:rsidRPr="00286389">
        <w:rPr>
          <w:rFonts w:ascii="Times New Roman" w:hAnsi="Times New Roman" w:cs="Times New Roman"/>
          <w:sz w:val="24"/>
          <w:szCs w:val="24"/>
        </w:rPr>
        <w:t xml:space="preserve">, including exactly when and </w:t>
      </w:r>
      <w:r w:rsidR="005E134D" w:rsidRPr="00286389">
        <w:rPr>
          <w:rFonts w:ascii="Times New Roman" w:hAnsi="Times New Roman" w:cs="Times New Roman"/>
          <w:sz w:val="24"/>
          <w:szCs w:val="24"/>
        </w:rPr>
        <w:lastRenderedPageBreak/>
        <w:t>how projects would b</w:t>
      </w:r>
      <w:r w:rsidR="00411681">
        <w:rPr>
          <w:rFonts w:ascii="Times New Roman" w:hAnsi="Times New Roman" w:cs="Times New Roman"/>
          <w:sz w:val="24"/>
          <w:szCs w:val="24"/>
        </w:rPr>
        <w:t>e reviewed for prudence and cost</w:t>
      </w:r>
      <w:r w:rsidR="0032308F" w:rsidRPr="00286389">
        <w:rPr>
          <w:rFonts w:ascii="Times New Roman" w:hAnsi="Times New Roman" w:cs="Times New Roman"/>
          <w:sz w:val="24"/>
          <w:szCs w:val="24"/>
        </w:rPr>
        <w:t>.</w:t>
      </w:r>
      <w:r w:rsidR="00411681">
        <w:rPr>
          <w:rFonts w:ascii="Times New Roman" w:hAnsi="Times New Roman" w:cs="Times New Roman"/>
          <w:sz w:val="24"/>
          <w:szCs w:val="24"/>
        </w:rPr>
        <w:t xml:space="preserve">  All PSE </w:t>
      </w:r>
      <w:r w:rsidR="005E134D" w:rsidRPr="00286389">
        <w:rPr>
          <w:rFonts w:ascii="Times New Roman" w:hAnsi="Times New Roman" w:cs="Times New Roman"/>
          <w:sz w:val="24"/>
          <w:szCs w:val="24"/>
        </w:rPr>
        <w:t xml:space="preserve">could clarify is that the Commission would be presented </w:t>
      </w:r>
      <w:r w:rsidR="005A6287" w:rsidRPr="00286389">
        <w:rPr>
          <w:rFonts w:ascii="Times New Roman" w:hAnsi="Times New Roman" w:cs="Times New Roman"/>
          <w:sz w:val="24"/>
          <w:szCs w:val="24"/>
        </w:rPr>
        <w:t>with</w:t>
      </w:r>
      <w:r w:rsidR="00E10AB6" w:rsidRPr="00286389">
        <w:rPr>
          <w:rFonts w:ascii="Times New Roman" w:hAnsi="Times New Roman" w:cs="Times New Roman"/>
          <w:sz w:val="24"/>
          <w:szCs w:val="24"/>
        </w:rPr>
        <w:t xml:space="preserve"> an initial filing </w:t>
      </w:r>
      <w:r w:rsidR="005A6287" w:rsidRPr="00286389">
        <w:rPr>
          <w:rFonts w:ascii="Times New Roman" w:hAnsi="Times New Roman" w:cs="Times New Roman"/>
          <w:sz w:val="24"/>
          <w:szCs w:val="24"/>
        </w:rPr>
        <w:t xml:space="preserve">that would contain </w:t>
      </w:r>
      <w:r w:rsidR="005E134D" w:rsidRPr="00286389">
        <w:rPr>
          <w:rFonts w:ascii="Times New Roman" w:hAnsi="Times New Roman" w:cs="Times New Roman"/>
          <w:sz w:val="24"/>
          <w:szCs w:val="24"/>
        </w:rPr>
        <w:t>a rate designed to recover budgeted costs for projects that may or may not be listed with the filing</w:t>
      </w:r>
      <w:r w:rsidR="005A6287" w:rsidRPr="00286389">
        <w:rPr>
          <w:rFonts w:ascii="Times New Roman" w:hAnsi="Times New Roman" w:cs="Times New Roman"/>
          <w:sz w:val="24"/>
          <w:szCs w:val="24"/>
        </w:rPr>
        <w:t xml:space="preserve"> or agreed upon by stakeholders</w:t>
      </w:r>
      <w:r w:rsidR="005E134D" w:rsidRPr="00286389">
        <w:rPr>
          <w:rFonts w:ascii="Times New Roman" w:hAnsi="Times New Roman" w:cs="Times New Roman"/>
          <w:sz w:val="24"/>
          <w:szCs w:val="24"/>
        </w:rPr>
        <w:t>:</w:t>
      </w:r>
    </w:p>
    <w:p w:rsidR="005E134D" w:rsidRDefault="005E134D" w:rsidP="005E13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Chairman Goltz:  Now, at your proposal, you started talking about this collaborative</w:t>
      </w:r>
    </w:p>
    <w:p w:rsidR="005E134D" w:rsidRDefault="00211A97" w:rsidP="005E13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process to result in a prudence determination.  Is that what you are envisioning?</w:t>
      </w:r>
    </w:p>
    <w:p w:rsidR="00211A97" w:rsidRDefault="00211A97" w:rsidP="005E134D">
      <w:pPr>
        <w:spacing w:after="0" w:line="240" w:lineRule="auto"/>
        <w:ind w:firstLine="720"/>
        <w:rPr>
          <w:rFonts w:ascii="Times New Roman" w:hAnsi="Times New Roman" w:cs="Times New Roman"/>
          <w:sz w:val="24"/>
          <w:szCs w:val="24"/>
        </w:rPr>
      </w:pPr>
    </w:p>
    <w:p w:rsidR="00211A97" w:rsidRDefault="00893029" w:rsidP="005E13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Mr. DeBoer:  In an ideal world, yes.</w:t>
      </w:r>
    </w:p>
    <w:p w:rsidR="00893029" w:rsidRDefault="00893029" w:rsidP="005E134D">
      <w:pPr>
        <w:spacing w:after="0" w:line="240" w:lineRule="auto"/>
        <w:ind w:firstLine="720"/>
        <w:rPr>
          <w:rFonts w:ascii="Times New Roman" w:hAnsi="Times New Roman" w:cs="Times New Roman"/>
          <w:sz w:val="24"/>
          <w:szCs w:val="24"/>
        </w:rPr>
      </w:pPr>
    </w:p>
    <w:p w:rsidR="00893029" w:rsidRDefault="00893029" w:rsidP="005E13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Chairman Goltz:  But that’s not necessarily your proposal, or is it you proposal?</w:t>
      </w:r>
    </w:p>
    <w:p w:rsidR="00893029" w:rsidRDefault="00893029" w:rsidP="005E134D">
      <w:pPr>
        <w:spacing w:after="0" w:line="240" w:lineRule="auto"/>
        <w:ind w:firstLine="720"/>
        <w:rPr>
          <w:rFonts w:ascii="Times New Roman" w:hAnsi="Times New Roman" w:cs="Times New Roman"/>
          <w:sz w:val="24"/>
          <w:szCs w:val="24"/>
        </w:rPr>
      </w:pPr>
    </w:p>
    <w:p w:rsidR="009A2E11" w:rsidRDefault="00893029" w:rsidP="0089302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DeBoer:  Well, no – I don’t know that we – we haven’t got to that level of detail.</w:t>
      </w:r>
      <w:r w:rsidR="00286389">
        <w:rPr>
          <w:rFonts w:ascii="Times New Roman" w:hAnsi="Times New Roman" w:cs="Times New Roman"/>
          <w:sz w:val="24"/>
          <w:szCs w:val="24"/>
        </w:rPr>
        <w:t xml:space="preserve">  </w:t>
      </w:r>
      <w:r>
        <w:rPr>
          <w:rFonts w:ascii="Times New Roman" w:hAnsi="Times New Roman" w:cs="Times New Roman"/>
          <w:sz w:val="24"/>
          <w:szCs w:val="24"/>
        </w:rPr>
        <w:t xml:space="preserve">I guess </w:t>
      </w:r>
      <w:r w:rsidR="00E10AB6">
        <w:rPr>
          <w:rFonts w:ascii="Times New Roman" w:hAnsi="Times New Roman" w:cs="Times New Roman"/>
          <w:sz w:val="24"/>
          <w:szCs w:val="24"/>
        </w:rPr>
        <w:t>in</w:t>
      </w:r>
      <w:r>
        <w:rPr>
          <w:rFonts w:ascii="Times New Roman" w:hAnsi="Times New Roman" w:cs="Times New Roman"/>
          <w:sz w:val="24"/>
          <w:szCs w:val="24"/>
        </w:rPr>
        <w:t xml:space="preserve"> discussions here, you know, in the initial filing, we would say here’s our list</w:t>
      </w:r>
      <w:r w:rsidR="00286389">
        <w:rPr>
          <w:rFonts w:ascii="Times New Roman" w:hAnsi="Times New Roman" w:cs="Times New Roman"/>
          <w:sz w:val="24"/>
          <w:szCs w:val="24"/>
        </w:rPr>
        <w:t xml:space="preserve"> </w:t>
      </w:r>
      <w:r>
        <w:rPr>
          <w:rFonts w:ascii="Times New Roman" w:hAnsi="Times New Roman" w:cs="Times New Roman"/>
          <w:sz w:val="24"/>
          <w:szCs w:val="24"/>
        </w:rPr>
        <w:t>of proposals, here’s the budgets that go with them, here’s the rate to collect it.  And whether we say, you know, as part of the order we want a prudence determination</w:t>
      </w:r>
      <w:r w:rsidR="00286389">
        <w:rPr>
          <w:rFonts w:ascii="Times New Roman" w:hAnsi="Times New Roman" w:cs="Times New Roman"/>
          <w:sz w:val="24"/>
          <w:szCs w:val="24"/>
        </w:rPr>
        <w:t xml:space="preserve"> </w:t>
      </w:r>
      <w:r w:rsidR="009A2E11">
        <w:rPr>
          <w:rFonts w:ascii="Times New Roman" w:hAnsi="Times New Roman" w:cs="Times New Roman"/>
          <w:sz w:val="24"/>
          <w:szCs w:val="24"/>
        </w:rPr>
        <w:t>or whether that waits until the true-up in the following year, we haven’t – we haven’t gotten that far.</w:t>
      </w:r>
    </w:p>
    <w:p w:rsidR="009A2E11" w:rsidRDefault="009A2E11" w:rsidP="00893029">
      <w:pPr>
        <w:spacing w:after="0" w:line="240" w:lineRule="auto"/>
        <w:ind w:left="720"/>
        <w:rPr>
          <w:rFonts w:ascii="Times New Roman" w:hAnsi="Times New Roman" w:cs="Times New Roman"/>
          <w:sz w:val="24"/>
          <w:szCs w:val="24"/>
        </w:rPr>
      </w:pPr>
    </w:p>
    <w:p w:rsidR="009A2E11" w:rsidRDefault="009A2E11" w:rsidP="009A2E11">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w:t>
      </w:r>
    </w:p>
    <w:p w:rsidR="009A2E11" w:rsidRDefault="009A2E11" w:rsidP="009A2E11">
      <w:pPr>
        <w:spacing w:after="0" w:line="240" w:lineRule="auto"/>
        <w:ind w:left="720"/>
        <w:jc w:val="center"/>
        <w:rPr>
          <w:rFonts w:ascii="Times New Roman" w:hAnsi="Times New Roman" w:cs="Times New Roman"/>
          <w:sz w:val="24"/>
          <w:szCs w:val="24"/>
        </w:rPr>
      </w:pPr>
    </w:p>
    <w:p w:rsidR="009A2E11" w:rsidRDefault="009A2E11" w:rsidP="009A2E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Chairman Goltz:  But would your mechanism, as proposed, work if you were way at</w:t>
      </w:r>
    </w:p>
    <w:p w:rsidR="009A2E11" w:rsidRDefault="009A2E11" w:rsidP="009A2E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informal end of the continuum I described; that is to say that Mr. Henderson and his staff had informal conversations with Mr. Lyyken and his staff about what you’re planning to do, not dissimilar to, I believe, what is happening now?</w:t>
      </w:r>
    </w:p>
    <w:p w:rsidR="009A2E11" w:rsidRDefault="009A2E11" w:rsidP="009A2E11">
      <w:pPr>
        <w:spacing w:after="0" w:line="240" w:lineRule="auto"/>
        <w:ind w:left="720"/>
        <w:rPr>
          <w:rFonts w:ascii="Times New Roman" w:hAnsi="Times New Roman" w:cs="Times New Roman"/>
          <w:sz w:val="24"/>
          <w:szCs w:val="24"/>
        </w:rPr>
      </w:pPr>
    </w:p>
    <w:p w:rsidR="009A2E11" w:rsidRDefault="00305C42" w:rsidP="009A2E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DeB</w:t>
      </w:r>
      <w:r w:rsidR="009A2E11">
        <w:rPr>
          <w:rFonts w:ascii="Times New Roman" w:hAnsi="Times New Roman" w:cs="Times New Roman"/>
          <w:sz w:val="24"/>
          <w:szCs w:val="24"/>
        </w:rPr>
        <w:t>oer:  I’m comfortable with that, as long as – I mean, what it really boils down to</w:t>
      </w:r>
      <w:r w:rsidR="00286389">
        <w:rPr>
          <w:rFonts w:ascii="Times New Roman" w:hAnsi="Times New Roman" w:cs="Times New Roman"/>
          <w:sz w:val="24"/>
          <w:szCs w:val="24"/>
        </w:rPr>
        <w:t xml:space="preserve"> </w:t>
      </w:r>
      <w:r w:rsidR="009A2E11">
        <w:rPr>
          <w:rFonts w:ascii="Times New Roman" w:hAnsi="Times New Roman" w:cs="Times New Roman"/>
          <w:sz w:val="24"/>
          <w:szCs w:val="24"/>
        </w:rPr>
        <w:t>is what’s in the filing when you say here’s the budget and here’s the rate we want to collect in this filing, and how much backup or, you know, the Commission or parties to</w:t>
      </w:r>
      <w:r w:rsidR="00286389">
        <w:rPr>
          <w:rFonts w:ascii="Times New Roman" w:hAnsi="Times New Roman" w:cs="Times New Roman"/>
          <w:sz w:val="24"/>
          <w:szCs w:val="24"/>
        </w:rPr>
        <w:t xml:space="preserve"> </w:t>
      </w:r>
      <w:r w:rsidR="009A2E11">
        <w:rPr>
          <w:rFonts w:ascii="Times New Roman" w:hAnsi="Times New Roman" w:cs="Times New Roman"/>
          <w:sz w:val="24"/>
          <w:szCs w:val="24"/>
        </w:rPr>
        <w:t xml:space="preserve">the proceeding want to see backing up that rate. </w:t>
      </w:r>
      <w:r w:rsidR="00E10AB6">
        <w:rPr>
          <w:rFonts w:ascii="Times New Roman" w:hAnsi="Times New Roman" w:cs="Times New Roman"/>
          <w:sz w:val="24"/>
          <w:szCs w:val="24"/>
        </w:rPr>
        <w:t xml:space="preserve"> </w:t>
      </w:r>
      <w:r w:rsidR="009A2E11">
        <w:rPr>
          <w:rFonts w:ascii="Times New Roman" w:hAnsi="Times New Roman" w:cs="Times New Roman"/>
          <w:sz w:val="24"/>
          <w:szCs w:val="24"/>
        </w:rPr>
        <w:t>I’m comfortable without the [project] list.</w:t>
      </w:r>
      <w:r w:rsidR="009A2E11">
        <w:rPr>
          <w:rStyle w:val="FootnoteReference"/>
          <w:rFonts w:ascii="Times New Roman" w:hAnsi="Times New Roman" w:cs="Times New Roman"/>
          <w:sz w:val="24"/>
          <w:szCs w:val="24"/>
        </w:rPr>
        <w:footnoteReference w:id="103"/>
      </w:r>
    </w:p>
    <w:p w:rsidR="00723BA2" w:rsidRDefault="00723BA2" w:rsidP="009A2E11">
      <w:pPr>
        <w:spacing w:after="0" w:line="240" w:lineRule="auto"/>
        <w:ind w:left="720"/>
        <w:rPr>
          <w:rFonts w:ascii="Times New Roman" w:hAnsi="Times New Roman" w:cs="Times New Roman"/>
          <w:sz w:val="24"/>
          <w:szCs w:val="24"/>
        </w:rPr>
      </w:pPr>
    </w:p>
    <w:p w:rsidR="00323354" w:rsidRPr="00286389" w:rsidRDefault="00286389" w:rsidP="00286389">
      <w:pPr>
        <w:pStyle w:val="ListParagraph"/>
        <w:numPr>
          <w:ilvl w:val="0"/>
          <w:numId w:val="14"/>
        </w:num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5A6287" w:rsidRPr="00286389">
        <w:rPr>
          <w:rFonts w:ascii="Times New Roman" w:hAnsi="Times New Roman" w:cs="Times New Roman"/>
          <w:sz w:val="24"/>
          <w:szCs w:val="24"/>
        </w:rPr>
        <w:t xml:space="preserve">The Company </w:t>
      </w:r>
      <w:r w:rsidR="001F2A4B" w:rsidRPr="00286389">
        <w:rPr>
          <w:rFonts w:ascii="Times New Roman" w:hAnsi="Times New Roman" w:cs="Times New Roman"/>
          <w:sz w:val="24"/>
          <w:szCs w:val="24"/>
        </w:rPr>
        <w:t>asks the Commissio</w:t>
      </w:r>
      <w:r w:rsidR="005424D7" w:rsidRPr="00286389">
        <w:rPr>
          <w:rFonts w:ascii="Times New Roman" w:hAnsi="Times New Roman" w:cs="Times New Roman"/>
          <w:sz w:val="24"/>
          <w:szCs w:val="24"/>
        </w:rPr>
        <w:t>n to ignore the</w:t>
      </w:r>
      <w:r w:rsidR="005A6287" w:rsidRPr="00286389">
        <w:rPr>
          <w:rFonts w:ascii="Times New Roman" w:hAnsi="Times New Roman" w:cs="Times New Roman"/>
          <w:sz w:val="24"/>
          <w:szCs w:val="24"/>
        </w:rPr>
        <w:t>se important process issues</w:t>
      </w:r>
      <w:r w:rsidR="005424D7" w:rsidRPr="00286389">
        <w:rPr>
          <w:rFonts w:ascii="Times New Roman" w:hAnsi="Times New Roman" w:cs="Times New Roman"/>
          <w:sz w:val="24"/>
          <w:szCs w:val="24"/>
        </w:rPr>
        <w:t xml:space="preserve"> because </w:t>
      </w:r>
      <w:r w:rsidR="002A52E7" w:rsidRPr="00286389">
        <w:rPr>
          <w:rFonts w:ascii="Times New Roman" w:hAnsi="Times New Roman" w:cs="Times New Roman"/>
          <w:sz w:val="24"/>
          <w:szCs w:val="24"/>
        </w:rPr>
        <w:t>any question concerning the prudence or cost of a project can be addressed at a later time when projected costs are trued-up to actual costs.</w:t>
      </w:r>
      <w:r w:rsidR="00723BA2">
        <w:rPr>
          <w:rStyle w:val="FootnoteReference"/>
          <w:rFonts w:ascii="Times New Roman" w:hAnsi="Times New Roman" w:cs="Times New Roman"/>
          <w:sz w:val="24"/>
          <w:szCs w:val="24"/>
        </w:rPr>
        <w:footnoteReference w:id="104"/>
      </w:r>
      <w:r w:rsidR="00723BA2" w:rsidRPr="00286389">
        <w:rPr>
          <w:rFonts w:ascii="Times New Roman" w:hAnsi="Times New Roman" w:cs="Times New Roman"/>
          <w:sz w:val="24"/>
          <w:szCs w:val="24"/>
        </w:rPr>
        <w:t xml:space="preserve">  </w:t>
      </w:r>
      <w:r w:rsidR="005A6287" w:rsidRPr="00286389">
        <w:rPr>
          <w:rFonts w:ascii="Times New Roman" w:hAnsi="Times New Roman" w:cs="Times New Roman"/>
          <w:sz w:val="24"/>
          <w:szCs w:val="24"/>
        </w:rPr>
        <w:t xml:space="preserve">As we suggested </w:t>
      </w:r>
      <w:r w:rsidR="002A52E7" w:rsidRPr="00286389">
        <w:rPr>
          <w:rFonts w:ascii="Times New Roman" w:hAnsi="Times New Roman" w:cs="Times New Roman"/>
          <w:sz w:val="24"/>
          <w:szCs w:val="24"/>
        </w:rPr>
        <w:t xml:space="preserve">above </w:t>
      </w:r>
      <w:r w:rsidR="005A6287" w:rsidRPr="00286389">
        <w:rPr>
          <w:rFonts w:ascii="Times New Roman" w:hAnsi="Times New Roman" w:cs="Times New Roman"/>
          <w:sz w:val="24"/>
          <w:szCs w:val="24"/>
        </w:rPr>
        <w:t>for the used and useful issue, the Commis</w:t>
      </w:r>
      <w:r w:rsidR="009109FF">
        <w:rPr>
          <w:rFonts w:ascii="Times New Roman" w:hAnsi="Times New Roman" w:cs="Times New Roman"/>
          <w:sz w:val="24"/>
          <w:szCs w:val="24"/>
        </w:rPr>
        <w:t>sion should accept</w:t>
      </w:r>
      <w:r w:rsidR="005A6287" w:rsidRPr="00286389">
        <w:rPr>
          <w:rFonts w:ascii="Times New Roman" w:hAnsi="Times New Roman" w:cs="Times New Roman"/>
          <w:sz w:val="24"/>
          <w:szCs w:val="24"/>
        </w:rPr>
        <w:t xml:space="preserve"> P</w:t>
      </w:r>
      <w:r w:rsidR="002A52E7" w:rsidRPr="00286389">
        <w:rPr>
          <w:rFonts w:ascii="Times New Roman" w:hAnsi="Times New Roman" w:cs="Times New Roman"/>
          <w:sz w:val="24"/>
          <w:szCs w:val="24"/>
        </w:rPr>
        <w:t>SE’s argument as a concession to</w:t>
      </w:r>
      <w:r w:rsidR="005A6287" w:rsidRPr="00286389">
        <w:rPr>
          <w:rFonts w:ascii="Times New Roman" w:hAnsi="Times New Roman" w:cs="Times New Roman"/>
          <w:sz w:val="24"/>
          <w:szCs w:val="24"/>
        </w:rPr>
        <w:t xml:space="preserve"> the </w:t>
      </w:r>
      <w:r w:rsidR="002A52E7" w:rsidRPr="00286389">
        <w:rPr>
          <w:rFonts w:ascii="Times New Roman" w:hAnsi="Times New Roman" w:cs="Times New Roman"/>
          <w:sz w:val="24"/>
          <w:szCs w:val="24"/>
        </w:rPr>
        <w:t xml:space="preserve">underlying </w:t>
      </w:r>
      <w:r w:rsidR="005A6287" w:rsidRPr="00286389">
        <w:rPr>
          <w:rFonts w:ascii="Times New Roman" w:hAnsi="Times New Roman" w:cs="Times New Roman"/>
          <w:sz w:val="24"/>
          <w:szCs w:val="24"/>
        </w:rPr>
        <w:t xml:space="preserve">vagueness of its proposal, and reject the surcharge on that basis.  </w:t>
      </w:r>
    </w:p>
    <w:p w:rsidR="0086435F" w:rsidRDefault="00323354" w:rsidP="00D213C6">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D.</w:t>
      </w:r>
      <w:r>
        <w:rPr>
          <w:rFonts w:ascii="Times New Roman" w:hAnsi="Times New Roman" w:cs="Times New Roman"/>
          <w:b/>
          <w:sz w:val="24"/>
          <w:szCs w:val="24"/>
        </w:rPr>
        <w:tab/>
      </w:r>
      <w:r w:rsidR="0086435F" w:rsidRPr="00CD0DB0">
        <w:rPr>
          <w:rFonts w:ascii="Times New Roman" w:hAnsi="Times New Roman" w:cs="Times New Roman"/>
          <w:b/>
          <w:sz w:val="24"/>
          <w:szCs w:val="24"/>
        </w:rPr>
        <w:t>T</w:t>
      </w:r>
      <w:r w:rsidR="00FB70A9" w:rsidRPr="00CD0DB0">
        <w:rPr>
          <w:rFonts w:ascii="Times New Roman" w:hAnsi="Times New Roman" w:cs="Times New Roman"/>
          <w:b/>
          <w:sz w:val="24"/>
          <w:szCs w:val="24"/>
        </w:rPr>
        <w:t xml:space="preserve">he </w:t>
      </w:r>
      <w:r w:rsidR="003E32A6">
        <w:rPr>
          <w:rFonts w:ascii="Times New Roman" w:hAnsi="Times New Roman" w:cs="Times New Roman"/>
          <w:b/>
          <w:sz w:val="24"/>
          <w:szCs w:val="24"/>
        </w:rPr>
        <w:t xml:space="preserve">Surcharge </w:t>
      </w:r>
      <w:r w:rsidR="0086435F" w:rsidRPr="00CD0DB0">
        <w:rPr>
          <w:rFonts w:ascii="Times New Roman" w:hAnsi="Times New Roman" w:cs="Times New Roman"/>
          <w:b/>
          <w:sz w:val="24"/>
          <w:szCs w:val="24"/>
        </w:rPr>
        <w:t>Mechani</w:t>
      </w:r>
      <w:r w:rsidR="00270B84" w:rsidRPr="00CD0DB0">
        <w:rPr>
          <w:rFonts w:ascii="Times New Roman" w:hAnsi="Times New Roman" w:cs="Times New Roman"/>
          <w:b/>
          <w:sz w:val="24"/>
          <w:szCs w:val="24"/>
        </w:rPr>
        <w:t xml:space="preserve">sm Does Not Limit the </w:t>
      </w:r>
      <w:r w:rsidR="0086435F" w:rsidRPr="00CD0DB0">
        <w:rPr>
          <w:rFonts w:ascii="Times New Roman" w:hAnsi="Times New Roman" w:cs="Times New Roman"/>
          <w:b/>
          <w:sz w:val="24"/>
          <w:szCs w:val="24"/>
        </w:rPr>
        <w:t>Cost or Categories of</w:t>
      </w:r>
      <w:r w:rsidR="00247D92">
        <w:rPr>
          <w:rFonts w:ascii="Times New Roman" w:hAnsi="Times New Roman" w:cs="Times New Roman"/>
          <w:b/>
          <w:sz w:val="24"/>
          <w:szCs w:val="24"/>
        </w:rPr>
        <w:t xml:space="preserve"> Pipeline</w:t>
      </w:r>
      <w:r w:rsidR="003E32A6">
        <w:rPr>
          <w:rFonts w:ascii="Times New Roman" w:hAnsi="Times New Roman" w:cs="Times New Roman"/>
          <w:b/>
          <w:sz w:val="24"/>
          <w:szCs w:val="24"/>
        </w:rPr>
        <w:t xml:space="preserve"> for Which </w:t>
      </w:r>
      <w:r w:rsidR="0086435F" w:rsidRPr="00CD0DB0">
        <w:rPr>
          <w:rFonts w:ascii="Times New Roman" w:hAnsi="Times New Roman" w:cs="Times New Roman"/>
          <w:b/>
          <w:sz w:val="24"/>
          <w:szCs w:val="24"/>
        </w:rPr>
        <w:t xml:space="preserve">Accelerated </w:t>
      </w:r>
      <w:r w:rsidR="00FB70A9" w:rsidRPr="00CD0DB0">
        <w:rPr>
          <w:rFonts w:ascii="Times New Roman" w:hAnsi="Times New Roman" w:cs="Times New Roman"/>
          <w:b/>
          <w:sz w:val="24"/>
          <w:szCs w:val="24"/>
        </w:rPr>
        <w:t xml:space="preserve">Recovery </w:t>
      </w:r>
      <w:r w:rsidR="00D213C6">
        <w:rPr>
          <w:rFonts w:ascii="Times New Roman" w:hAnsi="Times New Roman" w:cs="Times New Roman"/>
          <w:b/>
          <w:sz w:val="24"/>
          <w:szCs w:val="24"/>
        </w:rPr>
        <w:t>C</w:t>
      </w:r>
      <w:r w:rsidR="003E32A6">
        <w:rPr>
          <w:rFonts w:ascii="Times New Roman" w:hAnsi="Times New Roman" w:cs="Times New Roman"/>
          <w:b/>
          <w:sz w:val="24"/>
          <w:szCs w:val="24"/>
        </w:rPr>
        <w:t>ould Be Guaranteed</w:t>
      </w:r>
    </w:p>
    <w:p w:rsidR="00D213C6" w:rsidRPr="0086435F" w:rsidRDefault="00D213C6" w:rsidP="00D213C6">
      <w:pPr>
        <w:spacing w:after="0" w:line="240" w:lineRule="auto"/>
        <w:ind w:left="720" w:hanging="720"/>
        <w:rPr>
          <w:rFonts w:ascii="Times New Roman" w:hAnsi="Times New Roman" w:cs="Times New Roman"/>
          <w:b/>
          <w:sz w:val="24"/>
          <w:szCs w:val="24"/>
        </w:rPr>
      </w:pPr>
    </w:p>
    <w:p w:rsidR="0086435F" w:rsidRPr="00286389" w:rsidRDefault="00286389" w:rsidP="0028638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70B84" w:rsidRPr="00286389">
        <w:rPr>
          <w:rFonts w:ascii="Times New Roman" w:hAnsi="Times New Roman" w:cs="Times New Roman"/>
          <w:sz w:val="24"/>
          <w:szCs w:val="24"/>
        </w:rPr>
        <w:t>The proposed surcharge</w:t>
      </w:r>
      <w:r w:rsidR="0086435F" w:rsidRPr="00286389">
        <w:rPr>
          <w:rFonts w:ascii="Times New Roman" w:hAnsi="Times New Roman" w:cs="Times New Roman"/>
          <w:sz w:val="24"/>
          <w:szCs w:val="24"/>
        </w:rPr>
        <w:t xml:space="preserve"> states that it is limited to the replacement of wrapped steel mains and services</w:t>
      </w:r>
      <w:r w:rsidR="00FF44F7" w:rsidRPr="00286389">
        <w:rPr>
          <w:rFonts w:ascii="Times New Roman" w:hAnsi="Times New Roman" w:cs="Times New Roman"/>
          <w:sz w:val="24"/>
          <w:szCs w:val="24"/>
        </w:rPr>
        <w:t>,</w:t>
      </w:r>
      <w:r w:rsidR="0086435F" w:rsidRPr="00286389">
        <w:rPr>
          <w:rFonts w:ascii="Times New Roman" w:hAnsi="Times New Roman" w:cs="Times New Roman"/>
          <w:sz w:val="24"/>
          <w:szCs w:val="24"/>
        </w:rPr>
        <w:t xml:space="preserve"> and Older PE.</w:t>
      </w:r>
      <w:r w:rsidR="0086435F">
        <w:rPr>
          <w:rStyle w:val="FootnoteReference"/>
          <w:rFonts w:ascii="Times New Roman" w:hAnsi="Times New Roman" w:cs="Times New Roman"/>
          <w:sz w:val="24"/>
          <w:szCs w:val="24"/>
        </w:rPr>
        <w:footnoteReference w:id="105"/>
      </w:r>
      <w:r w:rsidR="00270B84" w:rsidRPr="00286389">
        <w:rPr>
          <w:rFonts w:ascii="Times New Roman" w:hAnsi="Times New Roman" w:cs="Times New Roman"/>
          <w:sz w:val="24"/>
          <w:szCs w:val="24"/>
        </w:rPr>
        <w:t xml:space="preserve">  The </w:t>
      </w:r>
      <w:r w:rsidR="008E0D1B" w:rsidRPr="00286389">
        <w:rPr>
          <w:rFonts w:ascii="Times New Roman" w:hAnsi="Times New Roman" w:cs="Times New Roman"/>
          <w:sz w:val="24"/>
          <w:szCs w:val="24"/>
        </w:rPr>
        <w:t>tariff also states that it is limited to total annual capital expenditures of $25 million</w:t>
      </w:r>
      <w:r w:rsidR="0025177D" w:rsidRPr="00286389">
        <w:rPr>
          <w:rFonts w:ascii="Times New Roman" w:hAnsi="Times New Roman" w:cs="Times New Roman"/>
          <w:sz w:val="24"/>
          <w:szCs w:val="24"/>
        </w:rPr>
        <w:t xml:space="preserve"> and will expire in 2016</w:t>
      </w:r>
      <w:r w:rsidR="008E0D1B" w:rsidRPr="00286389">
        <w:rPr>
          <w:rFonts w:ascii="Times New Roman" w:hAnsi="Times New Roman" w:cs="Times New Roman"/>
          <w:sz w:val="24"/>
          <w:szCs w:val="24"/>
        </w:rPr>
        <w:t>.</w:t>
      </w:r>
      <w:r w:rsidR="008E0D1B">
        <w:rPr>
          <w:rStyle w:val="FootnoteReference"/>
          <w:rFonts w:ascii="Times New Roman" w:hAnsi="Times New Roman" w:cs="Times New Roman"/>
          <w:sz w:val="24"/>
          <w:szCs w:val="24"/>
        </w:rPr>
        <w:footnoteReference w:id="106"/>
      </w:r>
      <w:r w:rsidR="0025177D" w:rsidRPr="00286389">
        <w:rPr>
          <w:rFonts w:ascii="Times New Roman" w:hAnsi="Times New Roman" w:cs="Times New Roman"/>
          <w:sz w:val="24"/>
          <w:szCs w:val="24"/>
        </w:rPr>
        <w:t xml:space="preserve">  </w:t>
      </w:r>
    </w:p>
    <w:p w:rsidR="00EE4806" w:rsidRPr="00286389" w:rsidRDefault="00286389" w:rsidP="0028638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0D1B" w:rsidRPr="00286389">
        <w:rPr>
          <w:rFonts w:ascii="Times New Roman" w:hAnsi="Times New Roman" w:cs="Times New Roman"/>
          <w:sz w:val="24"/>
          <w:szCs w:val="24"/>
        </w:rPr>
        <w:t xml:space="preserve">However, </w:t>
      </w:r>
      <w:r w:rsidR="003E32A6" w:rsidRPr="00286389">
        <w:rPr>
          <w:rFonts w:ascii="Times New Roman" w:hAnsi="Times New Roman" w:cs="Times New Roman"/>
          <w:sz w:val="24"/>
          <w:szCs w:val="24"/>
        </w:rPr>
        <w:t>the Company stated that the surcharge</w:t>
      </w:r>
      <w:r w:rsidR="00EE4806" w:rsidRPr="00286389">
        <w:rPr>
          <w:rFonts w:ascii="Times New Roman" w:hAnsi="Times New Roman" w:cs="Times New Roman"/>
          <w:sz w:val="24"/>
          <w:szCs w:val="24"/>
        </w:rPr>
        <w:t xml:space="preserve"> is intended to be flexible</w:t>
      </w:r>
      <w:r w:rsidR="00C12D61" w:rsidRPr="00286389">
        <w:rPr>
          <w:rFonts w:ascii="Times New Roman" w:hAnsi="Times New Roman" w:cs="Times New Roman"/>
          <w:sz w:val="24"/>
          <w:szCs w:val="24"/>
        </w:rPr>
        <w:t xml:space="preserve"> </w:t>
      </w:r>
      <w:r w:rsidR="00270B84" w:rsidRPr="00286389">
        <w:rPr>
          <w:rFonts w:ascii="Times New Roman" w:hAnsi="Times New Roman" w:cs="Times New Roman"/>
          <w:sz w:val="24"/>
          <w:szCs w:val="24"/>
        </w:rPr>
        <w:t>to allow the addition of other safety programs and higher levels of costs</w:t>
      </w:r>
      <w:r w:rsidR="00EE4806" w:rsidRPr="00286389">
        <w:rPr>
          <w:rFonts w:ascii="Times New Roman" w:hAnsi="Times New Roman" w:cs="Times New Roman"/>
          <w:sz w:val="24"/>
          <w:szCs w:val="24"/>
        </w:rPr>
        <w:t>.</w:t>
      </w:r>
      <w:r w:rsidR="00EE4806">
        <w:rPr>
          <w:rStyle w:val="FootnoteReference"/>
          <w:rFonts w:ascii="Times New Roman" w:hAnsi="Times New Roman" w:cs="Times New Roman"/>
          <w:sz w:val="24"/>
          <w:szCs w:val="24"/>
        </w:rPr>
        <w:footnoteReference w:id="107"/>
      </w:r>
      <w:r w:rsidR="00EE4806" w:rsidRPr="00286389">
        <w:rPr>
          <w:rFonts w:ascii="Times New Roman" w:hAnsi="Times New Roman" w:cs="Times New Roman"/>
          <w:sz w:val="24"/>
          <w:szCs w:val="24"/>
        </w:rPr>
        <w:t xml:space="preserve"> Thus, </w:t>
      </w:r>
      <w:r w:rsidR="00270B84" w:rsidRPr="00286389">
        <w:rPr>
          <w:rFonts w:ascii="Times New Roman" w:hAnsi="Times New Roman" w:cs="Times New Roman"/>
          <w:sz w:val="24"/>
          <w:szCs w:val="24"/>
        </w:rPr>
        <w:t xml:space="preserve">the </w:t>
      </w:r>
      <w:r w:rsidR="00A4277E" w:rsidRPr="00286389">
        <w:rPr>
          <w:rFonts w:ascii="Times New Roman" w:hAnsi="Times New Roman" w:cs="Times New Roman"/>
          <w:sz w:val="24"/>
          <w:szCs w:val="24"/>
        </w:rPr>
        <w:t xml:space="preserve">limitations on scope and annual expenditures apply only at the outset.  </w:t>
      </w:r>
    </w:p>
    <w:p w:rsidR="00A717B4" w:rsidRPr="00286389" w:rsidRDefault="00286389" w:rsidP="0028638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0D1B" w:rsidRPr="00286389">
        <w:rPr>
          <w:rFonts w:ascii="Times New Roman" w:hAnsi="Times New Roman" w:cs="Times New Roman"/>
          <w:sz w:val="24"/>
          <w:szCs w:val="24"/>
        </w:rPr>
        <w:t xml:space="preserve">The tariff </w:t>
      </w:r>
      <w:r w:rsidR="00C12D61" w:rsidRPr="00286389">
        <w:rPr>
          <w:rFonts w:ascii="Times New Roman" w:hAnsi="Times New Roman" w:cs="Times New Roman"/>
          <w:sz w:val="24"/>
          <w:szCs w:val="24"/>
        </w:rPr>
        <w:t>does state</w:t>
      </w:r>
      <w:r w:rsidR="008E0D1B" w:rsidRPr="00286389">
        <w:rPr>
          <w:rFonts w:ascii="Times New Roman" w:hAnsi="Times New Roman" w:cs="Times New Roman"/>
          <w:sz w:val="24"/>
          <w:szCs w:val="24"/>
        </w:rPr>
        <w:t xml:space="preserve"> that Commission </w:t>
      </w:r>
      <w:r w:rsidR="00270B84" w:rsidRPr="00286389">
        <w:rPr>
          <w:rFonts w:ascii="Times New Roman" w:hAnsi="Times New Roman" w:cs="Times New Roman"/>
          <w:sz w:val="24"/>
          <w:szCs w:val="24"/>
        </w:rPr>
        <w:t xml:space="preserve">approval is required before </w:t>
      </w:r>
      <w:r w:rsidR="00D213C6" w:rsidRPr="00286389">
        <w:rPr>
          <w:rFonts w:ascii="Times New Roman" w:hAnsi="Times New Roman" w:cs="Times New Roman"/>
          <w:sz w:val="24"/>
          <w:szCs w:val="24"/>
        </w:rPr>
        <w:t xml:space="preserve">pipeline replacement </w:t>
      </w:r>
      <w:r w:rsidR="008E0D1B" w:rsidRPr="00286389">
        <w:rPr>
          <w:rFonts w:ascii="Times New Roman" w:hAnsi="Times New Roman" w:cs="Times New Roman"/>
          <w:sz w:val="24"/>
          <w:szCs w:val="24"/>
        </w:rPr>
        <w:t xml:space="preserve">costs can be increased above $25 million per year or </w:t>
      </w:r>
      <w:r w:rsidR="00270B84" w:rsidRPr="00286389">
        <w:rPr>
          <w:rFonts w:ascii="Times New Roman" w:hAnsi="Times New Roman" w:cs="Times New Roman"/>
          <w:sz w:val="24"/>
          <w:szCs w:val="24"/>
        </w:rPr>
        <w:t xml:space="preserve">qualified programs </w:t>
      </w:r>
      <w:r w:rsidR="00FF44F7" w:rsidRPr="00286389">
        <w:rPr>
          <w:rFonts w:ascii="Times New Roman" w:hAnsi="Times New Roman" w:cs="Times New Roman"/>
          <w:sz w:val="24"/>
          <w:szCs w:val="24"/>
        </w:rPr>
        <w:t>enlarged</w:t>
      </w:r>
      <w:r w:rsidR="00C12D61" w:rsidRPr="00286389">
        <w:rPr>
          <w:rFonts w:ascii="Times New Roman" w:hAnsi="Times New Roman" w:cs="Times New Roman"/>
          <w:sz w:val="24"/>
          <w:szCs w:val="24"/>
        </w:rPr>
        <w:t xml:space="preserve"> </w:t>
      </w:r>
      <w:r w:rsidR="008E0D1B" w:rsidRPr="00286389">
        <w:rPr>
          <w:rFonts w:ascii="Times New Roman" w:hAnsi="Times New Roman" w:cs="Times New Roman"/>
          <w:sz w:val="24"/>
          <w:szCs w:val="24"/>
        </w:rPr>
        <w:t xml:space="preserve">beyond wrapped steel mains and services </w:t>
      </w:r>
      <w:r w:rsidR="00C12D61" w:rsidRPr="00286389">
        <w:rPr>
          <w:rFonts w:ascii="Times New Roman" w:hAnsi="Times New Roman" w:cs="Times New Roman"/>
          <w:sz w:val="24"/>
          <w:szCs w:val="24"/>
        </w:rPr>
        <w:t>and Older PE.  However, the Company can request Commission approval</w:t>
      </w:r>
      <w:r w:rsidR="008E0D1B" w:rsidRPr="00286389">
        <w:rPr>
          <w:rFonts w:ascii="Times New Roman" w:hAnsi="Times New Roman" w:cs="Times New Roman"/>
          <w:sz w:val="24"/>
          <w:szCs w:val="24"/>
        </w:rPr>
        <w:t xml:space="preserve"> </w:t>
      </w:r>
      <w:r w:rsidR="00C32ECE" w:rsidRPr="00286389">
        <w:rPr>
          <w:rFonts w:ascii="Times New Roman" w:hAnsi="Times New Roman" w:cs="Times New Roman"/>
          <w:sz w:val="24"/>
          <w:szCs w:val="24"/>
        </w:rPr>
        <w:t xml:space="preserve">to expand the </w:t>
      </w:r>
      <w:r w:rsidR="0025177D" w:rsidRPr="00286389">
        <w:rPr>
          <w:rFonts w:ascii="Times New Roman" w:hAnsi="Times New Roman" w:cs="Times New Roman"/>
          <w:sz w:val="24"/>
          <w:szCs w:val="24"/>
        </w:rPr>
        <w:t xml:space="preserve">scope and dollar limit of the </w:t>
      </w:r>
      <w:r w:rsidR="002B4A21" w:rsidRPr="00286389">
        <w:rPr>
          <w:rFonts w:ascii="Times New Roman" w:hAnsi="Times New Roman" w:cs="Times New Roman"/>
          <w:sz w:val="24"/>
          <w:szCs w:val="24"/>
        </w:rPr>
        <w:t xml:space="preserve">surcharge </w:t>
      </w:r>
      <w:r w:rsidR="00C12D61" w:rsidRPr="00286389">
        <w:rPr>
          <w:rFonts w:ascii="Times New Roman" w:hAnsi="Times New Roman" w:cs="Times New Roman"/>
          <w:sz w:val="24"/>
          <w:szCs w:val="24"/>
        </w:rPr>
        <w:t xml:space="preserve">without the </w:t>
      </w:r>
      <w:r w:rsidR="002B4A21" w:rsidRPr="00286389">
        <w:rPr>
          <w:rFonts w:ascii="Times New Roman" w:hAnsi="Times New Roman" w:cs="Times New Roman"/>
          <w:sz w:val="24"/>
          <w:szCs w:val="24"/>
        </w:rPr>
        <w:t>consent</w:t>
      </w:r>
      <w:r w:rsidR="00C12D61" w:rsidRPr="00286389">
        <w:rPr>
          <w:rFonts w:ascii="Times New Roman" w:hAnsi="Times New Roman" w:cs="Times New Roman"/>
          <w:sz w:val="24"/>
          <w:szCs w:val="24"/>
        </w:rPr>
        <w:t xml:space="preserve"> of Staff and other interested parties</w:t>
      </w:r>
      <w:r w:rsidR="0025177D" w:rsidRPr="00286389">
        <w:rPr>
          <w:rFonts w:ascii="Times New Roman" w:hAnsi="Times New Roman" w:cs="Times New Roman"/>
          <w:sz w:val="24"/>
          <w:szCs w:val="24"/>
        </w:rPr>
        <w:t>, who would, then</w:t>
      </w:r>
      <w:r w:rsidR="00270B84" w:rsidRPr="00286389">
        <w:rPr>
          <w:rFonts w:ascii="Times New Roman" w:hAnsi="Times New Roman" w:cs="Times New Roman"/>
          <w:sz w:val="24"/>
          <w:szCs w:val="24"/>
        </w:rPr>
        <w:t>, have the burden</w:t>
      </w:r>
      <w:r w:rsidR="00A717B4" w:rsidRPr="00286389">
        <w:rPr>
          <w:rFonts w:ascii="Times New Roman" w:hAnsi="Times New Roman" w:cs="Times New Roman"/>
          <w:sz w:val="24"/>
          <w:szCs w:val="24"/>
        </w:rPr>
        <w:t xml:space="preserve"> </w:t>
      </w:r>
      <w:r w:rsidR="00270B84" w:rsidRPr="00286389">
        <w:rPr>
          <w:rFonts w:ascii="Times New Roman" w:hAnsi="Times New Roman" w:cs="Times New Roman"/>
          <w:sz w:val="24"/>
          <w:szCs w:val="24"/>
        </w:rPr>
        <w:t xml:space="preserve">to </w:t>
      </w:r>
      <w:r w:rsidR="00C32ECE" w:rsidRPr="00286389">
        <w:rPr>
          <w:rFonts w:ascii="Times New Roman" w:hAnsi="Times New Roman" w:cs="Times New Roman"/>
          <w:sz w:val="24"/>
          <w:szCs w:val="24"/>
        </w:rPr>
        <w:t xml:space="preserve">recommend that a revised </w:t>
      </w:r>
      <w:r w:rsidR="00270B84" w:rsidRPr="00286389">
        <w:rPr>
          <w:rFonts w:ascii="Times New Roman" w:hAnsi="Times New Roman" w:cs="Times New Roman"/>
          <w:sz w:val="24"/>
          <w:szCs w:val="24"/>
        </w:rPr>
        <w:t>surcharge should be rejected or suspended</w:t>
      </w:r>
      <w:r w:rsidR="002B4A21" w:rsidRPr="00286389">
        <w:rPr>
          <w:rFonts w:ascii="Times New Roman" w:hAnsi="Times New Roman" w:cs="Times New Roman"/>
          <w:sz w:val="24"/>
          <w:szCs w:val="24"/>
        </w:rPr>
        <w:t xml:space="preserve"> in the face of Company claims </w:t>
      </w:r>
      <w:r w:rsidR="0025177D" w:rsidRPr="00286389">
        <w:rPr>
          <w:rFonts w:ascii="Times New Roman" w:hAnsi="Times New Roman" w:cs="Times New Roman"/>
          <w:sz w:val="24"/>
          <w:szCs w:val="24"/>
        </w:rPr>
        <w:t>of potential threats to public safety</w:t>
      </w:r>
      <w:r w:rsidR="00C12D61" w:rsidRPr="00286389">
        <w:rPr>
          <w:rFonts w:ascii="Times New Roman" w:hAnsi="Times New Roman" w:cs="Times New Roman"/>
          <w:sz w:val="24"/>
          <w:szCs w:val="24"/>
        </w:rPr>
        <w:t>.</w:t>
      </w:r>
      <w:r w:rsidR="00C12D61">
        <w:rPr>
          <w:rStyle w:val="FootnoteReference"/>
          <w:rFonts w:ascii="Times New Roman" w:hAnsi="Times New Roman" w:cs="Times New Roman"/>
          <w:sz w:val="24"/>
          <w:szCs w:val="24"/>
        </w:rPr>
        <w:footnoteReference w:id="108"/>
      </w:r>
      <w:r w:rsidR="00270B84" w:rsidRPr="00286389">
        <w:rPr>
          <w:rFonts w:ascii="Times New Roman" w:hAnsi="Times New Roman" w:cs="Times New Roman"/>
          <w:sz w:val="24"/>
          <w:szCs w:val="24"/>
        </w:rPr>
        <w:t xml:space="preserve">  </w:t>
      </w:r>
    </w:p>
    <w:p w:rsidR="008E0D1B" w:rsidRPr="00286389" w:rsidRDefault="00286389" w:rsidP="00286389">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92A48">
        <w:rPr>
          <w:rFonts w:ascii="Times New Roman" w:hAnsi="Times New Roman" w:cs="Times New Roman"/>
          <w:sz w:val="24"/>
          <w:szCs w:val="24"/>
        </w:rPr>
        <w:t xml:space="preserve">Moreover, PSE </w:t>
      </w:r>
      <w:r w:rsidR="00A717B4" w:rsidRPr="00286389">
        <w:rPr>
          <w:rFonts w:ascii="Times New Roman" w:hAnsi="Times New Roman" w:cs="Times New Roman"/>
          <w:sz w:val="24"/>
          <w:szCs w:val="24"/>
        </w:rPr>
        <w:t>has been quite successful in securing Commission approval of accoun</w:t>
      </w:r>
      <w:r w:rsidR="004344CC">
        <w:rPr>
          <w:rFonts w:ascii="Times New Roman" w:hAnsi="Times New Roman" w:cs="Times New Roman"/>
          <w:sz w:val="24"/>
          <w:szCs w:val="24"/>
        </w:rPr>
        <w:t xml:space="preserve">ting petitions and other </w:t>
      </w:r>
      <w:r w:rsidR="00A717B4" w:rsidRPr="00286389">
        <w:rPr>
          <w:rFonts w:ascii="Times New Roman" w:hAnsi="Times New Roman" w:cs="Times New Roman"/>
          <w:sz w:val="24"/>
          <w:szCs w:val="24"/>
        </w:rPr>
        <w:t xml:space="preserve">mechanisms that </w:t>
      </w:r>
      <w:r w:rsidR="00D213C6" w:rsidRPr="00286389">
        <w:rPr>
          <w:rFonts w:ascii="Times New Roman" w:hAnsi="Times New Roman" w:cs="Times New Roman"/>
          <w:sz w:val="24"/>
          <w:szCs w:val="24"/>
        </w:rPr>
        <w:t>reduce regulatory lag and</w:t>
      </w:r>
      <w:r w:rsidR="00EC5FBE" w:rsidRPr="00286389">
        <w:rPr>
          <w:rFonts w:ascii="Times New Roman" w:hAnsi="Times New Roman" w:cs="Times New Roman"/>
          <w:sz w:val="24"/>
          <w:szCs w:val="24"/>
        </w:rPr>
        <w:t xml:space="preserve"> mitigate PSE’s risk of cost under-recovery.</w:t>
      </w:r>
      <w:r w:rsidR="00EC5FBE">
        <w:rPr>
          <w:rStyle w:val="FootnoteReference"/>
          <w:rFonts w:ascii="Times New Roman" w:hAnsi="Times New Roman" w:cs="Times New Roman"/>
          <w:sz w:val="24"/>
          <w:szCs w:val="24"/>
        </w:rPr>
        <w:footnoteReference w:id="109"/>
      </w:r>
      <w:r w:rsidR="00EC5FBE" w:rsidRPr="00286389">
        <w:rPr>
          <w:rFonts w:ascii="Times New Roman" w:hAnsi="Times New Roman" w:cs="Times New Roman"/>
          <w:sz w:val="24"/>
          <w:szCs w:val="24"/>
        </w:rPr>
        <w:t xml:space="preserve">  The </w:t>
      </w:r>
      <w:r w:rsidR="00A717B4" w:rsidRPr="00286389">
        <w:rPr>
          <w:rFonts w:ascii="Times New Roman" w:hAnsi="Times New Roman" w:cs="Times New Roman"/>
          <w:sz w:val="24"/>
          <w:szCs w:val="24"/>
        </w:rPr>
        <w:t xml:space="preserve">Commission should be wary of any tariff mechanism </w:t>
      </w:r>
      <w:r w:rsidR="0063128C" w:rsidRPr="00286389">
        <w:rPr>
          <w:rFonts w:ascii="Times New Roman" w:hAnsi="Times New Roman" w:cs="Times New Roman"/>
          <w:sz w:val="24"/>
          <w:szCs w:val="24"/>
        </w:rPr>
        <w:t xml:space="preserve">intended specifically </w:t>
      </w:r>
      <w:r w:rsidR="00EC5FBE" w:rsidRPr="00286389">
        <w:rPr>
          <w:rFonts w:ascii="Times New Roman" w:hAnsi="Times New Roman" w:cs="Times New Roman"/>
          <w:sz w:val="24"/>
          <w:szCs w:val="24"/>
        </w:rPr>
        <w:t xml:space="preserve">as a means to further insulate </w:t>
      </w:r>
      <w:r w:rsidR="00311C3F" w:rsidRPr="00286389">
        <w:rPr>
          <w:rFonts w:ascii="Times New Roman" w:hAnsi="Times New Roman" w:cs="Times New Roman"/>
          <w:sz w:val="24"/>
          <w:szCs w:val="24"/>
        </w:rPr>
        <w:t xml:space="preserve">PSE </w:t>
      </w:r>
      <w:r w:rsidR="00EC5FBE" w:rsidRPr="00286389">
        <w:rPr>
          <w:rFonts w:ascii="Times New Roman" w:hAnsi="Times New Roman" w:cs="Times New Roman"/>
          <w:sz w:val="24"/>
          <w:szCs w:val="24"/>
        </w:rPr>
        <w:t xml:space="preserve">from the risk of cost under-recovery not only for the initial programs </w:t>
      </w:r>
      <w:r w:rsidR="00311C3F" w:rsidRPr="00286389">
        <w:rPr>
          <w:rFonts w:ascii="Times New Roman" w:hAnsi="Times New Roman" w:cs="Times New Roman"/>
          <w:sz w:val="24"/>
          <w:szCs w:val="24"/>
        </w:rPr>
        <w:t>and costs allow</w:t>
      </w:r>
      <w:r w:rsidR="00EC5FBE" w:rsidRPr="00286389">
        <w:rPr>
          <w:rFonts w:ascii="Times New Roman" w:hAnsi="Times New Roman" w:cs="Times New Roman"/>
          <w:sz w:val="24"/>
          <w:szCs w:val="24"/>
        </w:rPr>
        <w:t>ed by the tariff, but additiona</w:t>
      </w:r>
      <w:r w:rsidR="00311C3F" w:rsidRPr="00286389">
        <w:rPr>
          <w:rFonts w:ascii="Times New Roman" w:hAnsi="Times New Roman" w:cs="Times New Roman"/>
          <w:sz w:val="24"/>
          <w:szCs w:val="24"/>
        </w:rPr>
        <w:t>l progra</w:t>
      </w:r>
      <w:r w:rsidR="00392A48">
        <w:rPr>
          <w:rFonts w:ascii="Times New Roman" w:hAnsi="Times New Roman" w:cs="Times New Roman"/>
          <w:sz w:val="24"/>
          <w:szCs w:val="24"/>
        </w:rPr>
        <w:t xml:space="preserve">ms and higher costs PSE </w:t>
      </w:r>
      <w:r w:rsidR="00311C3F" w:rsidRPr="00286389">
        <w:rPr>
          <w:rFonts w:ascii="Times New Roman" w:hAnsi="Times New Roman" w:cs="Times New Roman"/>
          <w:sz w:val="24"/>
          <w:szCs w:val="24"/>
        </w:rPr>
        <w:t>can unilaterally request</w:t>
      </w:r>
      <w:r w:rsidR="001E7782">
        <w:rPr>
          <w:rFonts w:ascii="Times New Roman" w:hAnsi="Times New Roman" w:cs="Times New Roman"/>
          <w:sz w:val="24"/>
          <w:szCs w:val="24"/>
        </w:rPr>
        <w:t xml:space="preserve"> to be covered by the surcharge</w:t>
      </w:r>
      <w:r w:rsidR="00311C3F" w:rsidRPr="00286389">
        <w:rPr>
          <w:rFonts w:ascii="Times New Roman" w:hAnsi="Times New Roman" w:cs="Times New Roman"/>
          <w:sz w:val="24"/>
          <w:szCs w:val="24"/>
        </w:rPr>
        <w:t>.</w:t>
      </w:r>
      <w:r w:rsidR="00EC5FBE" w:rsidRPr="00286389">
        <w:rPr>
          <w:rFonts w:ascii="Times New Roman" w:hAnsi="Times New Roman" w:cs="Times New Roman"/>
          <w:sz w:val="24"/>
          <w:szCs w:val="24"/>
        </w:rPr>
        <w:t xml:space="preserve"> </w:t>
      </w:r>
      <w:r w:rsidR="00A717B4" w:rsidRPr="00286389">
        <w:rPr>
          <w:rFonts w:ascii="Times New Roman" w:hAnsi="Times New Roman" w:cs="Times New Roman"/>
          <w:sz w:val="24"/>
          <w:szCs w:val="24"/>
        </w:rPr>
        <w:t xml:space="preserve"> </w:t>
      </w:r>
      <w:r w:rsidR="00FF44F7" w:rsidRPr="00286389">
        <w:rPr>
          <w:rFonts w:ascii="Times New Roman" w:hAnsi="Times New Roman" w:cs="Times New Roman"/>
          <w:sz w:val="24"/>
          <w:szCs w:val="24"/>
        </w:rPr>
        <w:t xml:space="preserve">  </w:t>
      </w:r>
    </w:p>
    <w:p w:rsidR="00D213C6" w:rsidRDefault="00D213C6" w:rsidP="00D213C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III.</w:t>
      </w:r>
      <w:r>
        <w:rPr>
          <w:rFonts w:ascii="Times New Roman" w:hAnsi="Times New Roman" w:cs="Times New Roman"/>
          <w:b/>
          <w:sz w:val="24"/>
          <w:szCs w:val="24"/>
        </w:rPr>
        <w:tab/>
        <w:t>CONCLUSION</w:t>
      </w:r>
    </w:p>
    <w:p w:rsidR="00286389" w:rsidRPr="0067553A" w:rsidRDefault="0067553A" w:rsidP="0067553A">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6995" w:rsidRPr="0067553A">
        <w:rPr>
          <w:rFonts w:ascii="Times New Roman" w:hAnsi="Times New Roman" w:cs="Times New Roman"/>
          <w:sz w:val="24"/>
          <w:szCs w:val="24"/>
        </w:rPr>
        <w:t>As explained above, the Commission should reject the proposed surcharge as unlawful under RCW 80.04.250.</w:t>
      </w:r>
      <w:r w:rsidR="006C134E" w:rsidRPr="0067553A">
        <w:rPr>
          <w:rFonts w:ascii="Times New Roman" w:hAnsi="Times New Roman" w:cs="Times New Roman"/>
          <w:sz w:val="24"/>
          <w:szCs w:val="24"/>
        </w:rPr>
        <w:t xml:space="preserve">  The surcharge should also be rejected on the merits because it has not been shown to benefit ratepayers or to be necessary for the Company to </w:t>
      </w:r>
      <w:r w:rsidR="0070388C" w:rsidRPr="0067553A">
        <w:rPr>
          <w:rFonts w:ascii="Times New Roman" w:hAnsi="Times New Roman" w:cs="Times New Roman"/>
          <w:sz w:val="24"/>
          <w:szCs w:val="24"/>
        </w:rPr>
        <w:t xml:space="preserve">either </w:t>
      </w:r>
      <w:r w:rsidR="00411681" w:rsidRPr="0067553A">
        <w:rPr>
          <w:rFonts w:ascii="Times New Roman" w:hAnsi="Times New Roman" w:cs="Times New Roman"/>
          <w:sz w:val="24"/>
          <w:szCs w:val="24"/>
        </w:rPr>
        <w:t xml:space="preserve">maintain or </w:t>
      </w:r>
      <w:r w:rsidR="0070388C" w:rsidRPr="0067553A">
        <w:rPr>
          <w:rFonts w:ascii="Times New Roman" w:hAnsi="Times New Roman" w:cs="Times New Roman"/>
          <w:sz w:val="24"/>
          <w:szCs w:val="24"/>
        </w:rPr>
        <w:t xml:space="preserve">enhance existing pipeline integrity measures or </w:t>
      </w:r>
      <w:r w:rsidR="0014457C">
        <w:rPr>
          <w:rFonts w:ascii="Times New Roman" w:hAnsi="Times New Roman" w:cs="Times New Roman"/>
          <w:sz w:val="24"/>
          <w:szCs w:val="24"/>
        </w:rPr>
        <w:t xml:space="preserve">to </w:t>
      </w:r>
      <w:r w:rsidR="0070388C" w:rsidRPr="0067553A">
        <w:rPr>
          <w:rFonts w:ascii="Times New Roman" w:hAnsi="Times New Roman" w:cs="Times New Roman"/>
          <w:sz w:val="24"/>
          <w:szCs w:val="24"/>
        </w:rPr>
        <w:t>adopt new</w:t>
      </w:r>
      <w:r w:rsidR="006C134E" w:rsidRPr="0067553A">
        <w:rPr>
          <w:rFonts w:ascii="Times New Roman" w:hAnsi="Times New Roman" w:cs="Times New Roman"/>
          <w:sz w:val="24"/>
          <w:szCs w:val="24"/>
        </w:rPr>
        <w:t xml:space="preserve"> measures to meet its public service obligation to provide safe and reliable natural gas service.  Unresolved process issues also warrant rejection of the new surcharge.</w:t>
      </w:r>
    </w:p>
    <w:p w:rsidR="006C134E" w:rsidRPr="0067553A" w:rsidRDefault="0067553A" w:rsidP="0067553A">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134E" w:rsidRPr="0067553A">
        <w:rPr>
          <w:rFonts w:ascii="Times New Roman" w:hAnsi="Times New Roman" w:cs="Times New Roman"/>
          <w:sz w:val="24"/>
          <w:szCs w:val="24"/>
        </w:rPr>
        <w:t>Nevertheless, Staff is sympathetic to the concern expressed by the Citizen Advisory Committee on Pipeline Safety</w:t>
      </w:r>
      <w:r w:rsidR="00411681" w:rsidRPr="0067553A">
        <w:rPr>
          <w:rFonts w:ascii="Times New Roman" w:hAnsi="Times New Roman" w:cs="Times New Roman"/>
          <w:sz w:val="24"/>
          <w:szCs w:val="24"/>
        </w:rPr>
        <w:t>, which did not take a position on the proposed surcharge, but did state that</w:t>
      </w:r>
      <w:r w:rsidR="006C134E" w:rsidRPr="0067553A">
        <w:rPr>
          <w:rFonts w:ascii="Times New Roman" w:hAnsi="Times New Roman" w:cs="Times New Roman"/>
          <w:sz w:val="24"/>
          <w:szCs w:val="24"/>
        </w:rPr>
        <w:t>:</w:t>
      </w:r>
    </w:p>
    <w:p w:rsidR="006C134E" w:rsidRDefault="006C134E" w:rsidP="006C134E">
      <w:pPr>
        <w:spacing w:after="0" w:line="240" w:lineRule="auto"/>
        <w:rPr>
          <w:rFonts w:ascii="Times New Roman" w:hAnsi="Times New Roman" w:cs="Times New Roman"/>
          <w:sz w:val="24"/>
          <w:szCs w:val="24"/>
        </w:rPr>
      </w:pPr>
      <w:r>
        <w:rPr>
          <w:rFonts w:ascii="Times New Roman" w:hAnsi="Times New Roman" w:cs="Times New Roman"/>
          <w:sz w:val="24"/>
          <w:szCs w:val="24"/>
        </w:rPr>
        <w:tab/>
        <w:t>The Committee understands that this filing represents a rate policy discussion that</w:t>
      </w:r>
    </w:p>
    <w:p w:rsidR="006C134E" w:rsidRDefault="006C134E" w:rsidP="006C134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is beyond our scope of knowledge and responsibility.  Our mission is the safety of the </w:t>
      </w:r>
      <w:r w:rsidR="0070388C">
        <w:rPr>
          <w:rFonts w:ascii="Times New Roman" w:hAnsi="Times New Roman" w:cs="Times New Roman"/>
          <w:sz w:val="24"/>
          <w:szCs w:val="24"/>
        </w:rPr>
        <w:t>state’s pipeline systems.  We believe all parties share this concern.  If this particular case does not result in a replacement investment strategy for PSE, we encourage all parties to continue to work together to find a consensus approach to spurring investment in replacing vintage pipe.  We ask the Commissioners to establish a process for such discussions to continue until resolution.</w:t>
      </w:r>
      <w:r w:rsidR="0070388C">
        <w:rPr>
          <w:rStyle w:val="FootnoteReference"/>
          <w:rFonts w:ascii="Times New Roman" w:hAnsi="Times New Roman" w:cs="Times New Roman"/>
          <w:sz w:val="24"/>
          <w:szCs w:val="24"/>
        </w:rPr>
        <w:footnoteReference w:id="110"/>
      </w:r>
    </w:p>
    <w:p w:rsidR="0070388C" w:rsidRDefault="0070388C" w:rsidP="0070388C">
      <w:pPr>
        <w:spacing w:after="0" w:line="240" w:lineRule="auto"/>
        <w:rPr>
          <w:rFonts w:ascii="Times New Roman" w:hAnsi="Times New Roman" w:cs="Times New Roman"/>
          <w:sz w:val="24"/>
          <w:szCs w:val="24"/>
        </w:rPr>
      </w:pPr>
    </w:p>
    <w:p w:rsidR="00E6652F" w:rsidRDefault="005E70C2" w:rsidP="0070388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Staff agrees that the discussions </w:t>
      </w:r>
      <w:r w:rsidR="00411681">
        <w:rPr>
          <w:rFonts w:ascii="Times New Roman" w:hAnsi="Times New Roman" w:cs="Times New Roman"/>
          <w:sz w:val="24"/>
          <w:szCs w:val="24"/>
        </w:rPr>
        <w:t xml:space="preserve">requested by the Committee </w:t>
      </w:r>
      <w:r>
        <w:rPr>
          <w:rFonts w:ascii="Times New Roman" w:hAnsi="Times New Roman" w:cs="Times New Roman"/>
          <w:sz w:val="24"/>
          <w:szCs w:val="24"/>
        </w:rPr>
        <w:t>should continue, but believes</w:t>
      </w:r>
      <w:r w:rsidR="00F277AB">
        <w:rPr>
          <w:rFonts w:ascii="Times New Roman" w:hAnsi="Times New Roman" w:cs="Times New Roman"/>
          <w:sz w:val="24"/>
          <w:szCs w:val="24"/>
        </w:rPr>
        <w:t xml:space="preserve"> </w:t>
      </w:r>
      <w:r>
        <w:rPr>
          <w:rFonts w:ascii="Times New Roman" w:hAnsi="Times New Roman" w:cs="Times New Roman"/>
          <w:sz w:val="24"/>
          <w:szCs w:val="24"/>
        </w:rPr>
        <w:t>the</w:t>
      </w:r>
      <w:r w:rsidR="00F277AB">
        <w:rPr>
          <w:rFonts w:ascii="Times New Roman" w:hAnsi="Times New Roman" w:cs="Times New Roman"/>
          <w:sz w:val="24"/>
          <w:szCs w:val="24"/>
        </w:rPr>
        <w:t>y</w:t>
      </w:r>
      <w:r>
        <w:rPr>
          <w:rFonts w:ascii="Times New Roman" w:hAnsi="Times New Roman" w:cs="Times New Roman"/>
          <w:sz w:val="24"/>
          <w:szCs w:val="24"/>
        </w:rPr>
        <w:t xml:space="preserve"> should be industry-wide rather than focusing on one company.  </w:t>
      </w:r>
      <w:r w:rsidR="00BC7B5E">
        <w:rPr>
          <w:rFonts w:ascii="Times New Roman" w:hAnsi="Times New Roman" w:cs="Times New Roman"/>
          <w:sz w:val="24"/>
          <w:szCs w:val="24"/>
        </w:rPr>
        <w:t>Staff</w:t>
      </w:r>
      <w:r w:rsidR="0070388C">
        <w:rPr>
          <w:rFonts w:ascii="Times New Roman" w:hAnsi="Times New Roman" w:cs="Times New Roman"/>
          <w:sz w:val="24"/>
          <w:szCs w:val="24"/>
        </w:rPr>
        <w:t xml:space="preserve"> suggest</w:t>
      </w:r>
      <w:r w:rsidR="00BC7B5E">
        <w:rPr>
          <w:rFonts w:ascii="Times New Roman" w:hAnsi="Times New Roman" w:cs="Times New Roman"/>
          <w:sz w:val="24"/>
          <w:szCs w:val="24"/>
        </w:rPr>
        <w:t>s</w:t>
      </w:r>
      <w:r w:rsidR="0070388C">
        <w:rPr>
          <w:rFonts w:ascii="Times New Roman" w:hAnsi="Times New Roman" w:cs="Times New Roman"/>
          <w:sz w:val="24"/>
          <w:szCs w:val="24"/>
        </w:rPr>
        <w:t xml:space="preserve"> that the Commission establish a workshop among all </w:t>
      </w:r>
      <w:r>
        <w:rPr>
          <w:rFonts w:ascii="Times New Roman" w:hAnsi="Times New Roman" w:cs="Times New Roman"/>
          <w:sz w:val="24"/>
          <w:szCs w:val="24"/>
        </w:rPr>
        <w:t xml:space="preserve">regulated natural gas companies and </w:t>
      </w:r>
      <w:r w:rsidR="0070388C">
        <w:rPr>
          <w:rFonts w:ascii="Times New Roman" w:hAnsi="Times New Roman" w:cs="Times New Roman"/>
          <w:sz w:val="24"/>
          <w:szCs w:val="24"/>
        </w:rPr>
        <w:t xml:space="preserve">interested stakeholders to explore </w:t>
      </w:r>
      <w:r>
        <w:rPr>
          <w:rFonts w:ascii="Times New Roman" w:hAnsi="Times New Roman" w:cs="Times New Roman"/>
          <w:sz w:val="24"/>
          <w:szCs w:val="24"/>
        </w:rPr>
        <w:t xml:space="preserve">generally </w:t>
      </w:r>
      <w:r w:rsidR="0070388C">
        <w:rPr>
          <w:rFonts w:ascii="Times New Roman" w:hAnsi="Times New Roman" w:cs="Times New Roman"/>
          <w:sz w:val="24"/>
          <w:szCs w:val="24"/>
        </w:rPr>
        <w:t>the policy and ratem</w:t>
      </w:r>
      <w:r>
        <w:rPr>
          <w:rFonts w:ascii="Times New Roman" w:hAnsi="Times New Roman" w:cs="Times New Roman"/>
          <w:sz w:val="24"/>
          <w:szCs w:val="24"/>
        </w:rPr>
        <w:t>aking considerations inherent in</w:t>
      </w:r>
      <w:r w:rsidR="0070388C">
        <w:rPr>
          <w:rFonts w:ascii="Times New Roman" w:hAnsi="Times New Roman" w:cs="Times New Roman"/>
          <w:sz w:val="24"/>
          <w:szCs w:val="24"/>
        </w:rPr>
        <w:t xml:space="preserve"> </w:t>
      </w:r>
    </w:p>
    <w:p w:rsidR="00E6652F" w:rsidRDefault="00E6652F" w:rsidP="0070388C">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E6652F" w:rsidRDefault="00E6652F" w:rsidP="0070388C">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E6652F" w:rsidRDefault="00E6652F" w:rsidP="0070388C">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E6652F" w:rsidRDefault="00E6652F">
      <w:pPr>
        <w:rPr>
          <w:rFonts w:ascii="Times New Roman" w:hAnsi="Times New Roman" w:cs="Times New Roman"/>
          <w:sz w:val="24"/>
          <w:szCs w:val="24"/>
        </w:rPr>
      </w:pPr>
      <w:r>
        <w:rPr>
          <w:rFonts w:ascii="Times New Roman" w:hAnsi="Times New Roman" w:cs="Times New Roman"/>
          <w:sz w:val="24"/>
          <w:szCs w:val="24"/>
        </w:rPr>
        <w:br w:type="page"/>
      </w:r>
    </w:p>
    <w:p w:rsidR="0070388C" w:rsidRDefault="0070388C" w:rsidP="0070388C">
      <w:pPr>
        <w:spacing w:after="0" w:line="480" w:lineRule="auto"/>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 xml:space="preserve">pipeline replacement strategy.  Such a workshop could </w:t>
      </w:r>
      <w:r w:rsidR="00182575">
        <w:rPr>
          <w:rFonts w:ascii="Times New Roman" w:hAnsi="Times New Roman" w:cs="Times New Roman"/>
          <w:sz w:val="24"/>
          <w:szCs w:val="24"/>
        </w:rPr>
        <w:t xml:space="preserve">also </w:t>
      </w:r>
      <w:r>
        <w:rPr>
          <w:rFonts w:ascii="Times New Roman" w:hAnsi="Times New Roman" w:cs="Times New Roman"/>
          <w:sz w:val="24"/>
          <w:szCs w:val="24"/>
        </w:rPr>
        <w:t xml:space="preserve">be the jumping off point for an </w:t>
      </w:r>
      <w:r w:rsidR="00F277AB">
        <w:rPr>
          <w:rFonts w:ascii="Times New Roman" w:hAnsi="Times New Roman" w:cs="Times New Roman"/>
          <w:sz w:val="24"/>
          <w:szCs w:val="24"/>
        </w:rPr>
        <w:t>interpre</w:t>
      </w:r>
      <w:r>
        <w:rPr>
          <w:rFonts w:ascii="Times New Roman" w:hAnsi="Times New Roman" w:cs="Times New Roman"/>
          <w:sz w:val="24"/>
          <w:szCs w:val="24"/>
        </w:rPr>
        <w:t xml:space="preserve">tive </w:t>
      </w:r>
      <w:r w:rsidR="00F277AB">
        <w:rPr>
          <w:rFonts w:ascii="Times New Roman" w:hAnsi="Times New Roman" w:cs="Times New Roman"/>
          <w:sz w:val="24"/>
          <w:szCs w:val="24"/>
        </w:rPr>
        <w:t xml:space="preserve">and </w:t>
      </w:r>
      <w:r>
        <w:rPr>
          <w:rFonts w:ascii="Times New Roman" w:hAnsi="Times New Roman" w:cs="Times New Roman"/>
          <w:sz w:val="24"/>
          <w:szCs w:val="24"/>
        </w:rPr>
        <w:t>policy statement or other appropriate proceeding such as a rulemaking.</w:t>
      </w:r>
    </w:p>
    <w:p w:rsidR="00E534C6" w:rsidRPr="00E534C6" w:rsidRDefault="00E534C6" w:rsidP="00E534C6">
      <w:pPr>
        <w:spacing w:after="0" w:line="240" w:lineRule="auto"/>
        <w:ind w:left="720"/>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 xml:space="preserve">DATED this </w:t>
      </w:r>
      <w:r>
        <w:rPr>
          <w:rFonts w:ascii="Times New Roman" w:eastAsia="Times New Roman" w:hAnsi="Times New Roman" w:cs="Times New Roman"/>
          <w:sz w:val="24"/>
          <w:szCs w:val="24"/>
        </w:rPr>
        <w:t>16</w:t>
      </w:r>
      <w:r w:rsidRPr="00E534C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E534C6">
        <w:rPr>
          <w:rFonts w:ascii="Times New Roman" w:eastAsia="Times New Roman" w:hAnsi="Times New Roman" w:cs="Times New Roman"/>
          <w:sz w:val="24"/>
          <w:szCs w:val="24"/>
        </w:rPr>
        <w:t xml:space="preserve">day of </w:t>
      </w:r>
      <w:r>
        <w:rPr>
          <w:rFonts w:ascii="Times New Roman" w:eastAsia="Times New Roman" w:hAnsi="Times New Roman" w:cs="Times New Roman"/>
          <w:sz w:val="24"/>
          <w:szCs w:val="24"/>
        </w:rPr>
        <w:t xml:space="preserve">December </w:t>
      </w:r>
      <w:r w:rsidRPr="00E534C6">
        <w:rPr>
          <w:rFonts w:ascii="Times New Roman" w:eastAsia="Times New Roman" w:hAnsi="Times New Roman" w:cs="Times New Roman"/>
          <w:sz w:val="24"/>
          <w:szCs w:val="24"/>
        </w:rPr>
        <w:t>20</w:t>
      </w:r>
      <w:r>
        <w:rPr>
          <w:rFonts w:ascii="Times New Roman" w:eastAsia="Times New Roman" w:hAnsi="Times New Roman" w:cs="Times New Roman"/>
          <w:sz w:val="24"/>
          <w:szCs w:val="24"/>
        </w:rPr>
        <w:t>11</w:t>
      </w:r>
      <w:r w:rsidRPr="00E534C6">
        <w:rPr>
          <w:rFonts w:ascii="Times New Roman" w:eastAsia="Times New Roman" w:hAnsi="Times New Roman" w:cs="Times New Roman"/>
          <w:sz w:val="24"/>
          <w:szCs w:val="24"/>
        </w:rPr>
        <w:t>.</w:t>
      </w:r>
    </w:p>
    <w:p w:rsidR="00E534C6" w:rsidRPr="00E534C6" w:rsidRDefault="00E534C6" w:rsidP="00E534C6">
      <w:pPr>
        <w:spacing w:after="0" w:line="240" w:lineRule="auto"/>
        <w:rPr>
          <w:rFonts w:ascii="Times New Roman" w:eastAsia="Times New Roman" w:hAnsi="Times New Roman" w:cs="Times New Roman"/>
          <w:sz w:val="24"/>
          <w:szCs w:val="24"/>
        </w:rPr>
      </w:pP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 xml:space="preserve">Respectfully submitted, </w:t>
      </w: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 xml:space="preserve">ROBERT M. MCKENNA </w:t>
      </w: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Attorney General</w:t>
      </w: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______________________________________</w:t>
      </w: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 D. CEDARBAUM</w:t>
      </w: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Assistant Attorney General</w:t>
      </w: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 xml:space="preserve">Counsel for </w:t>
      </w:r>
      <w:smartTag w:uri="urn:schemas-microsoft-com:office:smarttags" w:element="place">
        <w:smartTag w:uri="urn:schemas-microsoft-com:office:smarttags" w:element="State">
          <w:r w:rsidRPr="00E534C6">
            <w:rPr>
              <w:rFonts w:ascii="Times New Roman" w:eastAsia="Times New Roman" w:hAnsi="Times New Roman" w:cs="Times New Roman"/>
              <w:sz w:val="24"/>
              <w:szCs w:val="24"/>
            </w:rPr>
            <w:t>Washington</w:t>
          </w:r>
        </w:smartTag>
      </w:smartTag>
      <w:r w:rsidRPr="00E534C6">
        <w:rPr>
          <w:rFonts w:ascii="Times New Roman" w:eastAsia="Times New Roman" w:hAnsi="Times New Roman" w:cs="Times New Roman"/>
          <w:sz w:val="24"/>
          <w:szCs w:val="24"/>
        </w:rPr>
        <w:t xml:space="preserve"> Utilities and</w:t>
      </w:r>
    </w:p>
    <w:p w:rsidR="00E534C6" w:rsidRPr="00E534C6" w:rsidRDefault="00E534C6" w:rsidP="00E534C6">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Transportation Commission Staff</w:t>
      </w:r>
    </w:p>
    <w:p w:rsidR="00E534C6" w:rsidRPr="00E534C6" w:rsidRDefault="00E534C6" w:rsidP="00E534C6">
      <w:pPr>
        <w:spacing w:after="0" w:line="480" w:lineRule="auto"/>
        <w:rPr>
          <w:rFonts w:ascii="Times New Roman" w:eastAsia="Times New Roman" w:hAnsi="Times New Roman" w:cs="Times New Roman"/>
          <w:sz w:val="24"/>
          <w:szCs w:val="24"/>
        </w:rPr>
      </w:pPr>
    </w:p>
    <w:p w:rsidR="006C134E" w:rsidRPr="009B6995" w:rsidRDefault="006C134E" w:rsidP="00286389">
      <w:pPr>
        <w:spacing w:after="0" w:line="480" w:lineRule="auto"/>
        <w:rPr>
          <w:rFonts w:ascii="Times New Roman" w:hAnsi="Times New Roman" w:cs="Times New Roman"/>
          <w:sz w:val="24"/>
          <w:szCs w:val="24"/>
        </w:rPr>
      </w:pPr>
    </w:p>
    <w:sectPr w:rsidR="006C134E" w:rsidRPr="009B6995" w:rsidSect="00557D2B">
      <w:pgSz w:w="12240" w:h="15840"/>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A1" w:rsidRDefault="00EA71A1" w:rsidP="00BD2BAD">
      <w:pPr>
        <w:spacing w:after="0" w:line="240" w:lineRule="auto"/>
      </w:pPr>
      <w:r>
        <w:separator/>
      </w:r>
    </w:p>
  </w:endnote>
  <w:endnote w:type="continuationSeparator" w:id="0">
    <w:p w:rsidR="00EA71A1" w:rsidRDefault="00EA71A1" w:rsidP="00BD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A1" w:rsidRPr="00557D2B" w:rsidRDefault="00EA71A1" w:rsidP="00557D2B">
    <w:pPr>
      <w:pStyle w:val="Footer"/>
    </w:pPr>
    <w:r w:rsidRPr="00557D2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A1" w:rsidRPr="00557D2B" w:rsidRDefault="00EA71A1">
    <w:pPr>
      <w:pStyle w:val="Footer"/>
      <w:rPr>
        <w:rFonts w:ascii="Times New Roman" w:hAnsi="Times New Roman" w:cs="Times New Roman"/>
        <w:sz w:val="20"/>
        <w:szCs w:val="20"/>
      </w:rPr>
    </w:pPr>
  </w:p>
  <w:p w:rsidR="00EA71A1" w:rsidRPr="00557D2B" w:rsidRDefault="00EA71A1">
    <w:pPr>
      <w:pStyle w:val="Footer"/>
      <w:rPr>
        <w:rFonts w:ascii="Times New Roman" w:hAnsi="Times New Roman" w:cs="Times New Roman"/>
        <w:sz w:val="20"/>
        <w:szCs w:val="20"/>
      </w:rPr>
    </w:pPr>
    <w:r w:rsidRPr="00557D2B">
      <w:rPr>
        <w:rFonts w:ascii="Times New Roman" w:hAnsi="Times New Roman" w:cs="Times New Roman"/>
        <w:sz w:val="20"/>
        <w:szCs w:val="20"/>
      </w:rPr>
      <w:t>BRIEF OF COMMISSION STAFF</w:t>
    </w:r>
    <w:r>
      <w:rPr>
        <w:rFonts w:ascii="Times New Roman" w:hAnsi="Times New Roman" w:cs="Times New Roman"/>
        <w:sz w:val="20"/>
        <w:szCs w:val="20"/>
      </w:rPr>
      <w:t xml:space="preserve"> </w:t>
    </w:r>
    <w:r w:rsidRPr="00557D2B">
      <w:rPr>
        <w:rFonts w:ascii="Times New Roman" w:hAnsi="Times New Roman" w:cs="Times New Roman"/>
        <w:sz w:val="20"/>
        <w:szCs w:val="20"/>
      </w:rPr>
      <w:t xml:space="preserve">- </w:t>
    </w:r>
    <w:r w:rsidRPr="00557D2B">
      <w:rPr>
        <w:rFonts w:ascii="Times New Roman" w:hAnsi="Times New Roman" w:cs="Times New Roman"/>
        <w:sz w:val="20"/>
        <w:szCs w:val="20"/>
      </w:rPr>
      <w:fldChar w:fldCharType="begin"/>
    </w:r>
    <w:r w:rsidRPr="00557D2B">
      <w:rPr>
        <w:rFonts w:ascii="Times New Roman" w:hAnsi="Times New Roman" w:cs="Times New Roman"/>
        <w:sz w:val="20"/>
        <w:szCs w:val="20"/>
      </w:rPr>
      <w:instrText xml:space="preserve"> PAGE   \* MERGEFORMAT </w:instrText>
    </w:r>
    <w:r w:rsidRPr="00557D2B">
      <w:rPr>
        <w:rFonts w:ascii="Times New Roman" w:hAnsi="Times New Roman" w:cs="Times New Roman"/>
        <w:sz w:val="20"/>
        <w:szCs w:val="20"/>
      </w:rPr>
      <w:fldChar w:fldCharType="separate"/>
    </w:r>
    <w:r w:rsidR="00E6652F">
      <w:rPr>
        <w:rFonts w:ascii="Times New Roman" w:hAnsi="Times New Roman" w:cs="Times New Roman"/>
        <w:noProof/>
        <w:sz w:val="20"/>
        <w:szCs w:val="20"/>
      </w:rPr>
      <w:t>27</w:t>
    </w:r>
    <w:r w:rsidRPr="00557D2B">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A1" w:rsidRDefault="00EA71A1" w:rsidP="00BD2BAD">
      <w:pPr>
        <w:spacing w:after="0" w:line="240" w:lineRule="auto"/>
      </w:pPr>
      <w:r>
        <w:separator/>
      </w:r>
    </w:p>
  </w:footnote>
  <w:footnote w:type="continuationSeparator" w:id="0">
    <w:p w:rsidR="00EA71A1" w:rsidRDefault="00EA71A1" w:rsidP="00BD2BAD">
      <w:pPr>
        <w:spacing w:after="0" w:line="240" w:lineRule="auto"/>
      </w:pPr>
      <w:r>
        <w:continuationSeparator/>
      </w:r>
    </w:p>
  </w:footnote>
  <w:footnote w:id="1">
    <w:p w:rsidR="00EA71A1" w:rsidRDefault="00EA71A1">
      <w:pPr>
        <w:pStyle w:val="FootnoteText"/>
      </w:pPr>
      <w:r>
        <w:rPr>
          <w:rStyle w:val="FootnoteReference"/>
        </w:rPr>
        <w:footnoteRef/>
      </w:r>
      <w:r>
        <w:t xml:space="preserve"> Exhibit TAD-1T at 2:16-18.</w:t>
      </w:r>
    </w:p>
  </w:footnote>
  <w:footnote w:id="2">
    <w:p w:rsidR="00EA71A1" w:rsidRDefault="00EA71A1" w:rsidP="000432E7">
      <w:pPr>
        <w:spacing w:after="0" w:line="240" w:lineRule="auto"/>
      </w:pPr>
      <w:r w:rsidRPr="005B157F">
        <w:rPr>
          <w:rStyle w:val="FootnoteReference"/>
          <w:rFonts w:ascii="Times New Roman" w:hAnsi="Times New Roman" w:cs="Times New Roman"/>
          <w:sz w:val="20"/>
          <w:szCs w:val="20"/>
        </w:rPr>
        <w:footnoteRef/>
      </w:r>
      <w:r w:rsidRPr="005B157F">
        <w:rPr>
          <w:rFonts w:ascii="Times New Roman" w:hAnsi="Times New Roman" w:cs="Times New Roman"/>
          <w:sz w:val="20"/>
          <w:szCs w:val="20"/>
        </w:rPr>
        <w:t xml:space="preserve"> RCW 80.04.250.  The legislature has provided only two exceptions</w:t>
      </w:r>
      <w:r>
        <w:rPr>
          <w:rFonts w:ascii="Times New Roman" w:hAnsi="Times New Roman" w:cs="Times New Roman"/>
          <w:sz w:val="20"/>
          <w:szCs w:val="20"/>
        </w:rPr>
        <w:t xml:space="preserve"> to the “used and useful”</w:t>
      </w:r>
      <w:r w:rsidRPr="005B157F">
        <w:rPr>
          <w:rFonts w:ascii="Times New Roman" w:hAnsi="Times New Roman" w:cs="Times New Roman"/>
          <w:sz w:val="20"/>
          <w:szCs w:val="20"/>
        </w:rPr>
        <w:t xml:space="preserve"> requirement.  One exception is for construction work in progress and, then, only if the Commission finds that including CWIP in rate base is “in the public interest”. RCW 80.04.250.  The other exception allows rates to recover funding of a reserve account for capital improvements, but that exception applies only to water companies and then only for capital improvements approved or required by the Department of Health or Department of Ecology. RCW 80.28.022.</w:t>
      </w:r>
    </w:p>
  </w:footnote>
  <w:footnote w:id="3">
    <w:p w:rsidR="00EA71A1" w:rsidRDefault="00EA71A1" w:rsidP="000432E7">
      <w:pPr>
        <w:pStyle w:val="FootnoteText"/>
      </w:pPr>
      <w:r>
        <w:rPr>
          <w:rStyle w:val="FootnoteReference"/>
        </w:rPr>
        <w:footnoteRef/>
      </w:r>
      <w:r>
        <w:t xml:space="preserve"> </w:t>
      </w:r>
      <w:r w:rsidRPr="00544573">
        <w:rPr>
          <w:i/>
        </w:rPr>
        <w:t>Power v. Utils. &amp; Transp. Comm’n</w:t>
      </w:r>
      <w:r>
        <w:t xml:space="preserve">, 430 Wn.2d 452, 430, 679 P.2d 922 (1984) (uncompleted power plant is not “used and useful” because it is neither employed for service nor capable of being put to use for service).  The Commission has articulated its view that in order for an asset to be “used and useful” and recovered in rates, the asset must provide quantifiable benefits to Washington ratepayers that are commensurate with their costs.  </w:t>
      </w:r>
      <w:r w:rsidRPr="00EF443E">
        <w:rPr>
          <w:i/>
        </w:rPr>
        <w:t>WUTC v. PacifiCorp d/b/a Pacific Power &amp; Light Co</w:t>
      </w:r>
      <w:r>
        <w:t>., Docket UE-050684, Order 05 at ¶ 27 (July 14, 2006).  We demonstrate in Section II.B.1 below, that the Company’s proposal fails the benefits test for rate base treatment.</w:t>
      </w:r>
    </w:p>
  </w:footnote>
  <w:footnote w:id="4">
    <w:p w:rsidR="00EA71A1" w:rsidRDefault="00EA71A1" w:rsidP="000432E7">
      <w:pPr>
        <w:pStyle w:val="FootnoteText"/>
      </w:pPr>
      <w:r>
        <w:rPr>
          <w:rStyle w:val="FootnoteReference"/>
        </w:rPr>
        <w:footnoteRef/>
      </w:r>
      <w:r>
        <w:t xml:space="preserve"> Leonard Goodman, The Process of Ratemaking 799 (1998).</w:t>
      </w:r>
    </w:p>
  </w:footnote>
  <w:footnote w:id="5">
    <w:p w:rsidR="00EA71A1" w:rsidRDefault="00EA71A1" w:rsidP="000432E7">
      <w:pPr>
        <w:pStyle w:val="FootnoteText"/>
      </w:pPr>
      <w:r>
        <w:rPr>
          <w:rStyle w:val="FootnoteReference"/>
        </w:rPr>
        <w:footnoteRef/>
      </w:r>
      <w:r>
        <w:t xml:space="preserve"> Exhibit JHS-3 at 3.  For example, for the first program year, the surcharge is based on actual capital investments for the three categories of pipeline from July 1 2010 through July 31, 2011 and forecasted capital investments from August 1, 2011 through October 31, 2012.  Exhibit JHS-1T at 3:14-17 and Exhibits JHS-5 (wrapped steel services), JHS-6 (wrapped steel mains), and JHS-7 (Older PE).</w:t>
      </w:r>
    </w:p>
  </w:footnote>
  <w:footnote w:id="6">
    <w:p w:rsidR="00EA71A1" w:rsidRDefault="00EA71A1" w:rsidP="000432E7">
      <w:pPr>
        <w:pStyle w:val="FootnoteText"/>
      </w:pPr>
      <w:r>
        <w:rPr>
          <w:rStyle w:val="FootnoteReference"/>
        </w:rPr>
        <w:footnoteRef/>
      </w:r>
      <w:r>
        <w:t xml:space="preserve"> Exhibit JHS-10T at 2:3-7.  </w:t>
      </w:r>
    </w:p>
  </w:footnote>
  <w:footnote w:id="7">
    <w:p w:rsidR="00EA71A1" w:rsidRDefault="00EA71A1" w:rsidP="000432E7">
      <w:pPr>
        <w:pStyle w:val="FootnoteText"/>
      </w:pPr>
      <w:r>
        <w:rPr>
          <w:rStyle w:val="FootnoteReference"/>
        </w:rPr>
        <w:footnoteRef/>
      </w:r>
      <w:r>
        <w:t xml:space="preserve"> For example, the revenue deficiency for wrapped steel services that is based on an average of monthly average includes projected capital expenditures for August 2011 through October 2012.  Exhibit JHS-5.</w:t>
      </w:r>
    </w:p>
  </w:footnote>
  <w:footnote w:id="8">
    <w:p w:rsidR="00EA71A1" w:rsidRDefault="00EA71A1" w:rsidP="000432E7">
      <w:pPr>
        <w:pStyle w:val="FootnoteText"/>
      </w:pPr>
      <w:r>
        <w:rPr>
          <w:rStyle w:val="FootnoteReference"/>
        </w:rPr>
        <w:footnoteRef/>
      </w:r>
      <w:r>
        <w:t xml:space="preserve"> Exhibit JHS-10T at 2:7-9 and Exhibit JHS-3 at 3.</w:t>
      </w:r>
    </w:p>
  </w:footnote>
  <w:footnote w:id="9">
    <w:p w:rsidR="00EA71A1" w:rsidRDefault="00EA71A1" w:rsidP="000432E7">
      <w:pPr>
        <w:pStyle w:val="FootnoteText"/>
      </w:pPr>
      <w:r>
        <w:rPr>
          <w:rStyle w:val="FootnoteReference"/>
        </w:rPr>
        <w:footnoteRef/>
      </w:r>
      <w:r>
        <w:t xml:space="preserve"> Exhibit JHS-10T at 2:14-15.</w:t>
      </w:r>
    </w:p>
  </w:footnote>
  <w:footnote w:id="10">
    <w:p w:rsidR="00EA71A1" w:rsidRDefault="00EA71A1">
      <w:pPr>
        <w:pStyle w:val="FootnoteText"/>
      </w:pPr>
      <w:r>
        <w:rPr>
          <w:rStyle w:val="FootnoteReference"/>
        </w:rPr>
        <w:footnoteRef/>
      </w:r>
      <w:r>
        <w:t xml:space="preserve"> Tr. 110:7-10 (DeBoer).</w:t>
      </w:r>
    </w:p>
  </w:footnote>
  <w:footnote w:id="11">
    <w:p w:rsidR="00EA71A1" w:rsidRDefault="00EA71A1" w:rsidP="000432E7">
      <w:pPr>
        <w:pStyle w:val="FootnoteText"/>
      </w:pPr>
      <w:r>
        <w:rPr>
          <w:rStyle w:val="FootnoteReference"/>
        </w:rPr>
        <w:footnoteRef/>
      </w:r>
      <w:r>
        <w:t xml:space="preserve"> Exhibit JHS-10T at 2:10-14.</w:t>
      </w:r>
    </w:p>
  </w:footnote>
  <w:footnote w:id="12">
    <w:p w:rsidR="00EA71A1" w:rsidRDefault="00EA71A1" w:rsidP="000432E7">
      <w:pPr>
        <w:pStyle w:val="FootnoteText"/>
      </w:pPr>
      <w:r>
        <w:rPr>
          <w:rStyle w:val="FootnoteReference"/>
        </w:rPr>
        <w:footnoteRef/>
      </w:r>
      <w:r>
        <w:t xml:space="preserve"> Tr. 214:4-12 (Story).</w:t>
      </w:r>
    </w:p>
  </w:footnote>
  <w:footnote w:id="13">
    <w:p w:rsidR="00EA71A1" w:rsidRDefault="00EA71A1" w:rsidP="000432E7">
      <w:pPr>
        <w:pStyle w:val="FootnoteText"/>
      </w:pPr>
      <w:r>
        <w:rPr>
          <w:rStyle w:val="FootnoteReference"/>
        </w:rPr>
        <w:footnoteRef/>
      </w:r>
      <w:r>
        <w:t xml:space="preserve"> Exhibit JHS-10T at 3:1-4, citing, </w:t>
      </w:r>
      <w:r w:rsidRPr="002A2831">
        <w:rPr>
          <w:i/>
        </w:rPr>
        <w:t xml:space="preserve">Report and Policy Statement Concerning Acquisition of Renewable </w:t>
      </w:r>
      <w:r>
        <w:rPr>
          <w:i/>
        </w:rPr>
        <w:t>R</w:t>
      </w:r>
      <w:r w:rsidRPr="002A2831">
        <w:rPr>
          <w:i/>
        </w:rPr>
        <w:t>esources by Investor-Owned Utilities</w:t>
      </w:r>
      <w:r>
        <w:t>, Docket UE-100849 (January 3, 2011).</w:t>
      </w:r>
    </w:p>
  </w:footnote>
  <w:footnote w:id="14">
    <w:p w:rsidR="00EA71A1" w:rsidRDefault="00EA71A1">
      <w:pPr>
        <w:pStyle w:val="FootnoteText"/>
      </w:pPr>
      <w:r>
        <w:rPr>
          <w:rStyle w:val="FootnoteReference"/>
        </w:rPr>
        <w:footnoteRef/>
      </w:r>
      <w:r>
        <w:t xml:space="preserve"> Exhibit TAD-4T at 6:14-15.</w:t>
      </w:r>
    </w:p>
  </w:footnote>
  <w:footnote w:id="15">
    <w:p w:rsidR="00EA71A1" w:rsidRDefault="00EA71A1" w:rsidP="000432E7">
      <w:pPr>
        <w:pStyle w:val="FootnoteText"/>
      </w:pPr>
      <w:r>
        <w:rPr>
          <w:rStyle w:val="FootnoteReference"/>
        </w:rPr>
        <w:footnoteRef/>
      </w:r>
      <w:r>
        <w:t xml:space="preserve"> </w:t>
      </w:r>
      <w:r w:rsidRPr="002A2831">
        <w:rPr>
          <w:i/>
        </w:rPr>
        <w:t xml:space="preserve">Report and Policy Statement Concerning Acquisition of Renewable </w:t>
      </w:r>
      <w:r>
        <w:rPr>
          <w:i/>
        </w:rPr>
        <w:t>R</w:t>
      </w:r>
      <w:r w:rsidRPr="002A2831">
        <w:rPr>
          <w:i/>
        </w:rPr>
        <w:t>esources by Investor-Owned Utilities</w:t>
      </w:r>
      <w:r>
        <w:t>, Docket UE-100849, ¶ 31 (January 3, 2011).</w:t>
      </w:r>
    </w:p>
  </w:footnote>
  <w:footnote w:id="16">
    <w:p w:rsidR="00EA71A1" w:rsidRPr="00663BDF" w:rsidRDefault="00EA71A1" w:rsidP="00D66003">
      <w:pPr>
        <w:pStyle w:val="FootnoteText"/>
        <w:rPr>
          <w:rFonts w:cs="Times New Roman"/>
        </w:rPr>
      </w:pPr>
      <w:r w:rsidRPr="004676F2">
        <w:rPr>
          <w:rStyle w:val="FootnoteReference"/>
          <w:rFonts w:cs="Times New Roman"/>
        </w:rPr>
        <w:footnoteRef/>
      </w:r>
      <w:r w:rsidRPr="004676F2">
        <w:rPr>
          <w:rFonts w:cs="Times New Roman"/>
        </w:rPr>
        <w:t xml:space="preserve"> </w:t>
      </w:r>
      <w:r w:rsidRPr="00427C85">
        <w:rPr>
          <w:rFonts w:cs="Times New Roman"/>
          <w:i/>
        </w:rPr>
        <w:t>WUTC vs. Puget Sound Energy, Inc.</w:t>
      </w:r>
      <w:r>
        <w:rPr>
          <w:rFonts w:cs="Times New Roman"/>
        </w:rPr>
        <w:t>, Docket</w:t>
      </w:r>
      <w:r w:rsidRPr="00427C85">
        <w:rPr>
          <w:rFonts w:cs="Times New Roman"/>
        </w:rPr>
        <w:t>s UE-060266 and UG-060267</w:t>
      </w:r>
      <w:r w:rsidRPr="00F43759">
        <w:rPr>
          <w:rFonts w:cs="Times New Roman"/>
          <w:sz w:val="24"/>
          <w:szCs w:val="24"/>
        </w:rPr>
        <w:t>,</w:t>
      </w:r>
      <w:r>
        <w:rPr>
          <w:rFonts w:cs="Times New Roman"/>
          <w:sz w:val="24"/>
          <w:szCs w:val="24"/>
        </w:rPr>
        <w:t xml:space="preserve"> </w:t>
      </w:r>
      <w:r w:rsidRPr="004676F2">
        <w:rPr>
          <w:rFonts w:cs="Times New Roman"/>
        </w:rPr>
        <w:t>Order 08 at ¶</w:t>
      </w:r>
      <w:r>
        <w:rPr>
          <w:rFonts w:cs="Times New Roman"/>
        </w:rPr>
        <w:t xml:space="preserve"> </w:t>
      </w:r>
      <w:r w:rsidRPr="004676F2">
        <w:rPr>
          <w:rFonts w:cs="Times New Roman"/>
        </w:rPr>
        <w:t>37</w:t>
      </w:r>
      <w:r>
        <w:rPr>
          <w:rFonts w:cs="Times New Roman"/>
        </w:rPr>
        <w:t xml:space="preserve"> (January 5, 2007)</w:t>
      </w:r>
      <w:r w:rsidRPr="00663BDF">
        <w:rPr>
          <w:rFonts w:cs="Times New Roman"/>
          <w:sz w:val="24"/>
          <w:szCs w:val="24"/>
        </w:rPr>
        <w:t>.</w:t>
      </w:r>
    </w:p>
  </w:footnote>
  <w:footnote w:id="17">
    <w:p w:rsidR="00EA71A1" w:rsidRDefault="00EA71A1" w:rsidP="00D66003">
      <w:pPr>
        <w:spacing w:after="0" w:line="240" w:lineRule="auto"/>
      </w:pPr>
      <w:r w:rsidRPr="00F42515">
        <w:rPr>
          <w:rStyle w:val="FootnoteReference"/>
          <w:rFonts w:ascii="Times New Roman" w:hAnsi="Times New Roman" w:cs="Times New Roman"/>
          <w:sz w:val="20"/>
          <w:szCs w:val="20"/>
        </w:rPr>
        <w:footnoteRef/>
      </w:r>
      <w:r w:rsidRPr="00F42515">
        <w:rPr>
          <w:rFonts w:ascii="Times New Roman" w:hAnsi="Times New Roman" w:cs="Times New Roman"/>
          <w:sz w:val="20"/>
          <w:szCs w:val="20"/>
        </w:rPr>
        <w:t xml:space="preserve"> </w:t>
      </w:r>
      <w:r w:rsidRPr="00F42515">
        <w:rPr>
          <w:rFonts w:ascii="Times New Roman" w:hAnsi="Times New Roman" w:cs="Times New Roman"/>
          <w:i/>
          <w:sz w:val="20"/>
          <w:szCs w:val="20"/>
        </w:rPr>
        <w:t>Id</w:t>
      </w:r>
      <w:r w:rsidRPr="00F42515">
        <w:rPr>
          <w:rFonts w:ascii="Times New Roman" w:hAnsi="Times New Roman" w:cs="Times New Roman"/>
          <w:sz w:val="20"/>
          <w:szCs w:val="20"/>
        </w:rPr>
        <w:t>. at ¶</w:t>
      </w:r>
      <w:r>
        <w:rPr>
          <w:rFonts w:ascii="Times New Roman" w:hAnsi="Times New Roman" w:cs="Times New Roman"/>
          <w:sz w:val="20"/>
          <w:szCs w:val="20"/>
        </w:rPr>
        <w:t xml:space="preserve"> </w:t>
      </w:r>
      <w:r w:rsidRPr="00F42515">
        <w:rPr>
          <w:rFonts w:ascii="Times New Roman" w:hAnsi="Times New Roman" w:cs="Times New Roman"/>
          <w:sz w:val="20"/>
          <w:szCs w:val="20"/>
        </w:rPr>
        <w:t xml:space="preserve">39, citing </w:t>
      </w:r>
      <w:r w:rsidRPr="00F42515">
        <w:rPr>
          <w:rFonts w:ascii="Times New Roman" w:hAnsi="Times New Roman" w:cs="Times New Roman"/>
          <w:i/>
          <w:sz w:val="20"/>
          <w:szCs w:val="20"/>
        </w:rPr>
        <w:t>WUTC v. Washington Natural Gas Co.</w:t>
      </w:r>
      <w:r w:rsidRPr="00F42515">
        <w:rPr>
          <w:rFonts w:ascii="Times New Roman" w:hAnsi="Times New Roman" w:cs="Times New Roman"/>
          <w:sz w:val="20"/>
          <w:szCs w:val="20"/>
        </w:rPr>
        <w:t>, 4</w:t>
      </w:r>
      <w:r w:rsidRPr="00F42515">
        <w:rPr>
          <w:rFonts w:ascii="Times New Roman" w:hAnsi="Times New Roman" w:cs="Times New Roman"/>
          <w:sz w:val="20"/>
          <w:szCs w:val="20"/>
          <w:vertAlign w:val="superscript"/>
        </w:rPr>
        <w:t>th</w:t>
      </w:r>
      <w:r w:rsidRPr="00F42515">
        <w:rPr>
          <w:rFonts w:ascii="Times New Roman" w:hAnsi="Times New Roman" w:cs="Times New Roman"/>
          <w:sz w:val="20"/>
          <w:szCs w:val="20"/>
        </w:rPr>
        <w:t xml:space="preserve"> S</w:t>
      </w:r>
      <w:r>
        <w:rPr>
          <w:rFonts w:ascii="Times New Roman" w:hAnsi="Times New Roman" w:cs="Times New Roman"/>
          <w:sz w:val="20"/>
          <w:szCs w:val="20"/>
        </w:rPr>
        <w:t xml:space="preserve">upp. Order at 29-30, Docket </w:t>
      </w:r>
      <w:r w:rsidRPr="00F42515">
        <w:rPr>
          <w:rFonts w:ascii="Times New Roman" w:hAnsi="Times New Roman" w:cs="Times New Roman"/>
          <w:sz w:val="20"/>
          <w:szCs w:val="20"/>
        </w:rPr>
        <w:t xml:space="preserve">UG-920840 (September 27, 1993) and stating “Staff is correct to argue that </w:t>
      </w:r>
      <w:r>
        <w:rPr>
          <w:rFonts w:ascii="Times New Roman" w:hAnsi="Times New Roman" w:cs="Times New Roman"/>
          <w:sz w:val="20"/>
          <w:szCs w:val="20"/>
        </w:rPr>
        <w:t xml:space="preserve">[a departure from fundamental ratemaking principles] </w:t>
      </w:r>
      <w:r w:rsidRPr="00F42515">
        <w:rPr>
          <w:rFonts w:ascii="Times New Roman" w:hAnsi="Times New Roman" w:cs="Times New Roman"/>
          <w:sz w:val="20"/>
          <w:szCs w:val="20"/>
        </w:rPr>
        <w:t>should be granted only under extraordinary circumstances and with clear evidence that the utility would be harmed without such relief.</w:t>
      </w:r>
      <w:r>
        <w:rPr>
          <w:rFonts w:ascii="Times New Roman" w:hAnsi="Times New Roman" w:cs="Times New Roman"/>
          <w:sz w:val="20"/>
          <w:szCs w:val="20"/>
        </w:rPr>
        <w:t>”</w:t>
      </w:r>
    </w:p>
  </w:footnote>
  <w:footnote w:id="18">
    <w:p w:rsidR="00EA71A1" w:rsidRDefault="00EA71A1">
      <w:pPr>
        <w:pStyle w:val="FootnoteText"/>
      </w:pPr>
      <w:r>
        <w:rPr>
          <w:rStyle w:val="FootnoteReference"/>
        </w:rPr>
        <w:footnoteRef/>
      </w:r>
      <w:r>
        <w:t xml:space="preserve"> </w:t>
      </w:r>
      <w:r w:rsidRPr="004074D6">
        <w:rPr>
          <w:i/>
        </w:rPr>
        <w:t>Id</w:t>
      </w:r>
      <w:r>
        <w:t xml:space="preserve">. at </w:t>
      </w:r>
      <w:r w:rsidRPr="00F42515">
        <w:rPr>
          <w:rFonts w:cs="Times New Roman"/>
        </w:rPr>
        <w:t>¶</w:t>
      </w:r>
      <w:r>
        <w:rPr>
          <w:rFonts w:cs="Times New Roman"/>
        </w:rPr>
        <w:t xml:space="preserve"> 36, and Tr. 212:15-213:10 and Tr. 235:16-236:3 (Story).</w:t>
      </w:r>
    </w:p>
  </w:footnote>
  <w:footnote w:id="19">
    <w:p w:rsidR="00EA71A1" w:rsidRDefault="00EA71A1">
      <w:pPr>
        <w:pStyle w:val="FootnoteText"/>
      </w:pPr>
      <w:r>
        <w:rPr>
          <w:rStyle w:val="FootnoteReference"/>
        </w:rPr>
        <w:footnoteRef/>
      </w:r>
      <w:r>
        <w:t xml:space="preserve"> </w:t>
      </w:r>
      <w:r w:rsidRPr="004074D6">
        <w:rPr>
          <w:i/>
        </w:rPr>
        <w:t>Id</w:t>
      </w:r>
      <w:r>
        <w:t xml:space="preserve">. at </w:t>
      </w:r>
      <w:r w:rsidRPr="00F42515">
        <w:rPr>
          <w:rFonts w:cs="Times New Roman"/>
        </w:rPr>
        <w:t>¶¶</w:t>
      </w:r>
      <w:r>
        <w:rPr>
          <w:rFonts w:cs="Times New Roman"/>
        </w:rPr>
        <w:t xml:space="preserve"> 41-42.</w:t>
      </w:r>
    </w:p>
  </w:footnote>
  <w:footnote w:id="20">
    <w:p w:rsidR="00EA71A1" w:rsidRDefault="00EA71A1">
      <w:pPr>
        <w:pStyle w:val="FootnoteText"/>
      </w:pPr>
      <w:r>
        <w:rPr>
          <w:rStyle w:val="FootnoteReference"/>
        </w:rPr>
        <w:footnoteRef/>
      </w:r>
      <w:r>
        <w:t xml:space="preserve"> </w:t>
      </w:r>
      <w:r>
        <w:rPr>
          <w:i/>
        </w:rPr>
        <w:t>WUTC v.</w:t>
      </w:r>
      <w:r w:rsidRPr="008A597F">
        <w:rPr>
          <w:i/>
        </w:rPr>
        <w:t xml:space="preserve"> Washington Natural Gas Company</w:t>
      </w:r>
      <w:r>
        <w:t xml:space="preserve">, Docket No. UG-920840, Fourth Suppl. Order at 6 (September 27, 1993).  The pipeline replacement program at issue was the cast iron system of Washington Natural Gas Company that the Commission previously ordered replaced in Docket UG-920487.  </w:t>
      </w:r>
      <w:r>
        <w:rPr>
          <w:i/>
        </w:rPr>
        <w:t>WUTC v.</w:t>
      </w:r>
      <w:r w:rsidRPr="008A597F">
        <w:rPr>
          <w:i/>
        </w:rPr>
        <w:t xml:space="preserve"> Washington Natural Gas Company</w:t>
      </w:r>
      <w:r>
        <w:t>, Docket No. UG-920487, First Suppl. Order (June 19, 1992).</w:t>
      </w:r>
    </w:p>
  </w:footnote>
  <w:footnote w:id="21">
    <w:p w:rsidR="00EA71A1" w:rsidRPr="005431CD" w:rsidRDefault="00EA71A1" w:rsidP="005431CD">
      <w:pPr>
        <w:spacing w:after="0" w:line="240" w:lineRule="auto"/>
        <w:rPr>
          <w:rFonts w:ascii="Times New Roman" w:hAnsi="Times New Roman" w:cs="Times New Roman"/>
          <w:sz w:val="20"/>
          <w:szCs w:val="20"/>
        </w:rPr>
      </w:pPr>
      <w:r w:rsidRPr="009529A5">
        <w:rPr>
          <w:rStyle w:val="FootnoteReference"/>
          <w:rFonts w:ascii="Times New Roman" w:hAnsi="Times New Roman" w:cs="Times New Roman"/>
          <w:sz w:val="20"/>
          <w:szCs w:val="20"/>
        </w:rPr>
        <w:footnoteRef/>
      </w:r>
      <w:r w:rsidRPr="009529A5">
        <w:rPr>
          <w:rFonts w:ascii="Times New Roman" w:hAnsi="Times New Roman" w:cs="Times New Roman"/>
          <w:sz w:val="20"/>
          <w:szCs w:val="20"/>
        </w:rPr>
        <w:t xml:space="preserve"> Exhibit TAD-4T at 12:3-5.  The Company also argues that the Commission noted </w:t>
      </w:r>
      <w:r>
        <w:rPr>
          <w:rFonts w:ascii="Times New Roman" w:hAnsi="Times New Roman" w:cs="Times New Roman"/>
          <w:sz w:val="20"/>
          <w:szCs w:val="20"/>
        </w:rPr>
        <w:t xml:space="preserve">in the </w:t>
      </w:r>
      <w:r w:rsidRPr="009529A5">
        <w:rPr>
          <w:rFonts w:ascii="Times New Roman" w:hAnsi="Times New Roman" w:cs="Times New Roman"/>
          <w:sz w:val="20"/>
          <w:szCs w:val="20"/>
        </w:rPr>
        <w:t>2006 general rate case that recovery of infrastructure replacement could be undertaken outside of a general rate case.  Exhibit TAD-4T at 12:1-7, citing,</w:t>
      </w:r>
      <w:r w:rsidRPr="009529A5">
        <w:rPr>
          <w:rFonts w:ascii="Times New Roman" w:hAnsi="Times New Roman" w:cs="Times New Roman"/>
          <w:i/>
          <w:sz w:val="20"/>
          <w:szCs w:val="20"/>
        </w:rPr>
        <w:t xml:space="preserve"> WUTC vs. Puget Sound Energy, Inc.</w:t>
      </w:r>
      <w:r w:rsidRPr="009529A5">
        <w:rPr>
          <w:rFonts w:ascii="Times New Roman" w:hAnsi="Times New Roman" w:cs="Times New Roman"/>
          <w:sz w:val="20"/>
          <w:szCs w:val="20"/>
        </w:rPr>
        <w:t>, Dockets UE-060266 and UG-060267, Order 08 at ¶ 51 (January 5, 2007).  However, PSE ignores the Commission’s statement in the very same paragraph of the very same order, that recovery of infrastructure replacement outside a general rate case is allowed only if “the investments are shown to be prudent, the amounts are reasonable, and the plant is demonstrated to be used and useful.”  Earlier we demonstrated that PSE’s surcharge fails the “used and useful” test.  Elsewhere in this brief we demonstrate that the Company</w:t>
      </w:r>
      <w:r>
        <w:rPr>
          <w:rFonts w:ascii="Times New Roman" w:hAnsi="Times New Roman" w:cs="Times New Roman"/>
          <w:sz w:val="20"/>
          <w:szCs w:val="20"/>
        </w:rPr>
        <w:t>’s</w:t>
      </w:r>
      <w:r w:rsidRPr="009529A5">
        <w:rPr>
          <w:rFonts w:ascii="Times New Roman" w:hAnsi="Times New Roman" w:cs="Times New Roman"/>
          <w:sz w:val="20"/>
          <w:szCs w:val="20"/>
        </w:rPr>
        <w:t xml:space="preserve"> </w:t>
      </w:r>
      <w:r>
        <w:rPr>
          <w:rFonts w:ascii="Times New Roman" w:hAnsi="Times New Roman" w:cs="Times New Roman"/>
          <w:sz w:val="20"/>
          <w:szCs w:val="20"/>
        </w:rPr>
        <w:t>proposal is vague as to the process for addressing the remaining issues of prudence and reasonableness</w:t>
      </w:r>
      <w:r w:rsidRPr="009529A5">
        <w:rPr>
          <w:rFonts w:ascii="Times New Roman" w:hAnsi="Times New Roman" w:cs="Times New Roman"/>
          <w:sz w:val="20"/>
          <w:szCs w:val="20"/>
        </w:rPr>
        <w:t>.</w:t>
      </w:r>
    </w:p>
  </w:footnote>
  <w:footnote w:id="22">
    <w:p w:rsidR="00EA71A1" w:rsidRDefault="00EA71A1" w:rsidP="00197742">
      <w:pPr>
        <w:pStyle w:val="FootnoteText"/>
      </w:pPr>
      <w:r>
        <w:rPr>
          <w:rStyle w:val="FootnoteReference"/>
        </w:rPr>
        <w:footnoteRef/>
      </w:r>
      <w:r>
        <w:t xml:space="preserve"> Exhibit TAD-1T at 2:16-18 and Exhibit DAH-1T at 16:3-5.  </w:t>
      </w:r>
    </w:p>
  </w:footnote>
  <w:footnote w:id="23">
    <w:p w:rsidR="00EA71A1" w:rsidRDefault="00EA71A1" w:rsidP="00E81E55">
      <w:pPr>
        <w:pStyle w:val="FootnoteText"/>
      </w:pPr>
      <w:r>
        <w:rPr>
          <w:rStyle w:val="FootnoteReference"/>
        </w:rPr>
        <w:footnoteRef/>
      </w:r>
      <w:r>
        <w:t xml:space="preserve"> Exhibit DAH-29.</w:t>
      </w:r>
    </w:p>
  </w:footnote>
  <w:footnote w:id="24">
    <w:p w:rsidR="00EA71A1" w:rsidRDefault="00EA71A1" w:rsidP="00197742">
      <w:pPr>
        <w:pStyle w:val="FootnoteText"/>
      </w:pPr>
      <w:r>
        <w:rPr>
          <w:rStyle w:val="FootnoteReference"/>
        </w:rPr>
        <w:footnoteRef/>
      </w:r>
      <w:r>
        <w:t xml:space="preserve"> Exhibit DAH-30.  The one apparent exception is that PSE claims that the effectiveness of the pipeline replacement program will be evaluated based on trending leak performance.  Exhibit DAH-21.  However, the Company admitted it will not be able to attribute any improvements in leak performance to efforts funded through the surcharge because PSE will not know what pipe would have been replaced absent the surcharge.  </w:t>
      </w:r>
      <w:r w:rsidRPr="00125823">
        <w:rPr>
          <w:i/>
        </w:rPr>
        <w:t>Id</w:t>
      </w:r>
      <w:r>
        <w:t>. and Tr. 148:13-24 (Henderson).  Thus, the leak performance evaluation will have no probative value in assessing ratepayer benefits from the surcharge itself.</w:t>
      </w:r>
    </w:p>
  </w:footnote>
  <w:footnote w:id="25">
    <w:p w:rsidR="00EA71A1" w:rsidRDefault="00EA71A1" w:rsidP="00197742">
      <w:pPr>
        <w:pStyle w:val="FootnoteText"/>
      </w:pPr>
      <w:r>
        <w:rPr>
          <w:rStyle w:val="FootnoteReference"/>
        </w:rPr>
        <w:footnoteRef/>
      </w:r>
      <w:r>
        <w:t xml:space="preserve"> Exhibit TAD-4T at 3:13-4:7 and Exhibit DAH-30.</w:t>
      </w:r>
    </w:p>
  </w:footnote>
  <w:footnote w:id="26">
    <w:p w:rsidR="00EA71A1" w:rsidRDefault="00EA71A1">
      <w:pPr>
        <w:pStyle w:val="FootnoteText"/>
      </w:pPr>
      <w:r>
        <w:rPr>
          <w:rStyle w:val="FootnoteReference"/>
        </w:rPr>
        <w:footnoteRef/>
      </w:r>
      <w:r>
        <w:t xml:space="preserve"> Exhibit DAH-1T at 6:9-15 (wrapped steel services), 8:1-5 (wrapped steel mains) and 9:10-14 (Older PE).  Exhibit DAH-4T at 5:8-9.  </w:t>
      </w:r>
      <w:r>
        <w:rPr>
          <w:rFonts w:cs="Times New Roman"/>
        </w:rPr>
        <w:t xml:space="preserve">No estimates or timeline for pipeline replacement have been developed </w:t>
      </w:r>
      <w:r w:rsidRPr="008E403B">
        <w:rPr>
          <w:rFonts w:cs="Times New Roman"/>
        </w:rPr>
        <w:t>because the Company is still in the process of gathering information, monitoring performance, calibrating various risk models, and, in the case of Older PE, implementing a geographic information system to better understand the inventory and location of pipeline.</w:t>
      </w:r>
      <w:r>
        <w:rPr>
          <w:rFonts w:cs="Times New Roman"/>
        </w:rPr>
        <w:t xml:space="preserve"> </w:t>
      </w:r>
      <w:r>
        <w:t xml:space="preserve">Exhibit DAH-1T at 6-9 and Tr. 132:21-133:1 (Henderson).  </w:t>
      </w:r>
    </w:p>
  </w:footnote>
  <w:footnote w:id="27">
    <w:p w:rsidR="00EA71A1" w:rsidRDefault="00EA71A1">
      <w:pPr>
        <w:pStyle w:val="FootnoteText"/>
      </w:pPr>
      <w:r>
        <w:rPr>
          <w:rStyle w:val="FootnoteReference"/>
        </w:rPr>
        <w:footnoteRef/>
      </w:r>
      <w:r>
        <w:t xml:space="preserve"> Exhibit DAH-1T at 10: Table, which includes expenses planned currently, but does not estimate the cost of additional pipeline that may be replaced under the surcharge.</w:t>
      </w:r>
    </w:p>
  </w:footnote>
  <w:footnote w:id="28">
    <w:p w:rsidR="00EA71A1" w:rsidRDefault="00EA71A1">
      <w:pPr>
        <w:pStyle w:val="FootnoteText"/>
      </w:pPr>
      <w:r>
        <w:rPr>
          <w:rStyle w:val="FootnoteReference"/>
        </w:rPr>
        <w:footnoteRef/>
      </w:r>
      <w:r>
        <w:t xml:space="preserve"> Exhibit TAD-4T at 7:14-22.</w:t>
      </w:r>
    </w:p>
  </w:footnote>
  <w:footnote w:id="29">
    <w:p w:rsidR="00EA71A1" w:rsidRDefault="00EA71A1">
      <w:pPr>
        <w:pStyle w:val="FootnoteText"/>
      </w:pPr>
      <w:r>
        <w:rPr>
          <w:rStyle w:val="FootnoteReference"/>
        </w:rPr>
        <w:footnoteRef/>
      </w:r>
      <w:r>
        <w:t xml:space="preserve"> Exhibit TAD-4T at 8:10-16 and Tr. 115:5-16 (DeBoer).  In fact, it is possible that disagreement could arise within the Commission itself between Pipeline Safety Staff agreeing to a replacement program from an engineering perspective and Regulatory Services Staff contesting the program from a cost perspective.  Tr. 114:20-115:4 (DeBoer).</w:t>
      </w:r>
    </w:p>
  </w:footnote>
  <w:footnote w:id="30">
    <w:p w:rsidR="00EA71A1" w:rsidRDefault="00EA71A1">
      <w:pPr>
        <w:pStyle w:val="FootnoteText"/>
      </w:pPr>
      <w:r>
        <w:rPr>
          <w:rStyle w:val="FootnoteReference"/>
        </w:rPr>
        <w:footnoteRef/>
      </w:r>
      <w:r>
        <w:t xml:space="preserve"> The Company analogizes to its Conservation Resource Advisory Group (“CRAG”) as the type of collaborative process it envisions for the new surcharge.  Exhibit TAD-4T at 8:6-9.  However, the Company’s latest conservation targets were the subject of recent litigation because the CRAG participants could not initially reach agreement.  </w:t>
      </w:r>
      <w:r w:rsidRPr="006352E1">
        <w:rPr>
          <w:i/>
        </w:rPr>
        <w:t>WUTC v. Puget Sound Energy, Inc</w:t>
      </w:r>
      <w:r>
        <w:t>., Docket 100177, Order 05 (September 28, 2010).  Staff recommends that the Commission not establish a similar potentially adversarial process for pipeline replacement programs.</w:t>
      </w:r>
    </w:p>
  </w:footnote>
  <w:footnote w:id="31">
    <w:p w:rsidR="00EA71A1" w:rsidRPr="00081B0A" w:rsidRDefault="00EA71A1">
      <w:pPr>
        <w:pStyle w:val="FootnoteText"/>
      </w:pPr>
      <w:r>
        <w:rPr>
          <w:rStyle w:val="FootnoteReference"/>
        </w:rPr>
        <w:footnoteRef/>
      </w:r>
      <w:r>
        <w:t xml:space="preserve"> Exhibit MV-1T at 3:20-4:6.  </w:t>
      </w:r>
    </w:p>
  </w:footnote>
  <w:footnote w:id="32">
    <w:p w:rsidR="00EA71A1" w:rsidRPr="00311E2B" w:rsidRDefault="00EA71A1" w:rsidP="002A5D48">
      <w:pPr>
        <w:pStyle w:val="FootnoteText"/>
      </w:pPr>
      <w:r>
        <w:rPr>
          <w:rStyle w:val="FootnoteReference"/>
        </w:rPr>
        <w:footnoteRef/>
      </w:r>
      <w:r>
        <w:t xml:space="preserve"> Exhibit JHS-1T at 4:1-8.  It is, therefore, error for the Company to state that the new surcharge will allow PSE the ability to accelerate funding for pipeline integrity initiatives “beyond the level currently budgeted in any particular year.”  Exhibit TAD-1T at 4:20-22.</w:t>
      </w:r>
    </w:p>
  </w:footnote>
  <w:footnote w:id="33">
    <w:p w:rsidR="00EA71A1" w:rsidRDefault="00EA71A1">
      <w:pPr>
        <w:pStyle w:val="FootnoteText"/>
      </w:pPr>
      <w:r>
        <w:rPr>
          <w:rStyle w:val="FootnoteReference"/>
        </w:rPr>
        <w:footnoteRef/>
      </w:r>
      <w:r>
        <w:t xml:space="preserve"> </w:t>
      </w:r>
      <w:r w:rsidRPr="00311E2B">
        <w:rPr>
          <w:rFonts w:cs="Times New Roman"/>
        </w:rPr>
        <w:t>For example, the end of the test year in the last general rate case was June 30, 2010.  Thus, the proposed revenue deficiency in this case of $1.9 million is calculated from planned additions to plant of $16.4 million from July 2010 through October 2012.</w:t>
      </w:r>
      <w:r>
        <w:rPr>
          <w:rFonts w:cs="Times New Roman"/>
        </w:rPr>
        <w:t xml:space="preserve"> </w:t>
      </w:r>
      <w:r w:rsidRPr="00311E2B">
        <w:t xml:space="preserve"> </w:t>
      </w:r>
      <w:r>
        <w:t>Exhibit JHS-4.  That additional investment of $16.4 million is planned by PSE even without the surcharge.</w:t>
      </w:r>
      <w:r w:rsidRPr="0088396A">
        <w:t xml:space="preserve"> </w:t>
      </w:r>
      <w:r>
        <w:t xml:space="preserve"> Likewise, replacement of wrapped steel services and mains designated for Priority Replacement or Scheduled Replacement was already budgeted by PSE without the surcharge, but still was used to develop the revenue deficiency to be recovered through the surcharge. Exhibit MV-1T at 8:2-19.</w:t>
      </w:r>
    </w:p>
  </w:footnote>
  <w:footnote w:id="34">
    <w:p w:rsidR="00EA71A1" w:rsidRDefault="00EA71A1" w:rsidP="00D12084">
      <w:pPr>
        <w:pStyle w:val="FootnoteText"/>
      </w:pPr>
      <w:r>
        <w:rPr>
          <w:rStyle w:val="FootnoteReference"/>
        </w:rPr>
        <w:footnoteRef/>
      </w:r>
      <w:r>
        <w:t xml:space="preserve"> </w:t>
      </w:r>
      <w:r w:rsidRPr="008A597F">
        <w:rPr>
          <w:i/>
        </w:rPr>
        <w:t>WUTC v, Washington Natural Gas Company</w:t>
      </w:r>
      <w:r>
        <w:t xml:space="preserve">, Docket No. UG-920840, Fourth Suppl. Order at 6 (September 27, 1993).  </w:t>
      </w:r>
    </w:p>
  </w:footnote>
  <w:footnote w:id="35">
    <w:p w:rsidR="00EA71A1" w:rsidRDefault="00EA71A1">
      <w:pPr>
        <w:pStyle w:val="FootnoteText"/>
      </w:pPr>
      <w:r>
        <w:rPr>
          <w:rStyle w:val="FootnoteReference"/>
        </w:rPr>
        <w:footnoteRef/>
      </w:r>
      <w:r>
        <w:t xml:space="preserve"> Pipeline system already safe and reliable:  Exhibit TAD-1T at 3: 14-15, 4:12-13 and 6:14-16; Tr. 84:8 (DeBoer).  PSE will continue to invest in pipeline replacement without surcharge:  Exhibit DAH-1T at 18:14-19, Exhibit TAD 4T at 9:19-22, Exhibit DAH-7 at 2 (paragraphs b and c); Tr. 118:17-23 (DeBoer), Tr. 119:16-20 (DeBoer), Tr. 169:5-10 (Henderson), Tr. 170:5 and 24-25 (Henderson).</w:t>
      </w:r>
    </w:p>
  </w:footnote>
  <w:footnote w:id="36">
    <w:p w:rsidR="00EA71A1" w:rsidRDefault="00EA71A1">
      <w:pPr>
        <w:pStyle w:val="FootnoteText"/>
      </w:pPr>
      <w:r>
        <w:rPr>
          <w:rStyle w:val="FootnoteReference"/>
        </w:rPr>
        <w:footnoteRef/>
      </w:r>
      <w:r>
        <w:t xml:space="preserve"> Exhibit DL-1T at 2:18-3:17.</w:t>
      </w:r>
    </w:p>
  </w:footnote>
  <w:footnote w:id="37">
    <w:p w:rsidR="00EA71A1" w:rsidRDefault="00EA71A1">
      <w:pPr>
        <w:pStyle w:val="FootnoteText"/>
      </w:pPr>
      <w:r>
        <w:rPr>
          <w:rStyle w:val="FootnoteReference"/>
        </w:rPr>
        <w:footnoteRef/>
      </w:r>
      <w:r>
        <w:t xml:space="preserve"> Exhibit DAH-1T at 3:1-7, 16:13-14 and 17:1-7, Exhibit DAH-11 and Exhibit DAH-12; Tr. 86:11-13; Tr. 156:9-13 (Henderson).</w:t>
      </w:r>
    </w:p>
  </w:footnote>
  <w:footnote w:id="38">
    <w:p w:rsidR="00EA71A1" w:rsidRDefault="00EA71A1">
      <w:pPr>
        <w:pStyle w:val="FootnoteText"/>
      </w:pPr>
      <w:r>
        <w:rPr>
          <w:rStyle w:val="FootnoteReference"/>
        </w:rPr>
        <w:footnoteRef/>
      </w:r>
      <w:r>
        <w:t xml:space="preserve"> Tr. 165:21-166:5 (Henderson).</w:t>
      </w:r>
    </w:p>
  </w:footnote>
  <w:footnote w:id="39">
    <w:p w:rsidR="00EA71A1" w:rsidRDefault="00EA71A1">
      <w:pPr>
        <w:pStyle w:val="FootnoteText"/>
      </w:pPr>
      <w:r>
        <w:rPr>
          <w:rStyle w:val="FootnoteReference"/>
        </w:rPr>
        <w:footnoteRef/>
      </w:r>
      <w:r>
        <w:t xml:space="preserve"> Tr. 165:9-12 (Henderson).</w:t>
      </w:r>
    </w:p>
  </w:footnote>
  <w:footnote w:id="40">
    <w:p w:rsidR="00EA71A1" w:rsidRDefault="00EA71A1">
      <w:pPr>
        <w:pStyle w:val="FootnoteText"/>
      </w:pPr>
      <w:r>
        <w:rPr>
          <w:rStyle w:val="FootnoteReference"/>
        </w:rPr>
        <w:footnoteRef/>
      </w:r>
      <w:r>
        <w:t xml:space="preserve"> Exhibit DAH-7 at 15.</w:t>
      </w:r>
    </w:p>
  </w:footnote>
  <w:footnote w:id="41">
    <w:p w:rsidR="00EA71A1" w:rsidRDefault="00EA71A1">
      <w:pPr>
        <w:pStyle w:val="FootnoteText"/>
      </w:pPr>
      <w:r>
        <w:rPr>
          <w:rStyle w:val="FootnoteReference"/>
        </w:rPr>
        <w:footnoteRef/>
      </w:r>
      <w:r>
        <w:t xml:space="preserve"> Exhibit DAH-7 at 13 and 28; Tr. 142:12-15, Tr. 150:4-8 and 15-19 (Henderson), and Tr. 154:25-155:2 (Henderson).</w:t>
      </w:r>
    </w:p>
  </w:footnote>
  <w:footnote w:id="42">
    <w:p w:rsidR="00EA71A1" w:rsidRDefault="00EA71A1">
      <w:pPr>
        <w:pStyle w:val="FootnoteText"/>
      </w:pPr>
      <w:r>
        <w:rPr>
          <w:rStyle w:val="FootnoteReference"/>
        </w:rPr>
        <w:footnoteRef/>
      </w:r>
      <w:r>
        <w:t xml:space="preserve"> Exhibit DAH-1T at 6:5-6 and Exhibit DAH-4T at 7:20-8:4.</w:t>
      </w:r>
    </w:p>
  </w:footnote>
  <w:footnote w:id="43">
    <w:p w:rsidR="00EA71A1" w:rsidRDefault="00EA71A1">
      <w:pPr>
        <w:pStyle w:val="FootnoteText"/>
      </w:pPr>
      <w:r>
        <w:rPr>
          <w:rStyle w:val="FootnoteReference"/>
        </w:rPr>
        <w:footnoteRef/>
      </w:r>
      <w:r>
        <w:t xml:space="preserve"> Exhibit DAH-9 and Exhibit DAH-22</w:t>
      </w:r>
    </w:p>
  </w:footnote>
  <w:footnote w:id="44">
    <w:p w:rsidR="00EA71A1" w:rsidRDefault="00EA71A1">
      <w:pPr>
        <w:pStyle w:val="FootnoteText"/>
      </w:pPr>
      <w:r>
        <w:rPr>
          <w:rStyle w:val="FootnoteReference"/>
        </w:rPr>
        <w:footnoteRef/>
      </w:r>
      <w:r>
        <w:t xml:space="preserve"> Exhibit DAH-1T at 7:6-7 and Exhibit DAH-4T at 8:12-13.</w:t>
      </w:r>
    </w:p>
  </w:footnote>
  <w:footnote w:id="45">
    <w:p w:rsidR="00EA71A1" w:rsidRDefault="00EA71A1" w:rsidP="00100B5F">
      <w:pPr>
        <w:pStyle w:val="FootnoteText"/>
      </w:pPr>
      <w:r>
        <w:rPr>
          <w:rStyle w:val="FootnoteReference"/>
        </w:rPr>
        <w:footnoteRef/>
      </w:r>
      <w:r>
        <w:t xml:space="preserve"> Exhibit DL-1T at 5:12-6:14 and Exhibit DAH-7 at 36.</w:t>
      </w:r>
    </w:p>
  </w:footnote>
  <w:footnote w:id="46">
    <w:p w:rsidR="00EA71A1" w:rsidRPr="00FA51A9" w:rsidRDefault="00EA71A1" w:rsidP="00100B5F">
      <w:pPr>
        <w:pStyle w:val="FootnoteText"/>
      </w:pPr>
      <w:r>
        <w:rPr>
          <w:rStyle w:val="FootnoteReference"/>
        </w:rPr>
        <w:footnoteRef/>
      </w:r>
      <w:r>
        <w:t xml:space="preserve"> Tr. 161:2-8 (Henderson).   Staff was not as certain as the Company on the amount of Dupont plastic pipe, stating that t</w:t>
      </w:r>
      <w:r w:rsidRPr="00FA51A9">
        <w:rPr>
          <w:rFonts w:cs="Times New Roman"/>
        </w:rPr>
        <w:t>he ext</w:t>
      </w:r>
      <w:r>
        <w:rPr>
          <w:rFonts w:cs="Times New Roman"/>
        </w:rPr>
        <w:t xml:space="preserve">ent of Dupont </w:t>
      </w:r>
      <w:r w:rsidRPr="00FA51A9">
        <w:rPr>
          <w:rFonts w:cs="Times New Roman"/>
        </w:rPr>
        <w:t>pipe is uncertain since historical documentation does not provide sufficient detail to determine the precise quantities and location of installations</w:t>
      </w:r>
      <w:r>
        <w:rPr>
          <w:rFonts w:cs="Times New Roman"/>
        </w:rPr>
        <w:t xml:space="preserve">.  </w:t>
      </w:r>
      <w:r>
        <w:t>Exhibit DL-1T at 6:20-23 and Tr. 242: 17-243:10 (Lykken).</w:t>
      </w:r>
    </w:p>
  </w:footnote>
  <w:footnote w:id="47">
    <w:p w:rsidR="00EA71A1" w:rsidRDefault="00EA71A1" w:rsidP="00100B5F">
      <w:pPr>
        <w:pStyle w:val="FootnoteText"/>
      </w:pPr>
      <w:r>
        <w:rPr>
          <w:rStyle w:val="FootnoteReference"/>
        </w:rPr>
        <w:footnoteRef/>
      </w:r>
      <w:r>
        <w:t xml:space="preserve"> Exhibit DL-1T at 6:23-7:3.</w:t>
      </w:r>
    </w:p>
  </w:footnote>
  <w:footnote w:id="48">
    <w:p w:rsidR="00EA71A1" w:rsidRDefault="00EA71A1" w:rsidP="00100B5F">
      <w:pPr>
        <w:pStyle w:val="FootnoteText"/>
      </w:pPr>
      <w:r>
        <w:rPr>
          <w:rStyle w:val="FootnoteReference"/>
        </w:rPr>
        <w:footnoteRef/>
      </w:r>
      <w:r>
        <w:t xml:space="preserve"> Tr. 253:9-13 (Lykken).</w:t>
      </w:r>
    </w:p>
  </w:footnote>
  <w:footnote w:id="49">
    <w:p w:rsidR="00EA71A1" w:rsidRDefault="00EA71A1" w:rsidP="00100B5F">
      <w:pPr>
        <w:pStyle w:val="FootnoteText"/>
      </w:pPr>
      <w:r>
        <w:rPr>
          <w:rStyle w:val="FootnoteReference"/>
        </w:rPr>
        <w:footnoteRef/>
      </w:r>
      <w:r>
        <w:t xml:space="preserve"> Tr. 161:13-17 (Henderson).</w:t>
      </w:r>
    </w:p>
  </w:footnote>
  <w:footnote w:id="50">
    <w:p w:rsidR="00EA71A1" w:rsidRDefault="00EA71A1" w:rsidP="00F83D5D">
      <w:pPr>
        <w:pStyle w:val="FootnoteText"/>
      </w:pPr>
      <w:r>
        <w:rPr>
          <w:rStyle w:val="FootnoteReference"/>
        </w:rPr>
        <w:footnoteRef/>
      </w:r>
      <w:r>
        <w:t xml:space="preserve"> Exhibit DAH-22 at 13, Pie Chart.  Corrosion and material and weld failure are the next leading causes of leaks on the system, but they represent only 8 percent and 7 percent of leak repairs, respectively.  Exhibit DAH-7 at 36.</w:t>
      </w:r>
    </w:p>
  </w:footnote>
  <w:footnote w:id="51">
    <w:p w:rsidR="00EA71A1" w:rsidRDefault="00EA71A1">
      <w:pPr>
        <w:pStyle w:val="FootnoteText"/>
      </w:pPr>
      <w:r>
        <w:rPr>
          <w:rStyle w:val="FootnoteReference"/>
        </w:rPr>
        <w:footnoteRef/>
      </w:r>
      <w:r>
        <w:t xml:space="preserve"> Exhibit DAH-4T at 8:17-9:8 and Exhibit DAH-7 at 12</w:t>
      </w:r>
    </w:p>
  </w:footnote>
  <w:footnote w:id="52">
    <w:p w:rsidR="00EA71A1" w:rsidRDefault="00EA71A1">
      <w:pPr>
        <w:pStyle w:val="FootnoteText"/>
      </w:pPr>
      <w:r>
        <w:rPr>
          <w:rStyle w:val="FootnoteReference"/>
        </w:rPr>
        <w:footnoteRef/>
      </w:r>
      <w:r>
        <w:t xml:space="preserve"> Exhibit DAH-1T at 4:11-12</w:t>
      </w:r>
    </w:p>
  </w:footnote>
  <w:footnote w:id="53">
    <w:p w:rsidR="00EA71A1" w:rsidRDefault="00EA71A1">
      <w:pPr>
        <w:pStyle w:val="FootnoteText"/>
      </w:pPr>
      <w:r>
        <w:rPr>
          <w:rStyle w:val="FootnoteReference"/>
        </w:rPr>
        <w:footnoteRef/>
      </w:r>
      <w:r>
        <w:t xml:space="preserve"> Exhibit DAH-7 at 24 and 28, and Exhibit DAH-24, Graph.</w:t>
      </w:r>
    </w:p>
  </w:footnote>
  <w:footnote w:id="54">
    <w:p w:rsidR="00EA71A1" w:rsidRDefault="00EA71A1">
      <w:pPr>
        <w:pStyle w:val="FootnoteText"/>
      </w:pPr>
      <w:r>
        <w:rPr>
          <w:rStyle w:val="FootnoteReference"/>
        </w:rPr>
        <w:footnoteRef/>
      </w:r>
      <w:r>
        <w:t xml:space="preserve"> Exhibit DAH-7 at 11 and Exhibit DAH-8; Tr. 139:3-7 (Henderson) and Tr. 143-144:2 (Henderson).</w:t>
      </w:r>
    </w:p>
  </w:footnote>
  <w:footnote w:id="55">
    <w:p w:rsidR="00EA71A1" w:rsidRDefault="00EA71A1">
      <w:pPr>
        <w:pStyle w:val="FootnoteText"/>
      </w:pPr>
      <w:r>
        <w:rPr>
          <w:rStyle w:val="FootnoteReference"/>
        </w:rPr>
        <w:footnoteRef/>
      </w:r>
      <w:r>
        <w:t xml:space="preserve"> Exhibit DAH-7 at 11 and 21.</w:t>
      </w:r>
    </w:p>
  </w:footnote>
  <w:footnote w:id="56">
    <w:p w:rsidR="00EA71A1" w:rsidRDefault="00EA71A1">
      <w:pPr>
        <w:pStyle w:val="FootnoteText"/>
      </w:pPr>
      <w:r>
        <w:rPr>
          <w:rStyle w:val="FootnoteReference"/>
        </w:rPr>
        <w:footnoteRef/>
      </w:r>
      <w:r>
        <w:t xml:space="preserve"> Exhibit DL-1T at 4:20-5:6.</w:t>
      </w:r>
    </w:p>
  </w:footnote>
  <w:footnote w:id="57">
    <w:p w:rsidR="00EA71A1" w:rsidRDefault="00EA71A1" w:rsidP="001951D5">
      <w:pPr>
        <w:pStyle w:val="FootnoteText"/>
      </w:pPr>
      <w:r>
        <w:rPr>
          <w:rStyle w:val="FootnoteReference"/>
        </w:rPr>
        <w:footnoteRef/>
      </w:r>
      <w:r>
        <w:t xml:space="preserve"> Exhibit DAH-8.</w:t>
      </w:r>
    </w:p>
  </w:footnote>
  <w:footnote w:id="58">
    <w:p w:rsidR="00EA71A1" w:rsidRDefault="00EA71A1">
      <w:pPr>
        <w:pStyle w:val="FootnoteText"/>
      </w:pPr>
      <w:r>
        <w:rPr>
          <w:rStyle w:val="FootnoteReference"/>
        </w:rPr>
        <w:footnoteRef/>
      </w:r>
      <w:r>
        <w:t xml:space="preserve"> Exhibit DAH-1T at 3:13-4:4 and Exhibit DAH-3.</w:t>
      </w:r>
    </w:p>
  </w:footnote>
  <w:footnote w:id="59">
    <w:p w:rsidR="00EA71A1" w:rsidRDefault="00EA71A1">
      <w:pPr>
        <w:pStyle w:val="FootnoteText"/>
      </w:pPr>
      <w:r>
        <w:rPr>
          <w:rStyle w:val="FootnoteReference"/>
        </w:rPr>
        <w:footnoteRef/>
      </w:r>
      <w:r>
        <w:t xml:space="preserve"> Tr. 207:14-208:13 (Henderson) and Exhibit DAH-7 at 54.</w:t>
      </w:r>
    </w:p>
  </w:footnote>
  <w:footnote w:id="60">
    <w:p w:rsidR="00EA71A1" w:rsidRDefault="00EA71A1">
      <w:pPr>
        <w:pStyle w:val="FootnoteText"/>
      </w:pPr>
      <w:r>
        <w:rPr>
          <w:rStyle w:val="FootnoteReference"/>
        </w:rPr>
        <w:footnoteRef/>
      </w:r>
      <w:r>
        <w:t xml:space="preserve"> Exhibit DAH-7 at 9-10 and Tr. 136:16-21 (Henderson).</w:t>
      </w:r>
    </w:p>
  </w:footnote>
  <w:footnote w:id="61">
    <w:p w:rsidR="00EA71A1" w:rsidRDefault="00EA71A1">
      <w:pPr>
        <w:pStyle w:val="FootnoteText"/>
      </w:pPr>
      <w:r>
        <w:rPr>
          <w:rStyle w:val="FootnoteReference"/>
        </w:rPr>
        <w:footnoteRef/>
      </w:r>
      <w:r>
        <w:t xml:space="preserve"> Exhibit DAH-7 at 52.</w:t>
      </w:r>
    </w:p>
  </w:footnote>
  <w:footnote w:id="62">
    <w:p w:rsidR="00EA71A1" w:rsidRDefault="00EA71A1">
      <w:pPr>
        <w:pStyle w:val="FootnoteText"/>
      </w:pPr>
      <w:r>
        <w:rPr>
          <w:rStyle w:val="FootnoteReference"/>
        </w:rPr>
        <w:footnoteRef/>
      </w:r>
      <w:r>
        <w:t xml:space="preserve"> Exhibit DAH-7 at 60.</w:t>
      </w:r>
    </w:p>
  </w:footnote>
  <w:footnote w:id="63">
    <w:p w:rsidR="00EA71A1" w:rsidRDefault="00EA71A1">
      <w:pPr>
        <w:pStyle w:val="FootnoteText"/>
      </w:pPr>
      <w:r>
        <w:rPr>
          <w:rStyle w:val="FootnoteReference"/>
        </w:rPr>
        <w:footnoteRef/>
      </w:r>
      <w:r>
        <w:t xml:space="preserve"> Exhibit DAH-7 at 13.</w:t>
      </w:r>
    </w:p>
  </w:footnote>
  <w:footnote w:id="64">
    <w:p w:rsidR="00EA71A1" w:rsidRDefault="00EA71A1">
      <w:pPr>
        <w:pStyle w:val="FootnoteText"/>
      </w:pPr>
      <w:r>
        <w:rPr>
          <w:rStyle w:val="FootnoteReference"/>
        </w:rPr>
        <w:footnoteRef/>
      </w:r>
      <w:r>
        <w:t xml:space="preserve"> Exhibit TAD-4T at 8:20-21 and Exhibit TAD-10.</w:t>
      </w:r>
    </w:p>
  </w:footnote>
  <w:footnote w:id="65">
    <w:p w:rsidR="00EA71A1" w:rsidRDefault="00EA71A1">
      <w:pPr>
        <w:pStyle w:val="FootnoteText"/>
      </w:pPr>
      <w:r>
        <w:rPr>
          <w:rStyle w:val="FootnoteReference"/>
        </w:rPr>
        <w:footnoteRef/>
      </w:r>
      <w:r>
        <w:t xml:space="preserve"> Tr. 211:6-22</w:t>
      </w:r>
      <w:r w:rsidRPr="00DA70AC">
        <w:t xml:space="preserve"> (Story).</w:t>
      </w:r>
    </w:p>
  </w:footnote>
  <w:footnote w:id="66">
    <w:p w:rsidR="00EA71A1" w:rsidRDefault="00EA71A1">
      <w:pPr>
        <w:pStyle w:val="FootnoteText"/>
      </w:pPr>
      <w:r>
        <w:rPr>
          <w:rStyle w:val="FootnoteReference"/>
        </w:rPr>
        <w:footnoteRef/>
      </w:r>
      <w:r>
        <w:t xml:space="preserve"> Cast iron:  Exhibit DAH-13 and Tr. 127:24-128:15 (Henderson); Bare steel: Exhibit DAH-10: Table 10 (2003-2009) and Tr. 60:23-61:3 (DeBoer).</w:t>
      </w:r>
    </w:p>
  </w:footnote>
  <w:footnote w:id="67">
    <w:p w:rsidR="00EA71A1" w:rsidRDefault="00EA71A1">
      <w:pPr>
        <w:pStyle w:val="FootnoteText"/>
      </w:pPr>
      <w:r>
        <w:rPr>
          <w:rStyle w:val="FootnoteReference"/>
        </w:rPr>
        <w:footnoteRef/>
      </w:r>
      <w:r>
        <w:t xml:space="preserve"> Tr. 67:18-22 (DeBoer).</w:t>
      </w:r>
    </w:p>
  </w:footnote>
  <w:footnote w:id="68">
    <w:p w:rsidR="00EA71A1" w:rsidRDefault="00EA71A1">
      <w:pPr>
        <w:pStyle w:val="FootnoteText"/>
      </w:pPr>
      <w:r>
        <w:rPr>
          <w:rStyle w:val="FootnoteReference"/>
        </w:rPr>
        <w:footnoteRef/>
      </w:r>
      <w:r>
        <w:t xml:space="preserve"> Tr. 60:10-13 (DeBoer) and Tr. 62:16-18 (DeBoer).</w:t>
      </w:r>
    </w:p>
  </w:footnote>
  <w:footnote w:id="69">
    <w:p w:rsidR="00EA71A1" w:rsidRDefault="00EA71A1">
      <w:pPr>
        <w:pStyle w:val="FootnoteText"/>
      </w:pPr>
      <w:r>
        <w:rPr>
          <w:rStyle w:val="FootnoteReference"/>
        </w:rPr>
        <w:footnoteRef/>
      </w:r>
      <w:r>
        <w:t xml:space="preserve"> Tr. 63:14-22 (DeBoer) and Tr. 65:19-66:10 (DeBoer), Exhibit DAH-5, and Tr. 212:15-213:13(Story).</w:t>
      </w:r>
    </w:p>
  </w:footnote>
  <w:footnote w:id="70">
    <w:p w:rsidR="00EA71A1" w:rsidRDefault="00EA71A1">
      <w:pPr>
        <w:pStyle w:val="FootnoteText"/>
      </w:pPr>
      <w:r>
        <w:rPr>
          <w:rStyle w:val="FootnoteReference"/>
        </w:rPr>
        <w:footnoteRef/>
      </w:r>
      <w:r>
        <w:t xml:space="preserve"> Tr. 212:15-213:10 (Story) and Tr. 235:16-236:3 (Story).</w:t>
      </w:r>
    </w:p>
  </w:footnote>
  <w:footnote w:id="71">
    <w:p w:rsidR="00EA71A1" w:rsidRDefault="00EA71A1">
      <w:pPr>
        <w:pStyle w:val="FootnoteText"/>
      </w:pPr>
      <w:r>
        <w:rPr>
          <w:rStyle w:val="FootnoteReference"/>
        </w:rPr>
        <w:footnoteRef/>
      </w:r>
      <w:r>
        <w:t xml:space="preserve"> Exhibit MV-1T at 9:13-10:4.</w:t>
      </w:r>
    </w:p>
  </w:footnote>
  <w:footnote w:id="72">
    <w:p w:rsidR="00EA71A1" w:rsidRDefault="00EA71A1">
      <w:pPr>
        <w:pStyle w:val="FootnoteText"/>
      </w:pPr>
      <w:r>
        <w:rPr>
          <w:rStyle w:val="FootnoteReference"/>
        </w:rPr>
        <w:footnoteRef/>
      </w:r>
      <w:r>
        <w:t xml:space="preserve"> </w:t>
      </w:r>
      <w:r w:rsidRPr="00A00FA6">
        <w:rPr>
          <w:i/>
        </w:rPr>
        <w:t>Id</w:t>
      </w:r>
      <w:r>
        <w:t>., citing Exhibit SML-1T at 14-15 (Docket UG-101644).</w:t>
      </w:r>
    </w:p>
  </w:footnote>
  <w:footnote w:id="73">
    <w:p w:rsidR="00EA71A1" w:rsidRPr="00477D9B" w:rsidRDefault="00EA71A1" w:rsidP="00477D9B">
      <w:pPr>
        <w:pStyle w:val="BodyTextIndent"/>
        <w:spacing w:line="240" w:lineRule="auto"/>
        <w:ind w:left="0" w:firstLine="0"/>
        <w:rPr>
          <w:sz w:val="20"/>
          <w:szCs w:val="20"/>
        </w:rPr>
      </w:pPr>
      <w:r w:rsidRPr="00477D9B">
        <w:rPr>
          <w:rStyle w:val="FootnoteReference"/>
          <w:sz w:val="20"/>
          <w:szCs w:val="20"/>
        </w:rPr>
        <w:footnoteRef/>
      </w:r>
      <w:r w:rsidRPr="00477D9B">
        <w:rPr>
          <w:sz w:val="20"/>
          <w:szCs w:val="20"/>
        </w:rPr>
        <w:t xml:space="preserve"> </w:t>
      </w:r>
      <w:r w:rsidRPr="00F36924">
        <w:rPr>
          <w:i/>
          <w:sz w:val="20"/>
          <w:szCs w:val="20"/>
        </w:rPr>
        <w:t>WUTC v. Puget Sound Energy, Inc.</w:t>
      </w:r>
      <w:r>
        <w:rPr>
          <w:sz w:val="20"/>
          <w:szCs w:val="20"/>
        </w:rPr>
        <w:t xml:space="preserve">, Dockets UE-090704 and UG-090705, Order 11 at ¶ 23 (April 2, 2010).  See also </w:t>
      </w:r>
      <w:r w:rsidRPr="006D6901">
        <w:rPr>
          <w:i/>
          <w:sz w:val="20"/>
          <w:szCs w:val="20"/>
        </w:rPr>
        <w:t>WUTC v.</w:t>
      </w:r>
      <w:r>
        <w:rPr>
          <w:i/>
          <w:sz w:val="20"/>
          <w:szCs w:val="20"/>
        </w:rPr>
        <w:t xml:space="preserve"> Puget Sound Power &amp; Light Company,</w:t>
      </w:r>
      <w:r>
        <w:rPr>
          <w:sz w:val="20"/>
          <w:szCs w:val="20"/>
        </w:rPr>
        <w:t xml:space="preserve"> Cause No. U-81-41, </w:t>
      </w:r>
      <w:r w:rsidRPr="00C42F67">
        <w:rPr>
          <w:sz w:val="20"/>
          <w:szCs w:val="20"/>
        </w:rPr>
        <w:t>2</w:t>
      </w:r>
      <w:r w:rsidRPr="00C42F67">
        <w:rPr>
          <w:sz w:val="20"/>
          <w:szCs w:val="20"/>
          <w:vertAlign w:val="superscript"/>
        </w:rPr>
        <w:t>nd</w:t>
      </w:r>
      <w:r w:rsidRPr="00C42F67">
        <w:rPr>
          <w:sz w:val="20"/>
          <w:szCs w:val="20"/>
        </w:rPr>
        <w:t xml:space="preserve"> Supp. </w:t>
      </w:r>
      <w:r>
        <w:rPr>
          <w:sz w:val="20"/>
          <w:szCs w:val="20"/>
        </w:rPr>
        <w:t xml:space="preserve"> Order at </w:t>
      </w:r>
      <w:r w:rsidRPr="00C42F67">
        <w:rPr>
          <w:sz w:val="20"/>
          <w:szCs w:val="20"/>
        </w:rPr>
        <w:t xml:space="preserve">20 </w:t>
      </w:r>
      <w:r>
        <w:rPr>
          <w:sz w:val="20"/>
          <w:szCs w:val="20"/>
        </w:rPr>
        <w:t xml:space="preserve">(March 12, </w:t>
      </w:r>
      <w:r w:rsidRPr="00C42F67">
        <w:rPr>
          <w:sz w:val="20"/>
          <w:szCs w:val="20"/>
        </w:rPr>
        <w:t>1982</w:t>
      </w:r>
      <w:r>
        <w:rPr>
          <w:sz w:val="20"/>
          <w:szCs w:val="20"/>
        </w:rPr>
        <w:t xml:space="preserve">) and </w:t>
      </w:r>
      <w:r w:rsidRPr="00F36924">
        <w:rPr>
          <w:i/>
          <w:sz w:val="20"/>
          <w:szCs w:val="20"/>
        </w:rPr>
        <w:t xml:space="preserve"> </w:t>
      </w:r>
      <w:r w:rsidRPr="00477D9B">
        <w:rPr>
          <w:i/>
          <w:sz w:val="20"/>
          <w:szCs w:val="20"/>
        </w:rPr>
        <w:t>Bluefield Water Works and Improvement Co. v. Public Service Commission of West Virginia</w:t>
      </w:r>
      <w:r>
        <w:rPr>
          <w:sz w:val="20"/>
          <w:szCs w:val="20"/>
        </w:rPr>
        <w:t>, 262 U.S. 679, 693 (1923</w:t>
      </w:r>
      <w:r w:rsidRPr="00477D9B">
        <w:rPr>
          <w:sz w:val="20"/>
          <w:szCs w:val="20"/>
        </w:rPr>
        <w:t>)</w:t>
      </w:r>
      <w:r>
        <w:rPr>
          <w:sz w:val="20"/>
          <w:szCs w:val="20"/>
        </w:rPr>
        <w:t xml:space="preserve"> (establishment of a fair rate of return reflects expectation that utility is operated efficiently)</w:t>
      </w:r>
      <w:r w:rsidRPr="00477D9B">
        <w:rPr>
          <w:sz w:val="20"/>
          <w:szCs w:val="20"/>
        </w:rPr>
        <w:t xml:space="preserve">.  </w:t>
      </w:r>
    </w:p>
  </w:footnote>
  <w:footnote w:id="74">
    <w:p w:rsidR="00EA71A1" w:rsidRDefault="00EA71A1" w:rsidP="00CC4FB2">
      <w:pPr>
        <w:pStyle w:val="FootnoteText"/>
      </w:pPr>
      <w:r>
        <w:rPr>
          <w:rStyle w:val="FootnoteReference"/>
        </w:rPr>
        <w:footnoteRef/>
      </w:r>
      <w:r>
        <w:t xml:space="preserve"> Exhibit TAD-4T at 9:9-10 and Exhibit DAH-4T at 3:6-9.</w:t>
      </w:r>
    </w:p>
  </w:footnote>
  <w:footnote w:id="75">
    <w:p w:rsidR="00EA71A1" w:rsidRDefault="00EA71A1">
      <w:pPr>
        <w:pStyle w:val="FootnoteText"/>
      </w:pPr>
      <w:r>
        <w:rPr>
          <w:rStyle w:val="FootnoteReference"/>
        </w:rPr>
        <w:footnoteRef/>
      </w:r>
      <w:r>
        <w:t xml:space="preserve"> Exhibit DAH-1T at 10, Table.</w:t>
      </w:r>
    </w:p>
  </w:footnote>
  <w:footnote w:id="76">
    <w:p w:rsidR="00EA71A1" w:rsidRDefault="00EA71A1">
      <w:pPr>
        <w:pStyle w:val="FootnoteText"/>
      </w:pPr>
      <w:r>
        <w:rPr>
          <w:rStyle w:val="FootnoteReference"/>
        </w:rPr>
        <w:footnoteRef/>
      </w:r>
      <w:r>
        <w:t xml:space="preserve"> Exhibit TAD-4T at 12:15-13:3.</w:t>
      </w:r>
    </w:p>
  </w:footnote>
  <w:footnote w:id="77">
    <w:p w:rsidR="00EA71A1" w:rsidRDefault="00EA71A1">
      <w:pPr>
        <w:pStyle w:val="FootnoteText"/>
      </w:pPr>
      <w:r>
        <w:rPr>
          <w:rStyle w:val="FootnoteReference"/>
        </w:rPr>
        <w:footnoteRef/>
      </w:r>
      <w:r>
        <w:t xml:space="preserve"> Exhibit TAD-1T at 3:2-11 and Exhibit DAH-1T at 14:15-19.</w:t>
      </w:r>
    </w:p>
  </w:footnote>
  <w:footnote w:id="78">
    <w:p w:rsidR="00EA71A1" w:rsidRDefault="00EA71A1">
      <w:pPr>
        <w:pStyle w:val="FootnoteText"/>
      </w:pPr>
      <w:r>
        <w:rPr>
          <w:rStyle w:val="FootnoteReference"/>
        </w:rPr>
        <w:footnoteRef/>
      </w:r>
      <w:r>
        <w:t xml:space="preserve"> Tr. 89:1-3 (DeBoer) and Tr. 261:25-262:22 (Crane).</w:t>
      </w:r>
    </w:p>
  </w:footnote>
  <w:footnote w:id="79">
    <w:p w:rsidR="00EA71A1" w:rsidRDefault="00EA71A1">
      <w:pPr>
        <w:pStyle w:val="FootnoteText"/>
      </w:pPr>
      <w:r>
        <w:rPr>
          <w:rStyle w:val="FootnoteReference"/>
        </w:rPr>
        <w:footnoteRef/>
      </w:r>
      <w:r>
        <w:t xml:space="preserve"> Exhibit TAD-9 at Public Counsel, page 4.</w:t>
      </w:r>
    </w:p>
  </w:footnote>
  <w:footnote w:id="80">
    <w:p w:rsidR="00EA71A1" w:rsidRDefault="00EA71A1" w:rsidP="0020250F">
      <w:pPr>
        <w:pStyle w:val="FootnoteText"/>
      </w:pPr>
      <w:r>
        <w:rPr>
          <w:rStyle w:val="FootnoteReference"/>
        </w:rPr>
        <w:footnoteRef/>
      </w:r>
      <w:r>
        <w:t xml:space="preserve"> Exhibit TAD-9 at Public Counsel, page 3.</w:t>
      </w:r>
    </w:p>
  </w:footnote>
  <w:footnote w:id="81">
    <w:p w:rsidR="00EA71A1" w:rsidRDefault="00EA71A1">
      <w:pPr>
        <w:pStyle w:val="FootnoteText"/>
      </w:pPr>
      <w:r>
        <w:rPr>
          <w:rStyle w:val="FootnoteReference"/>
        </w:rPr>
        <w:footnoteRef/>
      </w:r>
      <w:r>
        <w:t xml:space="preserve"> Exhibit TAD-9 at Public Counsel, page 4.</w:t>
      </w:r>
    </w:p>
  </w:footnote>
  <w:footnote w:id="82">
    <w:p w:rsidR="00EA71A1" w:rsidRDefault="00EA71A1">
      <w:pPr>
        <w:pStyle w:val="FootnoteText"/>
      </w:pPr>
      <w:r>
        <w:rPr>
          <w:rStyle w:val="FootnoteReference"/>
        </w:rPr>
        <w:footnoteRef/>
      </w:r>
      <w:r>
        <w:t xml:space="preserve"> Tr. 107:23-108:5 (DeBoer ), Tr. 137:18-138:10 (Henderson), Tr. 185:6-10 (Henderson), and Tr. 187:25-188:3 (Henderson).</w:t>
      </w:r>
    </w:p>
  </w:footnote>
  <w:footnote w:id="83">
    <w:p w:rsidR="00EA71A1" w:rsidRDefault="00EA71A1" w:rsidP="00CC4FB2">
      <w:pPr>
        <w:pStyle w:val="FootnoteText"/>
      </w:pPr>
      <w:r>
        <w:rPr>
          <w:rStyle w:val="FootnoteReference"/>
        </w:rPr>
        <w:footnoteRef/>
      </w:r>
      <w:r>
        <w:t xml:space="preserve"> RCW 80.28.010(2).</w:t>
      </w:r>
    </w:p>
  </w:footnote>
  <w:footnote w:id="84">
    <w:p w:rsidR="00EA71A1" w:rsidRDefault="00EA71A1">
      <w:pPr>
        <w:pStyle w:val="FootnoteText"/>
      </w:pPr>
      <w:r>
        <w:rPr>
          <w:rStyle w:val="FootnoteReference"/>
        </w:rPr>
        <w:footnoteRef/>
      </w:r>
      <w:r>
        <w:t xml:space="preserve"> Exhibit TAD-4T at 12:8-11.  See also, Exhibit TAD-1T at 8:10-13.</w:t>
      </w:r>
    </w:p>
  </w:footnote>
  <w:footnote w:id="85">
    <w:p w:rsidR="00EA71A1" w:rsidRDefault="00EA71A1">
      <w:pPr>
        <w:pStyle w:val="FootnoteText"/>
      </w:pPr>
      <w:r>
        <w:rPr>
          <w:rStyle w:val="FootnoteReference"/>
        </w:rPr>
        <w:footnoteRef/>
      </w:r>
      <w:r>
        <w:t xml:space="preserve"> Exhibit TAD-5 at 2 and 3.</w:t>
      </w:r>
    </w:p>
  </w:footnote>
  <w:footnote w:id="86">
    <w:p w:rsidR="00EA71A1" w:rsidRDefault="00EA71A1" w:rsidP="00B502E7">
      <w:pPr>
        <w:pStyle w:val="FootnoteText"/>
      </w:pPr>
      <w:r>
        <w:rPr>
          <w:rStyle w:val="FootnoteReference"/>
        </w:rPr>
        <w:footnoteRef/>
      </w:r>
      <w:r>
        <w:t xml:space="preserve"> Tr. 168:11 and 168:23-169:1 (Henderson).</w:t>
      </w:r>
    </w:p>
  </w:footnote>
  <w:footnote w:id="87">
    <w:p w:rsidR="00EA71A1" w:rsidRDefault="00EA71A1" w:rsidP="003366E2">
      <w:pPr>
        <w:pStyle w:val="FootnoteText"/>
      </w:pPr>
      <w:r>
        <w:rPr>
          <w:rStyle w:val="FootnoteReference"/>
        </w:rPr>
        <w:footnoteRef/>
      </w:r>
      <w:r>
        <w:t xml:space="preserve"> Exhibit TAD-5 at 3 and 5-6 and Exhibit TAD-6 at 4; Tr. 166:16-167:4 (Henderson).</w:t>
      </w:r>
    </w:p>
  </w:footnote>
  <w:footnote w:id="88">
    <w:p w:rsidR="00EA71A1" w:rsidRDefault="00EA71A1" w:rsidP="002E01B2">
      <w:pPr>
        <w:pStyle w:val="FootnoteText"/>
      </w:pPr>
      <w:r>
        <w:rPr>
          <w:rStyle w:val="FootnoteReference"/>
        </w:rPr>
        <w:footnoteRef/>
      </w:r>
      <w:r>
        <w:t xml:space="preserve"> </w:t>
      </w:r>
      <w:r w:rsidRPr="00524AF6">
        <w:rPr>
          <w:i/>
        </w:rPr>
        <w:t>People ex rel, Lisa Madigan v. Illinois Commerce Comm’n</w:t>
      </w:r>
      <w:r>
        <w:t>, 2011 WL 4580558 (Ill. App. 1 Dist.).</w:t>
      </w:r>
    </w:p>
  </w:footnote>
  <w:footnote w:id="89">
    <w:p w:rsidR="00EA71A1" w:rsidRPr="00524AF6" w:rsidRDefault="00EA71A1" w:rsidP="002E01B2">
      <w:pPr>
        <w:pStyle w:val="FootnoteText"/>
      </w:pPr>
      <w:r>
        <w:rPr>
          <w:rStyle w:val="FootnoteReference"/>
        </w:rPr>
        <w:footnoteRef/>
      </w:r>
      <w:r>
        <w:t xml:space="preserve"> </w:t>
      </w:r>
      <w:r>
        <w:rPr>
          <w:i/>
        </w:rPr>
        <w:t>Id</w:t>
      </w:r>
      <w:r>
        <w:t>. at 10, ¶ 42.</w:t>
      </w:r>
    </w:p>
  </w:footnote>
  <w:footnote w:id="90">
    <w:p w:rsidR="00EA71A1" w:rsidRDefault="00EA71A1" w:rsidP="002E01B2">
      <w:pPr>
        <w:pStyle w:val="FootnoteText"/>
      </w:pPr>
      <w:r>
        <w:rPr>
          <w:rStyle w:val="FootnoteReference"/>
        </w:rPr>
        <w:footnoteRef/>
      </w:r>
      <w:r>
        <w:t xml:space="preserve"> </w:t>
      </w:r>
      <w:r>
        <w:rPr>
          <w:i/>
        </w:rPr>
        <w:t>Id</w:t>
      </w:r>
      <w:r>
        <w:t>. at 4, ¶ 16.</w:t>
      </w:r>
    </w:p>
  </w:footnote>
  <w:footnote w:id="91">
    <w:p w:rsidR="00EA71A1" w:rsidRDefault="00EA71A1" w:rsidP="002E01B2">
      <w:pPr>
        <w:pStyle w:val="FootnoteText"/>
      </w:pPr>
      <w:r>
        <w:rPr>
          <w:rStyle w:val="FootnoteReference"/>
        </w:rPr>
        <w:footnoteRef/>
      </w:r>
      <w:r>
        <w:t xml:space="preserve"> </w:t>
      </w:r>
      <w:r>
        <w:rPr>
          <w:i/>
        </w:rPr>
        <w:t>Id</w:t>
      </w:r>
      <w:r>
        <w:t>. at 4, ¶ 16.</w:t>
      </w:r>
    </w:p>
  </w:footnote>
  <w:footnote w:id="92">
    <w:p w:rsidR="00EA71A1" w:rsidRDefault="00EA71A1">
      <w:pPr>
        <w:pStyle w:val="FootnoteText"/>
      </w:pPr>
      <w:r>
        <w:rPr>
          <w:rStyle w:val="FootnoteReference"/>
        </w:rPr>
        <w:footnoteRef/>
      </w:r>
      <w:r>
        <w:t xml:space="preserve"> Exhibit TAD-3.</w:t>
      </w:r>
    </w:p>
  </w:footnote>
  <w:footnote w:id="93">
    <w:p w:rsidR="00EA71A1" w:rsidRDefault="00EA71A1" w:rsidP="00255AD2">
      <w:pPr>
        <w:pStyle w:val="FootnoteText"/>
      </w:pPr>
      <w:r>
        <w:rPr>
          <w:rStyle w:val="FootnoteReference"/>
        </w:rPr>
        <w:footnoteRef/>
      </w:r>
      <w:r>
        <w:t xml:space="preserve"> </w:t>
      </w:r>
      <w:r w:rsidRPr="003255DC">
        <w:rPr>
          <w:i/>
        </w:rPr>
        <w:t>In the Matter of the Application of Washington Gas Light Company</w:t>
      </w:r>
      <w:r>
        <w:t xml:space="preserve">, Case No. 9267, Order 84475 at 106-108 (November 14, 2011).  </w:t>
      </w:r>
      <w:r w:rsidRPr="003255DC">
        <w:t>http://webapp.psc.state.md.us/Intranet/Maillog/orders_new.cfm</w:t>
      </w:r>
      <w:r>
        <w:t>.</w:t>
      </w:r>
    </w:p>
  </w:footnote>
  <w:footnote w:id="94">
    <w:p w:rsidR="00EA71A1" w:rsidRDefault="00EA71A1">
      <w:pPr>
        <w:pStyle w:val="FootnoteText"/>
      </w:pPr>
      <w:r>
        <w:rPr>
          <w:rStyle w:val="FootnoteReference"/>
        </w:rPr>
        <w:footnoteRef/>
      </w:r>
      <w:r>
        <w:t xml:space="preserve"> Exhibit TAD-4T at 11:2-5 and Exhibit DAH-4T at 2:17-19 and 8:1-3.</w:t>
      </w:r>
    </w:p>
  </w:footnote>
  <w:footnote w:id="95">
    <w:p w:rsidR="00EA71A1" w:rsidRDefault="00EA71A1">
      <w:pPr>
        <w:pStyle w:val="FootnoteText"/>
      </w:pPr>
      <w:r>
        <w:rPr>
          <w:rStyle w:val="FootnoteReference"/>
        </w:rPr>
        <w:footnoteRef/>
      </w:r>
      <w:r>
        <w:t xml:space="preserve"> Tr. 52:9-15 (DeBoer).</w:t>
      </w:r>
    </w:p>
  </w:footnote>
  <w:footnote w:id="96">
    <w:p w:rsidR="00EA71A1" w:rsidRDefault="00EA71A1">
      <w:pPr>
        <w:pStyle w:val="FootnoteText"/>
      </w:pPr>
      <w:r>
        <w:rPr>
          <w:rStyle w:val="FootnoteReference"/>
        </w:rPr>
        <w:footnoteRef/>
      </w:r>
      <w:r>
        <w:t xml:space="preserve"> Tr. 128:25-130:5 (Henderson).</w:t>
      </w:r>
    </w:p>
  </w:footnote>
  <w:footnote w:id="97">
    <w:p w:rsidR="00EA71A1" w:rsidRDefault="00EA71A1">
      <w:pPr>
        <w:pStyle w:val="FootnoteText"/>
      </w:pPr>
      <w:r>
        <w:rPr>
          <w:rStyle w:val="FootnoteReference"/>
        </w:rPr>
        <w:footnoteRef/>
      </w:r>
      <w:r>
        <w:t xml:space="preserve"> Tr. 52:9-15 (DeBoer) and Tr. 130:6-13 (Henderson)</w:t>
      </w:r>
    </w:p>
  </w:footnote>
  <w:footnote w:id="98">
    <w:p w:rsidR="00EA71A1" w:rsidRDefault="00EA71A1">
      <w:pPr>
        <w:pStyle w:val="FootnoteText"/>
      </w:pPr>
      <w:r>
        <w:rPr>
          <w:rStyle w:val="FootnoteReference"/>
        </w:rPr>
        <w:footnoteRef/>
      </w:r>
      <w:r>
        <w:t xml:space="preserve"> Tr. 198:22-199:1 (Henderson) and Tr. 243:21-24 (Lykken).</w:t>
      </w:r>
    </w:p>
  </w:footnote>
  <w:footnote w:id="99">
    <w:p w:rsidR="00EA71A1" w:rsidRDefault="00EA71A1">
      <w:pPr>
        <w:pStyle w:val="FootnoteText"/>
      </w:pPr>
      <w:r>
        <w:rPr>
          <w:rStyle w:val="FootnoteReference"/>
        </w:rPr>
        <w:footnoteRef/>
      </w:r>
      <w:r>
        <w:t xml:space="preserve"> Tr. 246:1-8 (Lykken), Tr. 53:2-5 (DeBoer), and Tr. 130:6-16 (Henderson).</w:t>
      </w:r>
    </w:p>
  </w:footnote>
  <w:footnote w:id="100">
    <w:p w:rsidR="00EA71A1" w:rsidRDefault="00EA71A1">
      <w:pPr>
        <w:pStyle w:val="FootnoteText"/>
      </w:pPr>
      <w:r>
        <w:rPr>
          <w:rStyle w:val="FootnoteReference"/>
        </w:rPr>
        <w:footnoteRef/>
      </w:r>
      <w:r>
        <w:t xml:space="preserve"> Tr. 246:12-247:2 (Lykken).</w:t>
      </w:r>
    </w:p>
  </w:footnote>
  <w:footnote w:id="101">
    <w:p w:rsidR="00EA71A1" w:rsidRDefault="00EA71A1">
      <w:pPr>
        <w:pStyle w:val="FootnoteText"/>
      </w:pPr>
      <w:r>
        <w:rPr>
          <w:rStyle w:val="FootnoteReference"/>
        </w:rPr>
        <w:footnoteRef/>
      </w:r>
      <w:r>
        <w:t xml:space="preserve"> Tr. 126:16-127:23 (Henderson).</w:t>
      </w:r>
    </w:p>
  </w:footnote>
  <w:footnote w:id="102">
    <w:p w:rsidR="00EA71A1" w:rsidRDefault="00EA71A1">
      <w:pPr>
        <w:pStyle w:val="FootnoteText"/>
      </w:pPr>
      <w:r>
        <w:rPr>
          <w:rStyle w:val="FootnoteReference"/>
        </w:rPr>
        <w:footnoteRef/>
      </w:r>
      <w:r>
        <w:t xml:space="preserve"> Tr. 52:17-53:1 (DeBoer).  The cast iron replacement program was ordered by the Commission on June 19, 1992 in its First Supplemental Order in Docket UG-920487.  The bare steel replacement program was ordered by the Commission on January 31, 2005 in Order No. 02 in Dockets PG-030080 and PG-030128.</w:t>
      </w:r>
    </w:p>
  </w:footnote>
  <w:footnote w:id="103">
    <w:p w:rsidR="00EA71A1" w:rsidRDefault="00EA71A1">
      <w:pPr>
        <w:pStyle w:val="FootnoteText"/>
      </w:pPr>
      <w:r>
        <w:rPr>
          <w:rStyle w:val="FootnoteReference"/>
        </w:rPr>
        <w:footnoteRef/>
      </w:r>
      <w:r>
        <w:t xml:space="preserve"> Tr. 101:4-19 (DeBoer) and Tr. 103:4-17 (DeBoer).</w:t>
      </w:r>
    </w:p>
  </w:footnote>
  <w:footnote w:id="104">
    <w:p w:rsidR="00EA71A1" w:rsidRDefault="00EA71A1">
      <w:pPr>
        <w:pStyle w:val="FootnoteText"/>
      </w:pPr>
      <w:r>
        <w:rPr>
          <w:rStyle w:val="FootnoteReference"/>
        </w:rPr>
        <w:footnoteRef/>
      </w:r>
      <w:r>
        <w:t xml:space="preserve"> Exhibit TAD-4T at 7:20-22 and Tr. 116:9-11713 (DeBoer).</w:t>
      </w:r>
    </w:p>
  </w:footnote>
  <w:footnote w:id="105">
    <w:p w:rsidR="00EA71A1" w:rsidRDefault="00EA71A1">
      <w:pPr>
        <w:pStyle w:val="FootnoteText"/>
      </w:pPr>
      <w:r>
        <w:rPr>
          <w:rStyle w:val="FootnoteReference"/>
        </w:rPr>
        <w:footnoteRef/>
      </w:r>
      <w:r>
        <w:t xml:space="preserve"> Exhibit JHS-3 at 3.</w:t>
      </w:r>
    </w:p>
  </w:footnote>
  <w:footnote w:id="106">
    <w:p w:rsidR="00EA71A1" w:rsidRDefault="00EA71A1">
      <w:pPr>
        <w:pStyle w:val="FootnoteText"/>
      </w:pPr>
      <w:r>
        <w:rPr>
          <w:rStyle w:val="FootnoteReference"/>
        </w:rPr>
        <w:footnoteRef/>
      </w:r>
      <w:r>
        <w:t xml:space="preserve"> Exhibit JHS-3 at 4.</w:t>
      </w:r>
    </w:p>
  </w:footnote>
  <w:footnote w:id="107">
    <w:p w:rsidR="00EA71A1" w:rsidRDefault="00EA71A1" w:rsidP="00EE4806">
      <w:pPr>
        <w:pStyle w:val="FootnoteText"/>
      </w:pPr>
      <w:r>
        <w:rPr>
          <w:rStyle w:val="FootnoteReference"/>
        </w:rPr>
        <w:footnoteRef/>
      </w:r>
      <w:r>
        <w:t xml:space="preserve"> Exhibit TAD-1T at 3:17-20, Exhibit DAH-6, and Exhibit DAH-19.</w:t>
      </w:r>
    </w:p>
  </w:footnote>
  <w:footnote w:id="108">
    <w:p w:rsidR="00EA71A1" w:rsidRDefault="00EA71A1">
      <w:pPr>
        <w:pStyle w:val="FootnoteText"/>
      </w:pPr>
      <w:r>
        <w:rPr>
          <w:rStyle w:val="FootnoteReference"/>
        </w:rPr>
        <w:footnoteRef/>
      </w:r>
      <w:r>
        <w:t xml:space="preserve"> Tr. 62:1-7 (DeBoer) and Tr. 113:23-114:13 (DeBoer).</w:t>
      </w:r>
    </w:p>
  </w:footnote>
  <w:footnote w:id="109">
    <w:p w:rsidR="00EA71A1" w:rsidRDefault="00EA71A1">
      <w:pPr>
        <w:pStyle w:val="FootnoteText"/>
      </w:pPr>
      <w:r>
        <w:rPr>
          <w:rStyle w:val="FootnoteReference"/>
        </w:rPr>
        <w:footnoteRef/>
      </w:r>
      <w:r>
        <w:t xml:space="preserve"> Exhibit JHS-12.</w:t>
      </w:r>
    </w:p>
  </w:footnote>
  <w:footnote w:id="110">
    <w:p w:rsidR="00EA71A1" w:rsidRDefault="00EA71A1">
      <w:pPr>
        <w:pStyle w:val="FootnoteText"/>
      </w:pPr>
      <w:r>
        <w:rPr>
          <w:rStyle w:val="FootnoteReference"/>
        </w:rPr>
        <w:footnoteRef/>
      </w:r>
      <w:r>
        <w:t xml:space="preserve"> Exhibit BE-1 at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9BD"/>
    <w:multiLevelType w:val="hybridMultilevel"/>
    <w:tmpl w:val="4C84C976"/>
    <w:lvl w:ilvl="0" w:tplc="6CD46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F494B"/>
    <w:multiLevelType w:val="hybridMultilevel"/>
    <w:tmpl w:val="06A2E0A0"/>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743A8"/>
    <w:multiLevelType w:val="hybridMultilevel"/>
    <w:tmpl w:val="76620A5C"/>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463B6C"/>
    <w:multiLevelType w:val="hybridMultilevel"/>
    <w:tmpl w:val="D02A78B0"/>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F120BF"/>
    <w:multiLevelType w:val="hybridMultilevel"/>
    <w:tmpl w:val="EFCE3A00"/>
    <w:lvl w:ilvl="0" w:tplc="EA1E1E46">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D86A5F"/>
    <w:multiLevelType w:val="hybridMultilevel"/>
    <w:tmpl w:val="027C8FB4"/>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656F7F"/>
    <w:multiLevelType w:val="hybridMultilevel"/>
    <w:tmpl w:val="496E9798"/>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6E1B16"/>
    <w:multiLevelType w:val="hybridMultilevel"/>
    <w:tmpl w:val="E326DA40"/>
    <w:lvl w:ilvl="0" w:tplc="D3FE2F0C">
      <w:start w:val="1"/>
      <w:numFmt w:val="decimal"/>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A531E0"/>
    <w:multiLevelType w:val="hybridMultilevel"/>
    <w:tmpl w:val="3EBC2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E76A2D"/>
    <w:multiLevelType w:val="hybridMultilevel"/>
    <w:tmpl w:val="0EDC93A4"/>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7838B8"/>
    <w:multiLevelType w:val="hybridMultilevel"/>
    <w:tmpl w:val="79147AFE"/>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407004"/>
    <w:multiLevelType w:val="hybridMultilevel"/>
    <w:tmpl w:val="8862B598"/>
    <w:lvl w:ilvl="0" w:tplc="E812B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503F06"/>
    <w:multiLevelType w:val="hybridMultilevel"/>
    <w:tmpl w:val="1378375C"/>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817EC9"/>
    <w:multiLevelType w:val="hybridMultilevel"/>
    <w:tmpl w:val="00A6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C0090"/>
    <w:multiLevelType w:val="hybridMultilevel"/>
    <w:tmpl w:val="7AFECE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A9161A1"/>
    <w:multiLevelType w:val="hybridMultilevel"/>
    <w:tmpl w:val="30D2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047F46"/>
    <w:multiLevelType w:val="hybridMultilevel"/>
    <w:tmpl w:val="F1FCF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09693E"/>
    <w:multiLevelType w:val="hybridMultilevel"/>
    <w:tmpl w:val="8FC4B84A"/>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611E92"/>
    <w:multiLevelType w:val="hybridMultilevel"/>
    <w:tmpl w:val="1810A4F2"/>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9D0259"/>
    <w:multiLevelType w:val="hybridMultilevel"/>
    <w:tmpl w:val="8B002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87138"/>
    <w:multiLevelType w:val="hybridMultilevel"/>
    <w:tmpl w:val="45C61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013DB"/>
    <w:multiLevelType w:val="hybridMultilevel"/>
    <w:tmpl w:val="03E245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BB48D8"/>
    <w:multiLevelType w:val="hybridMultilevel"/>
    <w:tmpl w:val="2500B350"/>
    <w:lvl w:ilvl="0" w:tplc="F558C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B07233"/>
    <w:multiLevelType w:val="hybridMultilevel"/>
    <w:tmpl w:val="D86C2862"/>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99B7B2A"/>
    <w:multiLevelType w:val="hybridMultilevel"/>
    <w:tmpl w:val="DC183D84"/>
    <w:lvl w:ilvl="0" w:tplc="B242F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1A48A6"/>
    <w:multiLevelType w:val="hybridMultilevel"/>
    <w:tmpl w:val="9CBC5756"/>
    <w:lvl w:ilvl="0" w:tplc="D3FE2F0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9"/>
  </w:num>
  <w:num w:numId="3">
    <w:abstractNumId w:val="22"/>
  </w:num>
  <w:num w:numId="4">
    <w:abstractNumId w:val="20"/>
  </w:num>
  <w:num w:numId="5">
    <w:abstractNumId w:val="15"/>
  </w:num>
  <w:num w:numId="6">
    <w:abstractNumId w:val="6"/>
  </w:num>
  <w:num w:numId="7">
    <w:abstractNumId w:val="23"/>
  </w:num>
  <w:num w:numId="8">
    <w:abstractNumId w:val="25"/>
  </w:num>
  <w:num w:numId="9">
    <w:abstractNumId w:val="14"/>
  </w:num>
  <w:num w:numId="10">
    <w:abstractNumId w:val="12"/>
  </w:num>
  <w:num w:numId="11">
    <w:abstractNumId w:val="0"/>
  </w:num>
  <w:num w:numId="12">
    <w:abstractNumId w:val="17"/>
  </w:num>
  <w:num w:numId="13">
    <w:abstractNumId w:val="16"/>
  </w:num>
  <w:num w:numId="14">
    <w:abstractNumId w:val="8"/>
  </w:num>
  <w:num w:numId="15">
    <w:abstractNumId w:val="7"/>
  </w:num>
  <w:num w:numId="16">
    <w:abstractNumId w:val="18"/>
  </w:num>
  <w:num w:numId="17">
    <w:abstractNumId w:val="1"/>
  </w:num>
  <w:num w:numId="18">
    <w:abstractNumId w:val="24"/>
  </w:num>
  <w:num w:numId="19">
    <w:abstractNumId w:val="2"/>
  </w:num>
  <w:num w:numId="20">
    <w:abstractNumId w:val="19"/>
  </w:num>
  <w:num w:numId="21">
    <w:abstractNumId w:val="5"/>
  </w:num>
  <w:num w:numId="22">
    <w:abstractNumId w:val="11"/>
  </w:num>
  <w:num w:numId="23">
    <w:abstractNumId w:val="13"/>
  </w:num>
  <w:num w:numId="24">
    <w:abstractNumId w:val="3"/>
  </w:num>
  <w:num w:numId="25">
    <w:abstractNumId w:val="10"/>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B8"/>
    <w:rsid w:val="000027D7"/>
    <w:rsid w:val="00021118"/>
    <w:rsid w:val="000233A5"/>
    <w:rsid w:val="00031BA3"/>
    <w:rsid w:val="000432E7"/>
    <w:rsid w:val="000461CD"/>
    <w:rsid w:val="00054BD6"/>
    <w:rsid w:val="00057485"/>
    <w:rsid w:val="00063656"/>
    <w:rsid w:val="00063732"/>
    <w:rsid w:val="00064E0F"/>
    <w:rsid w:val="00072A52"/>
    <w:rsid w:val="00080790"/>
    <w:rsid w:val="00081B0A"/>
    <w:rsid w:val="00082732"/>
    <w:rsid w:val="00087C47"/>
    <w:rsid w:val="000906D1"/>
    <w:rsid w:val="00093B99"/>
    <w:rsid w:val="000A1E6B"/>
    <w:rsid w:val="000A3032"/>
    <w:rsid w:val="000A5EA5"/>
    <w:rsid w:val="000B1FC9"/>
    <w:rsid w:val="000B4D8E"/>
    <w:rsid w:val="000C1586"/>
    <w:rsid w:val="000D0B07"/>
    <w:rsid w:val="000D70DA"/>
    <w:rsid w:val="000E11B1"/>
    <w:rsid w:val="000E19BD"/>
    <w:rsid w:val="000E6FDD"/>
    <w:rsid w:val="000F0ECB"/>
    <w:rsid w:val="000F3C87"/>
    <w:rsid w:val="000F3D22"/>
    <w:rsid w:val="00100B5F"/>
    <w:rsid w:val="00107964"/>
    <w:rsid w:val="00115AAE"/>
    <w:rsid w:val="00115F88"/>
    <w:rsid w:val="001204B6"/>
    <w:rsid w:val="00125823"/>
    <w:rsid w:val="00131A76"/>
    <w:rsid w:val="00132856"/>
    <w:rsid w:val="001369A0"/>
    <w:rsid w:val="00142E80"/>
    <w:rsid w:val="0014457C"/>
    <w:rsid w:val="00144686"/>
    <w:rsid w:val="00146FA5"/>
    <w:rsid w:val="00147BF4"/>
    <w:rsid w:val="00151C75"/>
    <w:rsid w:val="00161F42"/>
    <w:rsid w:val="00170EAE"/>
    <w:rsid w:val="00182575"/>
    <w:rsid w:val="001951D5"/>
    <w:rsid w:val="00197742"/>
    <w:rsid w:val="001A18B2"/>
    <w:rsid w:val="001A1BA3"/>
    <w:rsid w:val="001A2A02"/>
    <w:rsid w:val="001A4C74"/>
    <w:rsid w:val="001B1839"/>
    <w:rsid w:val="001B3899"/>
    <w:rsid w:val="001C6790"/>
    <w:rsid w:val="001E0E29"/>
    <w:rsid w:val="001E15CB"/>
    <w:rsid w:val="001E4A87"/>
    <w:rsid w:val="001E7782"/>
    <w:rsid w:val="001F25FF"/>
    <w:rsid w:val="001F2A4B"/>
    <w:rsid w:val="001F4D86"/>
    <w:rsid w:val="001F7D14"/>
    <w:rsid w:val="00201CA3"/>
    <w:rsid w:val="0020250F"/>
    <w:rsid w:val="00207738"/>
    <w:rsid w:val="00211A97"/>
    <w:rsid w:val="00217F45"/>
    <w:rsid w:val="00223174"/>
    <w:rsid w:val="002260D1"/>
    <w:rsid w:val="00242088"/>
    <w:rsid w:val="00245B57"/>
    <w:rsid w:val="002462E4"/>
    <w:rsid w:val="00247D92"/>
    <w:rsid w:val="0025177D"/>
    <w:rsid w:val="0025272C"/>
    <w:rsid w:val="00255AD2"/>
    <w:rsid w:val="00261C36"/>
    <w:rsid w:val="002700BC"/>
    <w:rsid w:val="00270B84"/>
    <w:rsid w:val="00270BDE"/>
    <w:rsid w:val="002851EC"/>
    <w:rsid w:val="00285BE2"/>
    <w:rsid w:val="00286389"/>
    <w:rsid w:val="00292171"/>
    <w:rsid w:val="002A2809"/>
    <w:rsid w:val="002A2831"/>
    <w:rsid w:val="002A52E7"/>
    <w:rsid w:val="002A5D48"/>
    <w:rsid w:val="002B3B55"/>
    <w:rsid w:val="002B4A21"/>
    <w:rsid w:val="002B58BA"/>
    <w:rsid w:val="002C077C"/>
    <w:rsid w:val="002C0917"/>
    <w:rsid w:val="002C100C"/>
    <w:rsid w:val="002E01B2"/>
    <w:rsid w:val="002E3643"/>
    <w:rsid w:val="002E4184"/>
    <w:rsid w:val="002E473A"/>
    <w:rsid w:val="002F5A98"/>
    <w:rsid w:val="002F6C33"/>
    <w:rsid w:val="00300FB0"/>
    <w:rsid w:val="0030359C"/>
    <w:rsid w:val="00305C42"/>
    <w:rsid w:val="00311870"/>
    <w:rsid w:val="00311C3F"/>
    <w:rsid w:val="00311E2B"/>
    <w:rsid w:val="0031776A"/>
    <w:rsid w:val="00321639"/>
    <w:rsid w:val="0032308F"/>
    <w:rsid w:val="00323354"/>
    <w:rsid w:val="003255DC"/>
    <w:rsid w:val="00326433"/>
    <w:rsid w:val="00335C3D"/>
    <w:rsid w:val="003366E2"/>
    <w:rsid w:val="003417E5"/>
    <w:rsid w:val="003421EE"/>
    <w:rsid w:val="0035123E"/>
    <w:rsid w:val="00367C06"/>
    <w:rsid w:val="003704D1"/>
    <w:rsid w:val="00374B32"/>
    <w:rsid w:val="00392A48"/>
    <w:rsid w:val="003A38B5"/>
    <w:rsid w:val="003B5B3E"/>
    <w:rsid w:val="003C2ADF"/>
    <w:rsid w:val="003D617F"/>
    <w:rsid w:val="003E32A6"/>
    <w:rsid w:val="003F2BC1"/>
    <w:rsid w:val="003F54DB"/>
    <w:rsid w:val="0040044D"/>
    <w:rsid w:val="004074D6"/>
    <w:rsid w:val="00411681"/>
    <w:rsid w:val="00415533"/>
    <w:rsid w:val="00426E4B"/>
    <w:rsid w:val="00427076"/>
    <w:rsid w:val="00427C85"/>
    <w:rsid w:val="004344CC"/>
    <w:rsid w:val="00466422"/>
    <w:rsid w:val="00477D9B"/>
    <w:rsid w:val="004859CA"/>
    <w:rsid w:val="00494B16"/>
    <w:rsid w:val="00495A06"/>
    <w:rsid w:val="004A01C0"/>
    <w:rsid w:val="004A4D78"/>
    <w:rsid w:val="004B23EF"/>
    <w:rsid w:val="004B6C63"/>
    <w:rsid w:val="004C6BF4"/>
    <w:rsid w:val="004D3DB4"/>
    <w:rsid w:val="004E6125"/>
    <w:rsid w:val="004F2103"/>
    <w:rsid w:val="004F3AE3"/>
    <w:rsid w:val="00507A22"/>
    <w:rsid w:val="005111DC"/>
    <w:rsid w:val="00514B70"/>
    <w:rsid w:val="005153FF"/>
    <w:rsid w:val="0051773C"/>
    <w:rsid w:val="00524AF6"/>
    <w:rsid w:val="00536AB9"/>
    <w:rsid w:val="005407FA"/>
    <w:rsid w:val="005424D7"/>
    <w:rsid w:val="00542985"/>
    <w:rsid w:val="005431CD"/>
    <w:rsid w:val="00543F05"/>
    <w:rsid w:val="00544573"/>
    <w:rsid w:val="00555661"/>
    <w:rsid w:val="00557D2B"/>
    <w:rsid w:val="00562921"/>
    <w:rsid w:val="00580F0E"/>
    <w:rsid w:val="00596C91"/>
    <w:rsid w:val="005A6287"/>
    <w:rsid w:val="005A67F1"/>
    <w:rsid w:val="005B21A9"/>
    <w:rsid w:val="005C5FE5"/>
    <w:rsid w:val="005D2F99"/>
    <w:rsid w:val="005E134D"/>
    <w:rsid w:val="005E2B05"/>
    <w:rsid w:val="005E70C2"/>
    <w:rsid w:val="005F2FA4"/>
    <w:rsid w:val="005F42D3"/>
    <w:rsid w:val="005F5915"/>
    <w:rsid w:val="00602F56"/>
    <w:rsid w:val="006069DD"/>
    <w:rsid w:val="006215E5"/>
    <w:rsid w:val="0062468C"/>
    <w:rsid w:val="00624A62"/>
    <w:rsid w:val="00624D53"/>
    <w:rsid w:val="006260F0"/>
    <w:rsid w:val="0063128C"/>
    <w:rsid w:val="006352E1"/>
    <w:rsid w:val="006424C4"/>
    <w:rsid w:val="0064651B"/>
    <w:rsid w:val="00654647"/>
    <w:rsid w:val="00656AB3"/>
    <w:rsid w:val="006733EE"/>
    <w:rsid w:val="00674658"/>
    <w:rsid w:val="0067553A"/>
    <w:rsid w:val="0068524B"/>
    <w:rsid w:val="00691019"/>
    <w:rsid w:val="00694E1C"/>
    <w:rsid w:val="006B2659"/>
    <w:rsid w:val="006B3CB3"/>
    <w:rsid w:val="006B6A33"/>
    <w:rsid w:val="006C134E"/>
    <w:rsid w:val="006C3DC9"/>
    <w:rsid w:val="006D7171"/>
    <w:rsid w:val="006E0FD9"/>
    <w:rsid w:val="006E4DCE"/>
    <w:rsid w:val="006F0154"/>
    <w:rsid w:val="006F05B8"/>
    <w:rsid w:val="006F445C"/>
    <w:rsid w:val="00700F6B"/>
    <w:rsid w:val="00702B72"/>
    <w:rsid w:val="0070388C"/>
    <w:rsid w:val="00707233"/>
    <w:rsid w:val="00714E69"/>
    <w:rsid w:val="0072363C"/>
    <w:rsid w:val="00723BA2"/>
    <w:rsid w:val="007316B9"/>
    <w:rsid w:val="0074750F"/>
    <w:rsid w:val="00750D67"/>
    <w:rsid w:val="0075208F"/>
    <w:rsid w:val="0075613B"/>
    <w:rsid w:val="007562A9"/>
    <w:rsid w:val="00762B0C"/>
    <w:rsid w:val="0077260E"/>
    <w:rsid w:val="007972B2"/>
    <w:rsid w:val="007B5063"/>
    <w:rsid w:val="007C2B4D"/>
    <w:rsid w:val="007D76BD"/>
    <w:rsid w:val="007E5D7D"/>
    <w:rsid w:val="007E7A18"/>
    <w:rsid w:val="00804A5A"/>
    <w:rsid w:val="00810354"/>
    <w:rsid w:val="00813889"/>
    <w:rsid w:val="00815E62"/>
    <w:rsid w:val="0082073E"/>
    <w:rsid w:val="00826419"/>
    <w:rsid w:val="00850FA2"/>
    <w:rsid w:val="00852A16"/>
    <w:rsid w:val="00853736"/>
    <w:rsid w:val="0086435F"/>
    <w:rsid w:val="00874E31"/>
    <w:rsid w:val="008837B5"/>
    <w:rsid w:val="0088396A"/>
    <w:rsid w:val="00884C55"/>
    <w:rsid w:val="00885C52"/>
    <w:rsid w:val="00893029"/>
    <w:rsid w:val="008942FF"/>
    <w:rsid w:val="008A597F"/>
    <w:rsid w:val="008B237B"/>
    <w:rsid w:val="008C3750"/>
    <w:rsid w:val="008C4D44"/>
    <w:rsid w:val="008C69BD"/>
    <w:rsid w:val="008C77C1"/>
    <w:rsid w:val="008D1703"/>
    <w:rsid w:val="008D5105"/>
    <w:rsid w:val="008E0D1B"/>
    <w:rsid w:val="008E403B"/>
    <w:rsid w:val="008E79ED"/>
    <w:rsid w:val="008F77DE"/>
    <w:rsid w:val="009018ED"/>
    <w:rsid w:val="00903069"/>
    <w:rsid w:val="0090447A"/>
    <w:rsid w:val="0090523F"/>
    <w:rsid w:val="009064E8"/>
    <w:rsid w:val="009109FF"/>
    <w:rsid w:val="0091340D"/>
    <w:rsid w:val="0091486E"/>
    <w:rsid w:val="00920484"/>
    <w:rsid w:val="00920B7C"/>
    <w:rsid w:val="0093190D"/>
    <w:rsid w:val="0093242C"/>
    <w:rsid w:val="00936064"/>
    <w:rsid w:val="009529A5"/>
    <w:rsid w:val="0095530A"/>
    <w:rsid w:val="00966B6B"/>
    <w:rsid w:val="00966E1E"/>
    <w:rsid w:val="0097419F"/>
    <w:rsid w:val="009801DC"/>
    <w:rsid w:val="009A2E11"/>
    <w:rsid w:val="009B6995"/>
    <w:rsid w:val="009E4ED1"/>
    <w:rsid w:val="009F05EB"/>
    <w:rsid w:val="00A00FA6"/>
    <w:rsid w:val="00A078E6"/>
    <w:rsid w:val="00A12DC5"/>
    <w:rsid w:val="00A136B8"/>
    <w:rsid w:val="00A17D0D"/>
    <w:rsid w:val="00A25029"/>
    <w:rsid w:val="00A27FB1"/>
    <w:rsid w:val="00A425E9"/>
    <w:rsid w:val="00A4277E"/>
    <w:rsid w:val="00A50F4D"/>
    <w:rsid w:val="00A577A3"/>
    <w:rsid w:val="00A60E10"/>
    <w:rsid w:val="00A616ED"/>
    <w:rsid w:val="00A61C4D"/>
    <w:rsid w:val="00A717B4"/>
    <w:rsid w:val="00A76739"/>
    <w:rsid w:val="00A81AAB"/>
    <w:rsid w:val="00AA13D6"/>
    <w:rsid w:val="00AA35E9"/>
    <w:rsid w:val="00AA7D8A"/>
    <w:rsid w:val="00AB6D0A"/>
    <w:rsid w:val="00AC41D1"/>
    <w:rsid w:val="00AC5964"/>
    <w:rsid w:val="00AD356E"/>
    <w:rsid w:val="00AD3BFF"/>
    <w:rsid w:val="00AE16B0"/>
    <w:rsid w:val="00AE469E"/>
    <w:rsid w:val="00B16630"/>
    <w:rsid w:val="00B205CC"/>
    <w:rsid w:val="00B21370"/>
    <w:rsid w:val="00B22E9B"/>
    <w:rsid w:val="00B50028"/>
    <w:rsid w:val="00B502E7"/>
    <w:rsid w:val="00B50B48"/>
    <w:rsid w:val="00B66259"/>
    <w:rsid w:val="00B66FC4"/>
    <w:rsid w:val="00B75F03"/>
    <w:rsid w:val="00B82468"/>
    <w:rsid w:val="00B86844"/>
    <w:rsid w:val="00BB168D"/>
    <w:rsid w:val="00BC0007"/>
    <w:rsid w:val="00BC1C90"/>
    <w:rsid w:val="00BC5D01"/>
    <w:rsid w:val="00BC7B5E"/>
    <w:rsid w:val="00BD007C"/>
    <w:rsid w:val="00BD2BAD"/>
    <w:rsid w:val="00BD40A7"/>
    <w:rsid w:val="00BD7CB1"/>
    <w:rsid w:val="00BE0701"/>
    <w:rsid w:val="00BE334B"/>
    <w:rsid w:val="00BE628D"/>
    <w:rsid w:val="00BE6A39"/>
    <w:rsid w:val="00BF4386"/>
    <w:rsid w:val="00BF4839"/>
    <w:rsid w:val="00C07D17"/>
    <w:rsid w:val="00C12D61"/>
    <w:rsid w:val="00C1488A"/>
    <w:rsid w:val="00C24AD7"/>
    <w:rsid w:val="00C32ECE"/>
    <w:rsid w:val="00C33260"/>
    <w:rsid w:val="00C37802"/>
    <w:rsid w:val="00C50CD1"/>
    <w:rsid w:val="00C55F6C"/>
    <w:rsid w:val="00C77638"/>
    <w:rsid w:val="00C8049D"/>
    <w:rsid w:val="00C90DF7"/>
    <w:rsid w:val="00C92A3F"/>
    <w:rsid w:val="00CA004E"/>
    <w:rsid w:val="00CA2DC8"/>
    <w:rsid w:val="00CA3601"/>
    <w:rsid w:val="00CB46E3"/>
    <w:rsid w:val="00CB7BBF"/>
    <w:rsid w:val="00CC4FB2"/>
    <w:rsid w:val="00CD0DB0"/>
    <w:rsid w:val="00CD17CE"/>
    <w:rsid w:val="00CE4266"/>
    <w:rsid w:val="00CE74A6"/>
    <w:rsid w:val="00CF66EE"/>
    <w:rsid w:val="00D03216"/>
    <w:rsid w:val="00D05F1A"/>
    <w:rsid w:val="00D0612B"/>
    <w:rsid w:val="00D068DA"/>
    <w:rsid w:val="00D12084"/>
    <w:rsid w:val="00D12885"/>
    <w:rsid w:val="00D14ECF"/>
    <w:rsid w:val="00D17085"/>
    <w:rsid w:val="00D213C6"/>
    <w:rsid w:val="00D23475"/>
    <w:rsid w:val="00D303E4"/>
    <w:rsid w:val="00D31FB7"/>
    <w:rsid w:val="00D33C24"/>
    <w:rsid w:val="00D33F78"/>
    <w:rsid w:val="00D537AE"/>
    <w:rsid w:val="00D54746"/>
    <w:rsid w:val="00D579EB"/>
    <w:rsid w:val="00D632F9"/>
    <w:rsid w:val="00D66003"/>
    <w:rsid w:val="00D803DD"/>
    <w:rsid w:val="00D85F33"/>
    <w:rsid w:val="00D9570B"/>
    <w:rsid w:val="00DA70AC"/>
    <w:rsid w:val="00DA7B4E"/>
    <w:rsid w:val="00DB43C9"/>
    <w:rsid w:val="00DB4F45"/>
    <w:rsid w:val="00DB6241"/>
    <w:rsid w:val="00DB665F"/>
    <w:rsid w:val="00DC1E73"/>
    <w:rsid w:val="00DE5197"/>
    <w:rsid w:val="00DE6B67"/>
    <w:rsid w:val="00DE6E60"/>
    <w:rsid w:val="00E036AB"/>
    <w:rsid w:val="00E10AB6"/>
    <w:rsid w:val="00E11353"/>
    <w:rsid w:val="00E14160"/>
    <w:rsid w:val="00E347C0"/>
    <w:rsid w:val="00E36132"/>
    <w:rsid w:val="00E445D6"/>
    <w:rsid w:val="00E44663"/>
    <w:rsid w:val="00E45891"/>
    <w:rsid w:val="00E46D6E"/>
    <w:rsid w:val="00E534C6"/>
    <w:rsid w:val="00E6652F"/>
    <w:rsid w:val="00E70B48"/>
    <w:rsid w:val="00E7314B"/>
    <w:rsid w:val="00E81AAC"/>
    <w:rsid w:val="00E81E55"/>
    <w:rsid w:val="00E87918"/>
    <w:rsid w:val="00E910F9"/>
    <w:rsid w:val="00E93A2F"/>
    <w:rsid w:val="00EA03EF"/>
    <w:rsid w:val="00EA70D4"/>
    <w:rsid w:val="00EA71A1"/>
    <w:rsid w:val="00EB0F53"/>
    <w:rsid w:val="00EB49EE"/>
    <w:rsid w:val="00EB51C7"/>
    <w:rsid w:val="00EC1DD8"/>
    <w:rsid w:val="00EC443F"/>
    <w:rsid w:val="00EC5FBE"/>
    <w:rsid w:val="00EE0454"/>
    <w:rsid w:val="00EE4806"/>
    <w:rsid w:val="00EF443E"/>
    <w:rsid w:val="00F0509E"/>
    <w:rsid w:val="00F05962"/>
    <w:rsid w:val="00F07DEA"/>
    <w:rsid w:val="00F11FC2"/>
    <w:rsid w:val="00F12D09"/>
    <w:rsid w:val="00F13D95"/>
    <w:rsid w:val="00F25F40"/>
    <w:rsid w:val="00F277AB"/>
    <w:rsid w:val="00F27E7D"/>
    <w:rsid w:val="00F36924"/>
    <w:rsid w:val="00F40C30"/>
    <w:rsid w:val="00F42515"/>
    <w:rsid w:val="00F438A1"/>
    <w:rsid w:val="00F470B1"/>
    <w:rsid w:val="00F543B1"/>
    <w:rsid w:val="00F63613"/>
    <w:rsid w:val="00F83D5D"/>
    <w:rsid w:val="00FA51A9"/>
    <w:rsid w:val="00FA7370"/>
    <w:rsid w:val="00FB25F9"/>
    <w:rsid w:val="00FB70A9"/>
    <w:rsid w:val="00FC134B"/>
    <w:rsid w:val="00FD2586"/>
    <w:rsid w:val="00FD43C2"/>
    <w:rsid w:val="00FD4542"/>
    <w:rsid w:val="00FD6116"/>
    <w:rsid w:val="00FE2B98"/>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2BAD"/>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BD2BA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BD2BAD"/>
    <w:rPr>
      <w:vertAlign w:val="superscript"/>
    </w:rPr>
  </w:style>
  <w:style w:type="paragraph" w:styleId="ListParagraph">
    <w:name w:val="List Paragraph"/>
    <w:basedOn w:val="Normal"/>
    <w:uiPriority w:val="34"/>
    <w:qFormat/>
    <w:rsid w:val="00E81AAC"/>
    <w:pPr>
      <w:ind w:left="720"/>
      <w:contextualSpacing/>
    </w:pPr>
  </w:style>
  <w:style w:type="character" w:styleId="CommentReference">
    <w:name w:val="annotation reference"/>
    <w:basedOn w:val="DefaultParagraphFont"/>
    <w:uiPriority w:val="99"/>
    <w:semiHidden/>
    <w:unhideWhenUsed/>
    <w:rsid w:val="008A597F"/>
    <w:rPr>
      <w:sz w:val="16"/>
      <w:szCs w:val="16"/>
    </w:rPr>
  </w:style>
  <w:style w:type="paragraph" w:styleId="CommentText">
    <w:name w:val="annotation text"/>
    <w:basedOn w:val="Normal"/>
    <w:link w:val="CommentTextChar"/>
    <w:uiPriority w:val="99"/>
    <w:semiHidden/>
    <w:unhideWhenUsed/>
    <w:rsid w:val="008A597F"/>
    <w:pPr>
      <w:spacing w:line="240" w:lineRule="auto"/>
    </w:pPr>
    <w:rPr>
      <w:sz w:val="20"/>
      <w:szCs w:val="20"/>
    </w:rPr>
  </w:style>
  <w:style w:type="character" w:customStyle="1" w:styleId="CommentTextChar">
    <w:name w:val="Comment Text Char"/>
    <w:basedOn w:val="DefaultParagraphFont"/>
    <w:link w:val="CommentText"/>
    <w:uiPriority w:val="99"/>
    <w:semiHidden/>
    <w:rsid w:val="008A597F"/>
    <w:rPr>
      <w:sz w:val="20"/>
      <w:szCs w:val="20"/>
    </w:rPr>
  </w:style>
  <w:style w:type="paragraph" w:styleId="CommentSubject">
    <w:name w:val="annotation subject"/>
    <w:basedOn w:val="CommentText"/>
    <w:next w:val="CommentText"/>
    <w:link w:val="CommentSubjectChar"/>
    <w:uiPriority w:val="99"/>
    <w:semiHidden/>
    <w:unhideWhenUsed/>
    <w:rsid w:val="008A597F"/>
    <w:rPr>
      <w:b/>
      <w:bCs/>
    </w:rPr>
  </w:style>
  <w:style w:type="character" w:customStyle="1" w:styleId="CommentSubjectChar">
    <w:name w:val="Comment Subject Char"/>
    <w:basedOn w:val="CommentTextChar"/>
    <w:link w:val="CommentSubject"/>
    <w:uiPriority w:val="99"/>
    <w:semiHidden/>
    <w:rsid w:val="008A597F"/>
    <w:rPr>
      <w:b/>
      <w:bCs/>
      <w:sz w:val="20"/>
      <w:szCs w:val="20"/>
    </w:rPr>
  </w:style>
  <w:style w:type="paragraph" w:styleId="BalloonText">
    <w:name w:val="Balloon Text"/>
    <w:basedOn w:val="Normal"/>
    <w:link w:val="BalloonTextChar"/>
    <w:uiPriority w:val="99"/>
    <w:semiHidden/>
    <w:unhideWhenUsed/>
    <w:rsid w:val="008A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97F"/>
    <w:rPr>
      <w:rFonts w:ascii="Tahoma" w:hAnsi="Tahoma" w:cs="Tahoma"/>
      <w:sz w:val="16"/>
      <w:szCs w:val="16"/>
    </w:rPr>
  </w:style>
  <w:style w:type="paragraph" w:styleId="BodyTextIndent">
    <w:name w:val="Body Text Indent"/>
    <w:basedOn w:val="Normal"/>
    <w:link w:val="BodyTextIndentChar"/>
    <w:rsid w:val="00CC4FB2"/>
    <w:pPr>
      <w:spacing w:after="0" w:line="48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C4FB2"/>
    <w:rPr>
      <w:rFonts w:ascii="Times New Roman" w:eastAsia="Times New Roman" w:hAnsi="Times New Roman" w:cs="Times New Roman"/>
      <w:sz w:val="24"/>
      <w:szCs w:val="24"/>
    </w:rPr>
  </w:style>
  <w:style w:type="paragraph" w:customStyle="1" w:styleId="CourtName">
    <w:name w:val="CourtName"/>
    <w:basedOn w:val="Normal"/>
    <w:rsid w:val="00BE628D"/>
    <w:pPr>
      <w:spacing w:after="0" w:line="240" w:lineRule="exact"/>
      <w:jc w:val="center"/>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C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BD"/>
  </w:style>
  <w:style w:type="paragraph" w:styleId="Footer">
    <w:name w:val="footer"/>
    <w:basedOn w:val="Normal"/>
    <w:link w:val="FooterChar"/>
    <w:uiPriority w:val="99"/>
    <w:unhideWhenUsed/>
    <w:rsid w:val="008C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BD"/>
  </w:style>
  <w:style w:type="paragraph" w:styleId="BodyTextIndent2">
    <w:name w:val="Body Text Indent 2"/>
    <w:basedOn w:val="Normal"/>
    <w:link w:val="BodyTextIndent2Char"/>
    <w:uiPriority w:val="99"/>
    <w:semiHidden/>
    <w:unhideWhenUsed/>
    <w:rsid w:val="00E534C6"/>
    <w:pPr>
      <w:spacing w:after="120" w:line="480" w:lineRule="auto"/>
      <w:ind w:left="360"/>
    </w:pPr>
  </w:style>
  <w:style w:type="character" w:customStyle="1" w:styleId="BodyTextIndent2Char">
    <w:name w:val="Body Text Indent 2 Char"/>
    <w:basedOn w:val="DefaultParagraphFont"/>
    <w:link w:val="BodyTextIndent2"/>
    <w:uiPriority w:val="99"/>
    <w:semiHidden/>
    <w:rsid w:val="00E534C6"/>
  </w:style>
  <w:style w:type="paragraph" w:styleId="EndnoteText">
    <w:name w:val="endnote text"/>
    <w:basedOn w:val="Normal"/>
    <w:link w:val="EndnoteTextChar"/>
    <w:uiPriority w:val="99"/>
    <w:unhideWhenUsed/>
    <w:rsid w:val="00E445D6"/>
    <w:pPr>
      <w:spacing w:after="0" w:line="240" w:lineRule="auto"/>
    </w:pPr>
    <w:rPr>
      <w:sz w:val="20"/>
      <w:szCs w:val="20"/>
    </w:rPr>
  </w:style>
  <w:style w:type="character" w:customStyle="1" w:styleId="EndnoteTextChar">
    <w:name w:val="Endnote Text Char"/>
    <w:basedOn w:val="DefaultParagraphFont"/>
    <w:link w:val="EndnoteText"/>
    <w:uiPriority w:val="99"/>
    <w:rsid w:val="00E445D6"/>
    <w:rPr>
      <w:sz w:val="20"/>
      <w:szCs w:val="20"/>
    </w:rPr>
  </w:style>
  <w:style w:type="character" w:styleId="Hyperlink">
    <w:name w:val="Hyperlink"/>
    <w:basedOn w:val="DefaultParagraphFont"/>
    <w:uiPriority w:val="99"/>
    <w:unhideWhenUsed/>
    <w:rsid w:val="00E445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2BAD"/>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BD2BA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BD2BAD"/>
    <w:rPr>
      <w:vertAlign w:val="superscript"/>
    </w:rPr>
  </w:style>
  <w:style w:type="paragraph" w:styleId="ListParagraph">
    <w:name w:val="List Paragraph"/>
    <w:basedOn w:val="Normal"/>
    <w:uiPriority w:val="34"/>
    <w:qFormat/>
    <w:rsid w:val="00E81AAC"/>
    <w:pPr>
      <w:ind w:left="720"/>
      <w:contextualSpacing/>
    </w:pPr>
  </w:style>
  <w:style w:type="character" w:styleId="CommentReference">
    <w:name w:val="annotation reference"/>
    <w:basedOn w:val="DefaultParagraphFont"/>
    <w:uiPriority w:val="99"/>
    <w:semiHidden/>
    <w:unhideWhenUsed/>
    <w:rsid w:val="008A597F"/>
    <w:rPr>
      <w:sz w:val="16"/>
      <w:szCs w:val="16"/>
    </w:rPr>
  </w:style>
  <w:style w:type="paragraph" w:styleId="CommentText">
    <w:name w:val="annotation text"/>
    <w:basedOn w:val="Normal"/>
    <w:link w:val="CommentTextChar"/>
    <w:uiPriority w:val="99"/>
    <w:semiHidden/>
    <w:unhideWhenUsed/>
    <w:rsid w:val="008A597F"/>
    <w:pPr>
      <w:spacing w:line="240" w:lineRule="auto"/>
    </w:pPr>
    <w:rPr>
      <w:sz w:val="20"/>
      <w:szCs w:val="20"/>
    </w:rPr>
  </w:style>
  <w:style w:type="character" w:customStyle="1" w:styleId="CommentTextChar">
    <w:name w:val="Comment Text Char"/>
    <w:basedOn w:val="DefaultParagraphFont"/>
    <w:link w:val="CommentText"/>
    <w:uiPriority w:val="99"/>
    <w:semiHidden/>
    <w:rsid w:val="008A597F"/>
    <w:rPr>
      <w:sz w:val="20"/>
      <w:szCs w:val="20"/>
    </w:rPr>
  </w:style>
  <w:style w:type="paragraph" w:styleId="CommentSubject">
    <w:name w:val="annotation subject"/>
    <w:basedOn w:val="CommentText"/>
    <w:next w:val="CommentText"/>
    <w:link w:val="CommentSubjectChar"/>
    <w:uiPriority w:val="99"/>
    <w:semiHidden/>
    <w:unhideWhenUsed/>
    <w:rsid w:val="008A597F"/>
    <w:rPr>
      <w:b/>
      <w:bCs/>
    </w:rPr>
  </w:style>
  <w:style w:type="character" w:customStyle="1" w:styleId="CommentSubjectChar">
    <w:name w:val="Comment Subject Char"/>
    <w:basedOn w:val="CommentTextChar"/>
    <w:link w:val="CommentSubject"/>
    <w:uiPriority w:val="99"/>
    <w:semiHidden/>
    <w:rsid w:val="008A597F"/>
    <w:rPr>
      <w:b/>
      <w:bCs/>
      <w:sz w:val="20"/>
      <w:szCs w:val="20"/>
    </w:rPr>
  </w:style>
  <w:style w:type="paragraph" w:styleId="BalloonText">
    <w:name w:val="Balloon Text"/>
    <w:basedOn w:val="Normal"/>
    <w:link w:val="BalloonTextChar"/>
    <w:uiPriority w:val="99"/>
    <w:semiHidden/>
    <w:unhideWhenUsed/>
    <w:rsid w:val="008A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97F"/>
    <w:rPr>
      <w:rFonts w:ascii="Tahoma" w:hAnsi="Tahoma" w:cs="Tahoma"/>
      <w:sz w:val="16"/>
      <w:szCs w:val="16"/>
    </w:rPr>
  </w:style>
  <w:style w:type="paragraph" w:styleId="BodyTextIndent">
    <w:name w:val="Body Text Indent"/>
    <w:basedOn w:val="Normal"/>
    <w:link w:val="BodyTextIndentChar"/>
    <w:rsid w:val="00CC4FB2"/>
    <w:pPr>
      <w:spacing w:after="0" w:line="48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C4FB2"/>
    <w:rPr>
      <w:rFonts w:ascii="Times New Roman" w:eastAsia="Times New Roman" w:hAnsi="Times New Roman" w:cs="Times New Roman"/>
      <w:sz w:val="24"/>
      <w:szCs w:val="24"/>
    </w:rPr>
  </w:style>
  <w:style w:type="paragraph" w:customStyle="1" w:styleId="CourtName">
    <w:name w:val="CourtName"/>
    <w:basedOn w:val="Normal"/>
    <w:rsid w:val="00BE628D"/>
    <w:pPr>
      <w:spacing w:after="0" w:line="240" w:lineRule="exact"/>
      <w:jc w:val="center"/>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C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BD"/>
  </w:style>
  <w:style w:type="paragraph" w:styleId="Footer">
    <w:name w:val="footer"/>
    <w:basedOn w:val="Normal"/>
    <w:link w:val="FooterChar"/>
    <w:uiPriority w:val="99"/>
    <w:unhideWhenUsed/>
    <w:rsid w:val="008C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BD"/>
  </w:style>
  <w:style w:type="paragraph" w:styleId="BodyTextIndent2">
    <w:name w:val="Body Text Indent 2"/>
    <w:basedOn w:val="Normal"/>
    <w:link w:val="BodyTextIndent2Char"/>
    <w:uiPriority w:val="99"/>
    <w:semiHidden/>
    <w:unhideWhenUsed/>
    <w:rsid w:val="00E534C6"/>
    <w:pPr>
      <w:spacing w:after="120" w:line="480" w:lineRule="auto"/>
      <w:ind w:left="360"/>
    </w:pPr>
  </w:style>
  <w:style w:type="character" w:customStyle="1" w:styleId="BodyTextIndent2Char">
    <w:name w:val="Body Text Indent 2 Char"/>
    <w:basedOn w:val="DefaultParagraphFont"/>
    <w:link w:val="BodyTextIndent2"/>
    <w:uiPriority w:val="99"/>
    <w:semiHidden/>
    <w:rsid w:val="00E534C6"/>
  </w:style>
  <w:style w:type="paragraph" w:styleId="EndnoteText">
    <w:name w:val="endnote text"/>
    <w:basedOn w:val="Normal"/>
    <w:link w:val="EndnoteTextChar"/>
    <w:uiPriority w:val="99"/>
    <w:unhideWhenUsed/>
    <w:rsid w:val="00E445D6"/>
    <w:pPr>
      <w:spacing w:after="0" w:line="240" w:lineRule="auto"/>
    </w:pPr>
    <w:rPr>
      <w:sz w:val="20"/>
      <w:szCs w:val="20"/>
    </w:rPr>
  </w:style>
  <w:style w:type="character" w:customStyle="1" w:styleId="EndnoteTextChar">
    <w:name w:val="Endnote Text Char"/>
    <w:basedOn w:val="DefaultParagraphFont"/>
    <w:link w:val="EndnoteText"/>
    <w:uiPriority w:val="99"/>
    <w:rsid w:val="00E445D6"/>
    <w:rPr>
      <w:sz w:val="20"/>
      <w:szCs w:val="20"/>
    </w:rPr>
  </w:style>
  <w:style w:type="character" w:styleId="Hyperlink">
    <w:name w:val="Hyperlink"/>
    <w:basedOn w:val="DefaultParagraphFont"/>
    <w:uiPriority w:val="99"/>
    <w:unhideWhenUsed/>
    <w:rsid w:val="00E44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ebapp.psc.state.md.us/Intranet/Maillog/orders_new.cf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2011-12-16T08:00:00+00:00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1750DF-BAB0-43F5-B57D-FC9E96A1D8D0}"/>
</file>

<file path=customXml/itemProps2.xml><?xml version="1.0" encoding="utf-8"?>
<ds:datastoreItem xmlns:ds="http://schemas.openxmlformats.org/officeDocument/2006/customXml" ds:itemID="{27033A07-0DA8-4A24-AA63-7B13135E26DA}"/>
</file>

<file path=customXml/itemProps3.xml><?xml version="1.0" encoding="utf-8"?>
<ds:datastoreItem xmlns:ds="http://schemas.openxmlformats.org/officeDocument/2006/customXml" ds:itemID="{0C474427-EEFC-4C36-B6B2-7147CB38A20E}"/>
</file>

<file path=customXml/itemProps4.xml><?xml version="1.0" encoding="utf-8"?>
<ds:datastoreItem xmlns:ds="http://schemas.openxmlformats.org/officeDocument/2006/customXml" ds:itemID="{E562E4A0-7800-49CB-9613-5C02CA36F9E5}"/>
</file>

<file path=customXml/itemProps5.xml><?xml version="1.0" encoding="utf-8"?>
<ds:datastoreItem xmlns:ds="http://schemas.openxmlformats.org/officeDocument/2006/customXml" ds:itemID="{A22E2811-F6E4-43C3-9E48-A568C8BFE645}"/>
</file>

<file path=docProps/app.xml><?xml version="1.0" encoding="utf-8"?>
<Properties xmlns="http://schemas.openxmlformats.org/officeDocument/2006/extended-properties" xmlns:vt="http://schemas.openxmlformats.org/officeDocument/2006/docPropsVTypes">
  <Template>Normal.dotm</Template>
  <TotalTime>38</TotalTime>
  <Pages>32</Pages>
  <Words>7208</Words>
  <Characters>41086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Krista Gross</cp:lastModifiedBy>
  <cp:revision>15</cp:revision>
  <cp:lastPrinted>2011-12-16T18:27:00Z</cp:lastPrinted>
  <dcterms:created xsi:type="dcterms:W3CDTF">2011-12-16T17:09:00Z</dcterms:created>
  <dcterms:modified xsi:type="dcterms:W3CDTF">2011-12-16T21:36:00Z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