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55" w:rsidRPr="00E518D6" w:rsidRDefault="008E6C55" w:rsidP="008E6C55">
      <w:pPr>
        <w:spacing w:line="264" w:lineRule="auto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E518D6">
        <w:rPr>
          <w:b/>
          <w:bCs/>
          <w:sz w:val="25"/>
          <w:szCs w:val="25"/>
        </w:rPr>
        <w:t xml:space="preserve">BEFORE THE WASHINGTON </w:t>
      </w:r>
    </w:p>
    <w:p w:rsidR="008E6C55" w:rsidRPr="00E518D6" w:rsidRDefault="008E6C55" w:rsidP="008E6C55">
      <w:pPr>
        <w:spacing w:line="264" w:lineRule="auto"/>
        <w:jc w:val="center"/>
        <w:rPr>
          <w:b/>
          <w:bCs/>
          <w:sz w:val="25"/>
          <w:szCs w:val="25"/>
        </w:rPr>
      </w:pPr>
      <w:r w:rsidRPr="00E518D6">
        <w:rPr>
          <w:b/>
          <w:bCs/>
          <w:sz w:val="25"/>
          <w:szCs w:val="25"/>
        </w:rPr>
        <w:t>UTILITIES AND TRANSPORTATION COMMISSION</w:t>
      </w:r>
    </w:p>
    <w:p w:rsidR="008E6C55" w:rsidRPr="00E518D6" w:rsidRDefault="008E6C55" w:rsidP="008E6C55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59"/>
        <w:gridCol w:w="300"/>
        <w:gridCol w:w="4197"/>
      </w:tblGrid>
      <w:tr w:rsidR="008E6C55" w:rsidRPr="00E518D6" w:rsidTr="00071FD7">
        <w:tc>
          <w:tcPr>
            <w:tcW w:w="4372" w:type="dxa"/>
          </w:tcPr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WASHINGTON UTILITIES AND TRANSPORTATION COMMISSION,</w:t>
            </w:r>
          </w:p>
          <w:p w:rsidR="008E6C55" w:rsidRPr="00E518D6" w:rsidRDefault="008E6C55" w:rsidP="008E6C55">
            <w:pPr>
              <w:spacing w:line="264" w:lineRule="auto"/>
              <w:ind w:firstLine="720"/>
              <w:rPr>
                <w:sz w:val="25"/>
                <w:szCs w:val="25"/>
              </w:rPr>
            </w:pPr>
          </w:p>
          <w:p w:rsidR="008E6C55" w:rsidRPr="00E518D6" w:rsidRDefault="008E6C55" w:rsidP="008E6C55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ab/>
              <w:t>Complainant,</w:t>
            </w:r>
          </w:p>
          <w:p w:rsidR="008E6C55" w:rsidRPr="00E518D6" w:rsidRDefault="008E6C55" w:rsidP="008E6C55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v.</w:t>
            </w:r>
          </w:p>
          <w:p w:rsidR="008E6C55" w:rsidRPr="00E518D6" w:rsidRDefault="008E6C55" w:rsidP="008E6C55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</w:p>
          <w:p w:rsidR="008E6C55" w:rsidRPr="00E518D6" w:rsidRDefault="008E6C55" w:rsidP="008E6C55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PUGET SOUND ENERGY, INC.,</w:t>
            </w:r>
          </w:p>
          <w:p w:rsidR="008E6C55" w:rsidRPr="00E518D6" w:rsidRDefault="008E6C55" w:rsidP="008E6C55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</w:p>
          <w:p w:rsidR="008E6C55" w:rsidRPr="00E518D6" w:rsidRDefault="008E6C55" w:rsidP="008E6C55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ab/>
              <w:t>Respondent.</w:t>
            </w:r>
          </w:p>
          <w:p w:rsidR="008E6C55" w:rsidRPr="00E518D6" w:rsidRDefault="008E6C55" w:rsidP="008E6C55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236" w:type="dxa"/>
          </w:tcPr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DOCKETS UE-111048 and</w:t>
            </w:r>
          </w:p>
          <w:p w:rsidR="008E6C55" w:rsidRPr="00E518D6" w:rsidRDefault="008E6C55" w:rsidP="008E6C55">
            <w:pPr>
              <w:spacing w:line="264" w:lineRule="auto"/>
              <w:rPr>
                <w:i/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UG-111049 (</w:t>
            </w:r>
            <w:r w:rsidRPr="00E518D6">
              <w:rPr>
                <w:i/>
                <w:sz w:val="25"/>
                <w:szCs w:val="25"/>
              </w:rPr>
              <w:t>consolidated)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 w:rsidRPr="00E518D6">
              <w:rPr>
                <w:sz w:val="25"/>
                <w:szCs w:val="25"/>
              </w:rPr>
              <w:t>ORDER 0</w:t>
            </w:r>
            <w:r>
              <w:rPr>
                <w:sz w:val="25"/>
                <w:szCs w:val="25"/>
              </w:rPr>
              <w:t>9</w:t>
            </w:r>
          </w:p>
          <w:p w:rsidR="008E6C55" w:rsidRDefault="008E6C55" w:rsidP="008E6C55">
            <w:pPr>
              <w:spacing w:line="264" w:lineRule="auto"/>
              <w:rPr>
                <w:sz w:val="25"/>
                <w:szCs w:val="25"/>
              </w:rPr>
            </w:pP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ORDER CORRECTING ORDER 08</w:t>
            </w:r>
          </w:p>
          <w:p w:rsidR="008E6C55" w:rsidRPr="00E518D6" w:rsidRDefault="008E6C55" w:rsidP="008E6C55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B068D9" w:rsidRDefault="00B068D9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068D9" w:rsidRDefault="00B068D9" w:rsidP="00DA43CB">
      <w:pPr>
        <w:pStyle w:val="NoSpacing"/>
        <w:numPr>
          <w:ilvl w:val="0"/>
          <w:numId w:val="1"/>
        </w:numPr>
        <w:spacing w:line="264" w:lineRule="auto"/>
        <w:ind w:left="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May 7, 2012, the Washington Utilities and Transportation Commission </w:t>
      </w:r>
      <w:r w:rsidR="008E6C55">
        <w:rPr>
          <w:rFonts w:ascii="Times New Roman" w:hAnsi="Times New Roman" w:cs="Times New Roman"/>
          <w:sz w:val="25"/>
          <w:szCs w:val="25"/>
        </w:rPr>
        <w:t xml:space="preserve">(Commission) </w:t>
      </w:r>
      <w:r>
        <w:rPr>
          <w:rFonts w:ascii="Times New Roman" w:hAnsi="Times New Roman" w:cs="Times New Roman"/>
          <w:sz w:val="25"/>
          <w:szCs w:val="25"/>
        </w:rPr>
        <w:t xml:space="preserve">entered Order 08 – Rejecting Tariff Sheets; Authorizing and Requiring Compliance Filing in the above matter. </w:t>
      </w:r>
    </w:p>
    <w:p w:rsidR="00B068D9" w:rsidRDefault="00B068D9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068D9" w:rsidRDefault="008E6C55" w:rsidP="00DA43CB">
      <w:pPr>
        <w:pStyle w:val="NoSpacing"/>
        <w:numPr>
          <w:ilvl w:val="0"/>
          <w:numId w:val="1"/>
        </w:numPr>
        <w:spacing w:line="264" w:lineRule="auto"/>
        <w:ind w:left="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May 14, 2012, Northwest Industrial Gas Users (NWIGU) filed with the Commission a Motion for Clarification of Order 08.  NWIGU requests the Commission correct an obvious and ministerial error in </w:t>
      </w:r>
      <w:r w:rsidR="00D306EB">
        <w:rPr>
          <w:rFonts w:ascii="Times New Roman" w:hAnsi="Times New Roman" w:cs="Times New Roman"/>
          <w:sz w:val="25"/>
          <w:szCs w:val="25"/>
        </w:rPr>
        <w:t xml:space="preserve">Paragraph 346 of </w:t>
      </w:r>
      <w:r>
        <w:rPr>
          <w:rFonts w:ascii="Times New Roman" w:hAnsi="Times New Roman" w:cs="Times New Roman"/>
          <w:sz w:val="25"/>
          <w:szCs w:val="25"/>
        </w:rPr>
        <w:t>Order 08</w:t>
      </w:r>
      <w:r w:rsidR="00D306EB">
        <w:rPr>
          <w:rFonts w:ascii="Times New Roman" w:hAnsi="Times New Roman" w:cs="Times New Roman"/>
          <w:sz w:val="25"/>
          <w:szCs w:val="25"/>
        </w:rPr>
        <w:t xml:space="preserve"> which </w:t>
      </w:r>
      <w:r w:rsidR="00E952EC">
        <w:rPr>
          <w:rFonts w:ascii="Times New Roman" w:hAnsi="Times New Roman" w:cs="Times New Roman"/>
          <w:sz w:val="25"/>
          <w:szCs w:val="25"/>
        </w:rPr>
        <w:t>incorrectly identifie</w:t>
      </w:r>
      <w:r w:rsidR="00D306EB">
        <w:rPr>
          <w:rFonts w:ascii="Times New Roman" w:hAnsi="Times New Roman" w:cs="Times New Roman"/>
          <w:sz w:val="25"/>
          <w:szCs w:val="25"/>
        </w:rPr>
        <w:t>s</w:t>
      </w:r>
      <w:r w:rsidR="00E952EC">
        <w:rPr>
          <w:rFonts w:ascii="Times New Roman" w:hAnsi="Times New Roman" w:cs="Times New Roman"/>
          <w:sz w:val="25"/>
          <w:szCs w:val="25"/>
        </w:rPr>
        <w:t xml:space="preserve"> ICNU instead of NWIGU as one of the “Settling Parties-Gas.”</w:t>
      </w:r>
    </w:p>
    <w:p w:rsidR="00E952EC" w:rsidRDefault="00E952EC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A43CB" w:rsidRPr="00DA43CB" w:rsidRDefault="00DA43CB" w:rsidP="00DA43C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A43CB">
        <w:rPr>
          <w:rFonts w:ascii="Times New Roman" w:hAnsi="Times New Roman" w:cs="Times New Roman"/>
          <w:b/>
          <w:sz w:val="25"/>
          <w:szCs w:val="25"/>
        </w:rPr>
        <w:t>ORDER</w:t>
      </w:r>
    </w:p>
    <w:p w:rsidR="00DA43CB" w:rsidRDefault="00DA43C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A43CB" w:rsidRDefault="00E952EC" w:rsidP="00DA43CB">
      <w:pPr>
        <w:pStyle w:val="NoSpacing"/>
        <w:numPr>
          <w:ilvl w:val="0"/>
          <w:numId w:val="1"/>
        </w:numPr>
        <w:spacing w:line="264" w:lineRule="auto"/>
        <w:ind w:left="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</w:t>
      </w:r>
      <w:r w:rsidR="00DA43CB">
        <w:rPr>
          <w:rFonts w:ascii="Times New Roman" w:hAnsi="Times New Roman" w:cs="Times New Roman"/>
          <w:sz w:val="25"/>
          <w:szCs w:val="25"/>
        </w:rPr>
        <w:t xml:space="preserve">grants the motion and </w:t>
      </w:r>
      <w:r>
        <w:rPr>
          <w:rFonts w:ascii="Times New Roman" w:hAnsi="Times New Roman" w:cs="Times New Roman"/>
          <w:sz w:val="25"/>
          <w:szCs w:val="25"/>
        </w:rPr>
        <w:t>corrects</w:t>
      </w:r>
      <w:r w:rsidR="00DA43CB">
        <w:rPr>
          <w:rFonts w:ascii="Times New Roman" w:hAnsi="Times New Roman" w:cs="Times New Roman"/>
          <w:sz w:val="25"/>
          <w:szCs w:val="25"/>
        </w:rPr>
        <w:t xml:space="preserve"> the first sentence of Paragraph 346 in Order 08 to read as follows:</w:t>
      </w:r>
    </w:p>
    <w:p w:rsidR="00DA43CB" w:rsidRDefault="00DA43C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E952EC" w:rsidRDefault="00DA43CB" w:rsidP="00DA43CB">
      <w:pPr>
        <w:pStyle w:val="NoSpacing"/>
        <w:spacing w:line="264" w:lineRule="auto"/>
        <w:ind w:left="3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“A</w:t>
      </w:r>
      <w:r w:rsidRPr="00DA43CB">
        <w:rPr>
          <w:rFonts w:ascii="Times New Roman" w:hAnsi="Times New Roman" w:cs="Times New Roman"/>
          <w:sz w:val="25"/>
          <w:szCs w:val="25"/>
        </w:rPr>
        <w:t xml:space="preserve">s in the case of the corresponding electric settlement, PSE, Staff, Public Counsel, </w:t>
      </w:r>
      <w:r>
        <w:rPr>
          <w:rFonts w:ascii="Times New Roman" w:hAnsi="Times New Roman" w:cs="Times New Roman"/>
          <w:sz w:val="25"/>
          <w:szCs w:val="25"/>
        </w:rPr>
        <w:t>NWIGU</w:t>
      </w:r>
      <w:r w:rsidRPr="00DA43CB">
        <w:rPr>
          <w:rFonts w:ascii="Times New Roman" w:hAnsi="Times New Roman" w:cs="Times New Roman"/>
          <w:sz w:val="25"/>
          <w:szCs w:val="25"/>
        </w:rPr>
        <w:t>, and Nucor (Settling Parties-Gas) filed their Multiparty Settlement Re: Natural Gas Rate Spread and Natural Gas Rate Design on January 17, 2012.</w:t>
      </w:r>
      <w:r>
        <w:rPr>
          <w:rFonts w:ascii="Times New Roman" w:hAnsi="Times New Roman" w:cs="Times New Roman"/>
          <w:sz w:val="25"/>
          <w:szCs w:val="25"/>
        </w:rPr>
        <w:t>”</w:t>
      </w:r>
    </w:p>
    <w:p w:rsidR="00DA43CB" w:rsidRDefault="00DA43C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A43CB" w:rsidRDefault="00DA43C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DATED at Olympia, Washington and effective May </w:t>
      </w:r>
      <w:r w:rsidR="00D306EB">
        <w:rPr>
          <w:rFonts w:ascii="Times New Roman" w:hAnsi="Times New Roman" w:cs="Times New Roman"/>
          <w:sz w:val="25"/>
          <w:szCs w:val="25"/>
        </w:rPr>
        <w:t>22,</w:t>
      </w:r>
      <w:r>
        <w:rPr>
          <w:rFonts w:ascii="Times New Roman" w:hAnsi="Times New Roman" w:cs="Times New Roman"/>
          <w:sz w:val="25"/>
          <w:szCs w:val="25"/>
        </w:rPr>
        <w:t xml:space="preserve"> 2012.</w:t>
      </w:r>
    </w:p>
    <w:p w:rsidR="00DA43CB" w:rsidRDefault="00DA43C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A43CB" w:rsidRDefault="00DA43CB" w:rsidP="00D306E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WASHINGTON UTILITIES AND TRANSPORTATION COMMISSION</w:t>
      </w:r>
    </w:p>
    <w:p w:rsidR="00DA43CB" w:rsidRDefault="00DA43C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306EB" w:rsidRDefault="00D306E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306EB" w:rsidRDefault="00D306E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DENNIS J. MOSS</w:t>
      </w:r>
    </w:p>
    <w:p w:rsidR="00E952EC" w:rsidRPr="00B068D9" w:rsidRDefault="00D306EB" w:rsidP="008E6C5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Administrative Law Judge</w:t>
      </w:r>
    </w:p>
    <w:sectPr w:rsidR="00E952EC" w:rsidRPr="00B068D9" w:rsidSect="00DA43CB">
      <w:headerReference w:type="default" r:id="rId8"/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41" w:rsidRDefault="009E0641" w:rsidP="009E0641">
      <w:r>
        <w:separator/>
      </w:r>
    </w:p>
  </w:endnote>
  <w:endnote w:type="continuationSeparator" w:id="0">
    <w:p w:rsidR="009E0641" w:rsidRDefault="009E0641" w:rsidP="009E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41" w:rsidRDefault="009E0641" w:rsidP="009E0641">
      <w:r>
        <w:separator/>
      </w:r>
    </w:p>
  </w:footnote>
  <w:footnote w:type="continuationSeparator" w:id="0">
    <w:p w:rsidR="009E0641" w:rsidRDefault="009E0641" w:rsidP="009E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41" w:rsidRPr="009E0641" w:rsidRDefault="009E0641" w:rsidP="009E0641">
    <w:pPr>
      <w:pStyle w:val="Header"/>
      <w:tabs>
        <w:tab w:val="clear" w:pos="4680"/>
        <w:tab w:val="clear" w:pos="9360"/>
        <w:tab w:val="right" w:pos="8460"/>
      </w:tabs>
      <w:rPr>
        <w:b/>
        <w:sz w:val="20"/>
        <w:szCs w:val="20"/>
      </w:rPr>
    </w:pPr>
    <w:r>
      <w:tab/>
    </w:r>
    <w:r w:rsidRPr="009E0641">
      <w:rPr>
        <w:b/>
        <w:sz w:val="20"/>
        <w:szCs w:val="20"/>
      </w:rPr>
      <w:t>[Service Date May 22, 2012]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C242E"/>
    <w:multiLevelType w:val="hybridMultilevel"/>
    <w:tmpl w:val="7382AAAA"/>
    <w:lvl w:ilvl="0" w:tplc="400EAB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pacing w:val="6"/>
        <w:sz w:val="20"/>
        <w:szCs w:val="25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D9"/>
    <w:rsid w:val="000936C8"/>
    <w:rsid w:val="000E640C"/>
    <w:rsid w:val="001C5AB1"/>
    <w:rsid w:val="001E1D7A"/>
    <w:rsid w:val="002C039A"/>
    <w:rsid w:val="003B668A"/>
    <w:rsid w:val="00552600"/>
    <w:rsid w:val="005A6C74"/>
    <w:rsid w:val="00672F7B"/>
    <w:rsid w:val="006A41EE"/>
    <w:rsid w:val="006A59C0"/>
    <w:rsid w:val="008E6C55"/>
    <w:rsid w:val="009C3774"/>
    <w:rsid w:val="009E0641"/>
    <w:rsid w:val="00A84C2A"/>
    <w:rsid w:val="00AD3312"/>
    <w:rsid w:val="00AE273E"/>
    <w:rsid w:val="00B068D9"/>
    <w:rsid w:val="00B13041"/>
    <w:rsid w:val="00D306EB"/>
    <w:rsid w:val="00DA1B86"/>
    <w:rsid w:val="00DA43CB"/>
    <w:rsid w:val="00DD2A47"/>
    <w:rsid w:val="00E952EC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55"/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068D9"/>
  </w:style>
  <w:style w:type="paragraph" w:styleId="Header">
    <w:name w:val="header"/>
    <w:basedOn w:val="Normal"/>
    <w:link w:val="HeaderChar"/>
    <w:uiPriority w:val="99"/>
    <w:unhideWhenUsed/>
    <w:rsid w:val="009E0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64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E0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641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55"/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068D9"/>
  </w:style>
  <w:style w:type="paragraph" w:styleId="Header">
    <w:name w:val="header"/>
    <w:basedOn w:val="Normal"/>
    <w:link w:val="HeaderChar"/>
    <w:uiPriority w:val="99"/>
    <w:unhideWhenUsed/>
    <w:rsid w:val="009E0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64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E0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641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2012-05-22T07:00:00+00:00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C970863-6970-4E68-827B-DEC27E558A21}"/>
</file>

<file path=customXml/itemProps2.xml><?xml version="1.0" encoding="utf-8"?>
<ds:datastoreItem xmlns:ds="http://schemas.openxmlformats.org/officeDocument/2006/customXml" ds:itemID="{EDD74561-ACB7-4AB4-8DD5-EE6451912627}"/>
</file>

<file path=customXml/itemProps3.xml><?xml version="1.0" encoding="utf-8"?>
<ds:datastoreItem xmlns:ds="http://schemas.openxmlformats.org/officeDocument/2006/customXml" ds:itemID="{44E80B1A-9182-4A01-B2FA-73A8515DA822}"/>
</file>

<file path=customXml/itemProps4.xml><?xml version="1.0" encoding="utf-8"?>
<ds:datastoreItem xmlns:ds="http://schemas.openxmlformats.org/officeDocument/2006/customXml" ds:itemID="{EA64AE44-344E-4DB3-BB1E-36C21A1C2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2012-05-22T18:52:00Z</dcterms:created>
  <dcterms:modified xsi:type="dcterms:W3CDTF">2012-05-22T18:52:00Z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