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4D6200">
        <w:t>4</w:t>
      </w:r>
      <w:r w:rsidRPr="00BA18B1">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t xml:space="preserve">proposed </w:t>
      </w:r>
      <w:r w:rsidR="00AD3589">
        <w:rPr>
          <w:rStyle w:val="LineNumber"/>
        </w:rPr>
        <w:t>R</w:t>
      </w:r>
      <w:r w:rsidR="00A353B0">
        <w:rPr>
          <w:rStyle w:val="LineNumber"/>
        </w:rPr>
        <w:t xml:space="preserve">etail </w:t>
      </w:r>
      <w:r w:rsidR="00AD3589">
        <w:rPr>
          <w:rStyle w:val="LineNumber"/>
        </w:rPr>
        <w:lastRenderedPageBreak/>
        <w:t>R</w:t>
      </w:r>
      <w:r w:rsidR="00A353B0">
        <w:rPr>
          <w:rStyle w:val="LineNumber"/>
        </w:rPr>
        <w:t xml:space="preserve">evenue </w:t>
      </w:r>
      <w:r w:rsidR="00AD3589">
        <w:rPr>
          <w:rStyle w:val="LineNumber"/>
        </w:rPr>
        <w:t>C</w:t>
      </w:r>
      <w:r w:rsidR="00A353B0">
        <w:rPr>
          <w:rStyle w:val="LineNumber"/>
        </w:rPr>
        <w:t>redit rate to be used in the Energy Recovery Mechanism</w:t>
      </w:r>
      <w:r w:rsidR="00877BFE">
        <w:rPr>
          <w:rStyle w:val="LineNumber"/>
        </w:rPr>
        <w:t xml:space="preserve"> (ERM)</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2E4107">
        <w:rPr>
          <w:rStyle w:val="LineNumber"/>
        </w:rPr>
        <w:t>2</w:t>
      </w:r>
    </w:p>
    <w:p w:rsidR="009B4C8F" w:rsidRP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F4307F">
        <w:rPr>
          <w:rStyle w:val="LineNumber"/>
        </w:rPr>
        <w:t>8</w:t>
      </w:r>
    </w:p>
    <w:p w:rsidR="009B4C8F" w:rsidRDefault="00A353B0" w:rsidP="0005293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EF6834">
        <w:rPr>
          <w:rStyle w:val="LineNumber"/>
        </w:rPr>
        <w:t>9</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w:t>
      </w:r>
      <w:r w:rsidR="004E6B01">
        <w:rPr>
          <w:rStyle w:val="LineNumber"/>
        </w:rPr>
        <w:t xml:space="preserve"> No.</w:t>
      </w:r>
      <w:r>
        <w:rPr>
          <w:rStyle w:val="LineNumber"/>
        </w:rPr>
        <w:t xml:space="preserve"> </w:t>
      </w:r>
      <w:r w:rsidR="004D6200">
        <w:rPr>
          <w:rStyle w:val="LineNumber"/>
        </w:rPr>
        <w:t>1</w:t>
      </w:r>
      <w:r>
        <w:rPr>
          <w:rStyle w:val="LineNumber"/>
        </w:rPr>
        <w:t xml:space="preserve"> Base Case Results</w:t>
      </w:r>
      <w:r w:rsidR="009B4C8F" w:rsidRPr="00BA18B1">
        <w:rPr>
          <w:rStyle w:val="LineNumber"/>
        </w:rPr>
        <w:tab/>
      </w:r>
      <w:r w:rsidR="00224D77">
        <w:rPr>
          <w:rStyle w:val="LineNumber"/>
        </w:rPr>
        <w:t>1</w:t>
      </w:r>
      <w:r w:rsidR="00F4307F">
        <w:rPr>
          <w:rStyle w:val="LineNumber"/>
        </w:rPr>
        <w:t>6</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w:t>
      </w:r>
      <w:r w:rsidR="00D75064">
        <w:rPr>
          <w:rStyle w:val="LineNumber"/>
        </w:rPr>
        <w:t>shows the calculation of</w:t>
      </w:r>
      <w:r w:rsidR="00736637">
        <w:rPr>
          <w:rStyle w:val="LineNumber"/>
        </w:rPr>
        <w:t xml:space="preserve"> </w:t>
      </w:r>
      <w:r w:rsidR="0050645E">
        <w:rPr>
          <w:rStyle w:val="LineNumber"/>
        </w:rPr>
        <w:t xml:space="preserve">the </w:t>
      </w:r>
      <w:r>
        <w:rPr>
          <w:rStyle w:val="LineNumber"/>
        </w:rPr>
        <w:t xml:space="preserve">proposed </w:t>
      </w:r>
      <w:r w:rsidR="00AD3589">
        <w:rPr>
          <w:rStyle w:val="LineNumber"/>
        </w:rPr>
        <w:t>R</w:t>
      </w:r>
      <w:r>
        <w:rPr>
          <w:rStyle w:val="LineNumber"/>
        </w:rPr>
        <w:t xml:space="preserve">etail </w:t>
      </w:r>
      <w:r w:rsidR="00AD3589">
        <w:rPr>
          <w:rStyle w:val="LineNumber"/>
        </w:rPr>
        <w:t>R</w:t>
      </w:r>
      <w:r>
        <w:rPr>
          <w:rStyle w:val="LineNumber"/>
        </w:rPr>
        <w:t xml:space="preserve">evenue </w:t>
      </w:r>
      <w:r w:rsidR="00AD3589">
        <w:rPr>
          <w:rStyle w:val="LineNumber"/>
        </w:rPr>
        <w:t>C</w:t>
      </w:r>
      <w:r>
        <w:rPr>
          <w:rStyle w:val="LineNumber"/>
        </w:rPr>
        <w:t>redit rate.  Exhibit No.__</w:t>
      </w:r>
      <w:r w:rsidR="0058253D">
        <w:rPr>
          <w:rStyle w:val="LineNumber"/>
        </w:rPr>
        <w:t xml:space="preserve"> </w:t>
      </w:r>
      <w:r>
        <w:rPr>
          <w:rStyle w:val="LineNumber"/>
        </w:rPr>
        <w:t>(TLK-3)</w:t>
      </w:r>
      <w:r w:rsidR="00D75064">
        <w:rPr>
          <w:rStyle w:val="LineNumber"/>
        </w:rPr>
        <w:t xml:space="preserve"> 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(TLK-4)</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75064" w:rsidRDefault="00D75064" w:rsidP="00DE4DD1">
      <w:pPr>
        <w:tabs>
          <w:tab w:val="left" w:pos="1440"/>
          <w:tab w:val="right" w:pos="8730"/>
        </w:tabs>
        <w:spacing w:line="480" w:lineRule="auto"/>
        <w:ind w:firstLine="720"/>
        <w:jc w:val="both"/>
        <w:rPr>
          <w:rStyle w:val="LineNumber"/>
        </w:rPr>
      </w:pPr>
    </w:p>
    <w:p w:rsidR="00D75064" w:rsidRDefault="0045522A" w:rsidP="00D75064">
      <w:pPr>
        <w:pStyle w:val="Heading5"/>
        <w:rPr>
          <w:rStyle w:val="PageNumber"/>
          <w:u w:val="single"/>
        </w:rPr>
      </w:pPr>
      <w:r w:rsidRPr="00BA18B1">
        <w:rPr>
          <w:rStyle w:val="PageNumber"/>
          <w:u w:val="single"/>
        </w:rPr>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D75064" w:rsidRDefault="009B4C8F" w:rsidP="00D75064">
      <w:pPr>
        <w:pStyle w:val="Heading5"/>
        <w:jc w:val="left"/>
        <w:rPr>
          <w:rStyle w:val="LineNumber"/>
          <w:u w:val="single"/>
        </w:rPr>
      </w:pPr>
      <w:r w:rsidRPr="00BA18B1">
        <w:rPr>
          <w:rStyle w:val="LineNumber"/>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CC2CB8">
        <w:rPr>
          <w:rStyle w:val="LineNumber"/>
          <w:b/>
          <w:bCs/>
        </w:rPr>
        <w:t>s</w:t>
      </w:r>
      <w:r w:rsidR="00E12248">
        <w:rPr>
          <w:rStyle w:val="LineNumber"/>
          <w:b/>
          <w:bCs/>
        </w:rPr>
        <w:t xml:space="preserve"> included </w:t>
      </w:r>
      <w:proofErr w:type="gramStart"/>
      <w:r w:rsidR="00E12248">
        <w:rPr>
          <w:rStyle w:val="LineNumber"/>
          <w:b/>
          <w:bCs/>
        </w:rPr>
        <w:t>in</w:t>
      </w:r>
      <w:proofErr w:type="gramEnd"/>
      <w:r w:rsidR="00E12248">
        <w:rPr>
          <w:rStyle w:val="LineNumber"/>
          <w:b/>
          <w:bCs/>
        </w:rPr>
        <w:t xml:space="preserve"> </w:t>
      </w:r>
      <w:r w:rsidR="00E37C4B">
        <w:rPr>
          <w:rStyle w:val="LineNumber"/>
          <w:b/>
          <w:bCs/>
        </w:rPr>
        <w:t xml:space="preserve">Company witness </w:t>
      </w:r>
      <w:r w:rsidR="00815443" w:rsidRPr="00BA18B1">
        <w:rPr>
          <w:rStyle w:val="LineNumber"/>
          <w:b/>
          <w:bCs/>
        </w:rPr>
        <w:t xml:space="preserve">Ms. Andrews </w:t>
      </w:r>
      <w:r w:rsidR="00CC2CB8" w:rsidRPr="00AD3589">
        <w:rPr>
          <w:rStyle w:val="LineNumber"/>
          <w:b/>
          <w:bCs/>
        </w:rPr>
        <w:t>A</w:t>
      </w:r>
      <w:r w:rsidR="00F56BB5" w:rsidRPr="00AD3589">
        <w:rPr>
          <w:rStyle w:val="LineNumber"/>
          <w:b/>
          <w:bCs/>
        </w:rPr>
        <w:t xml:space="preserve">ttrition </w:t>
      </w:r>
      <w:r w:rsidR="00CC2CB8" w:rsidRPr="00AD3589">
        <w:rPr>
          <w:rStyle w:val="LineNumber"/>
          <w:b/>
          <w:bCs/>
        </w:rPr>
        <w:t>S</w:t>
      </w:r>
      <w:r w:rsidR="00F56BB5" w:rsidRPr="00AD3589">
        <w:rPr>
          <w:rStyle w:val="LineNumber"/>
          <w:b/>
          <w:bCs/>
        </w:rPr>
        <w:t>tudy</w:t>
      </w:r>
      <w:r w:rsidR="00815443" w:rsidRPr="00BA18B1">
        <w:rPr>
          <w:rStyle w:val="LineNumber"/>
          <w:b/>
          <w:bCs/>
        </w:rPr>
        <w:t>?</w:t>
      </w:r>
    </w:p>
    <w:p w:rsidR="00352530" w:rsidRDefault="00815443" w:rsidP="00352530">
      <w:pPr>
        <w:pStyle w:val="BodyText2"/>
        <w:tabs>
          <w:tab w:val="left" w:pos="1440"/>
        </w:tabs>
        <w:ind w:firstLine="720"/>
        <w:rPr>
          <w:rStyle w:val="LineNumber"/>
          <w:bCs/>
        </w:rPr>
      </w:pPr>
      <w:r w:rsidRPr="00BA18B1">
        <w:rPr>
          <w:rStyle w:val="LineNumber"/>
          <w:bCs/>
        </w:rPr>
        <w:t>A.</w:t>
      </w:r>
      <w:r w:rsidRPr="00BA18B1">
        <w:rPr>
          <w:rStyle w:val="LineNumber"/>
          <w:bCs/>
        </w:rPr>
        <w:tab/>
        <w:t xml:space="preserve">Yes.  </w:t>
      </w:r>
      <w:r w:rsidR="00352530">
        <w:rPr>
          <w:rStyle w:val="LineNumber"/>
          <w:bCs/>
        </w:rPr>
        <w:t xml:space="preserve">There are three separate </w:t>
      </w:r>
      <w:r w:rsidR="00DF046C">
        <w:rPr>
          <w:rStyle w:val="LineNumber"/>
          <w:bCs/>
        </w:rPr>
        <w:t xml:space="preserve">adjustments that normalize </w:t>
      </w:r>
      <w:r w:rsidR="00352530">
        <w:rPr>
          <w:rStyle w:val="LineNumber"/>
          <w:bCs/>
        </w:rPr>
        <w:t xml:space="preserve">revenue </w:t>
      </w:r>
      <w:r w:rsidR="00DF046C">
        <w:rPr>
          <w:rStyle w:val="LineNumber"/>
          <w:bCs/>
        </w:rPr>
        <w:t>as</w:t>
      </w:r>
      <w:r w:rsidR="00352530">
        <w:rPr>
          <w:rStyle w:val="LineNumber"/>
          <w:bCs/>
        </w:rPr>
        <w:t xml:space="preserve"> part of the electric Attrition Study.</w:t>
      </w:r>
    </w:p>
    <w:p w:rsidR="00352530" w:rsidRDefault="00352530" w:rsidP="00352530">
      <w:pPr>
        <w:pStyle w:val="BodyText2"/>
        <w:tabs>
          <w:tab w:val="left" w:pos="1440"/>
        </w:tabs>
        <w:ind w:firstLine="720"/>
        <w:rPr>
          <w:rStyle w:val="LineNumber"/>
          <w:bCs/>
        </w:rPr>
      </w:pPr>
      <w:r>
        <w:rPr>
          <w:rStyle w:val="LineNumber"/>
          <w:bCs/>
        </w:rPr>
        <w:t>1</w:t>
      </w:r>
      <w:r w:rsidR="00BE672F">
        <w:rPr>
          <w:rStyle w:val="LineNumber"/>
          <w:bCs/>
        </w:rPr>
        <w:t xml:space="preserve"> – </w:t>
      </w:r>
      <w:r>
        <w:rPr>
          <w:rStyle w:val="LineNumber"/>
          <w:bCs/>
        </w:rPr>
        <w:t>The Commission Basis Results of Operations in column [A] of Exhibit No. __</w:t>
      </w:r>
      <w:proofErr w:type="gramStart"/>
      <w:r>
        <w:rPr>
          <w:rStyle w:val="LineNumber"/>
          <w:bCs/>
        </w:rPr>
        <w:t>_(</w:t>
      </w:r>
      <w:proofErr w:type="gramEnd"/>
      <w:r>
        <w:rPr>
          <w:rStyle w:val="LineNumber"/>
          <w:bCs/>
        </w:rPr>
        <w:t>EMA-2)</w:t>
      </w:r>
      <w:r w:rsidR="00057770">
        <w:rPr>
          <w:rStyle w:val="LineNumber"/>
          <w:bCs/>
        </w:rPr>
        <w:t>, page 4</w:t>
      </w:r>
      <w:r>
        <w:rPr>
          <w:rStyle w:val="LineNumber"/>
          <w:bCs/>
        </w:rPr>
        <w:t xml:space="preserve"> includes a Commission Basis weather normalization adjustment.</w:t>
      </w:r>
      <w:r w:rsidR="00BE672F">
        <w:rPr>
          <w:rStyle w:val="LineNumber"/>
          <w:bCs/>
        </w:rPr>
        <w:t xml:space="preserve">  </w:t>
      </w:r>
      <w:r w:rsidR="00BE672F">
        <w:rPr>
          <w:rStyle w:val="LineNumber"/>
          <w:bCs/>
        </w:rPr>
        <w:lastRenderedPageBreak/>
        <w:t xml:space="preserve">Revenues </w:t>
      </w:r>
      <w:r w:rsidR="00AD3589">
        <w:rPr>
          <w:rStyle w:val="LineNumber"/>
          <w:bCs/>
        </w:rPr>
        <w:t xml:space="preserve">for this adjustment </w:t>
      </w:r>
      <w:r w:rsidR="00BE672F">
        <w:rPr>
          <w:rStyle w:val="LineNumber"/>
          <w:bCs/>
        </w:rPr>
        <w:t xml:space="preserve">are based on rates that were in effect during the </w:t>
      </w:r>
      <w:r w:rsidR="00BE672F" w:rsidRPr="00AD3589">
        <w:rPr>
          <w:rStyle w:val="LineNumber"/>
          <w:bCs/>
        </w:rPr>
        <w:t>July 2012 through June 2013</w:t>
      </w:r>
      <w:r w:rsidR="00BE672F">
        <w:rPr>
          <w:rStyle w:val="LineNumber"/>
          <w:bCs/>
        </w:rPr>
        <w:t xml:space="preserve"> test period.</w:t>
      </w:r>
    </w:p>
    <w:p w:rsidR="00352530" w:rsidRDefault="00352530">
      <w:pPr>
        <w:pStyle w:val="BodyText2"/>
        <w:tabs>
          <w:tab w:val="left" w:pos="1440"/>
        </w:tabs>
        <w:ind w:firstLine="720"/>
        <w:rPr>
          <w:rStyle w:val="LineNumber"/>
          <w:bCs/>
        </w:rPr>
      </w:pPr>
      <w:r>
        <w:rPr>
          <w:rStyle w:val="LineNumber"/>
          <w:bCs/>
        </w:rPr>
        <w:t>2</w:t>
      </w:r>
      <w:r w:rsidR="00BE672F">
        <w:rPr>
          <w:rStyle w:val="LineNumber"/>
          <w:bCs/>
        </w:rPr>
        <w:t xml:space="preserve"> –</w:t>
      </w:r>
      <w:r>
        <w:rPr>
          <w:rStyle w:val="LineNumber"/>
          <w:bCs/>
        </w:rPr>
        <w:t xml:space="preserve"> The Incremental Revenue Normalization Adjustment in column [D] of</w:t>
      </w:r>
      <w:r w:rsidR="00590442">
        <w:rPr>
          <w:rStyle w:val="LineNumber"/>
          <w:bCs/>
        </w:rPr>
        <w:t xml:space="preserve"> Exhibit No.__</w:t>
      </w:r>
      <w:proofErr w:type="gramStart"/>
      <w:r w:rsidR="00590442">
        <w:rPr>
          <w:rStyle w:val="LineNumber"/>
          <w:bCs/>
        </w:rPr>
        <w:t>_(</w:t>
      </w:r>
      <w:proofErr w:type="gramEnd"/>
      <w:r w:rsidR="00590442">
        <w:rPr>
          <w:rStyle w:val="LineNumber"/>
          <w:bCs/>
        </w:rPr>
        <w:t>EMA-2)</w:t>
      </w:r>
      <w:r w:rsidR="00057770">
        <w:rPr>
          <w:rStyle w:val="LineNumber"/>
          <w:bCs/>
        </w:rPr>
        <w:t>, page 4</w:t>
      </w:r>
      <w:r w:rsidR="00590442">
        <w:rPr>
          <w:rStyle w:val="LineNumber"/>
          <w:bCs/>
        </w:rPr>
        <w:t xml:space="preserve"> adjusts </w:t>
      </w:r>
      <w:r w:rsidR="00AD3589">
        <w:rPr>
          <w:rStyle w:val="LineNumber"/>
          <w:bCs/>
        </w:rPr>
        <w:t xml:space="preserve">July 2012 through June 2013 </w:t>
      </w:r>
      <w:r w:rsidR="00590442">
        <w:rPr>
          <w:rStyle w:val="LineNumber"/>
          <w:bCs/>
        </w:rPr>
        <w:t>test period customer</w:t>
      </w:r>
      <w:r w:rsidR="00DF046C">
        <w:rPr>
          <w:rStyle w:val="LineNumber"/>
          <w:bCs/>
        </w:rPr>
        <w:t>s and</w:t>
      </w:r>
      <w:r w:rsidR="00590442">
        <w:rPr>
          <w:rStyle w:val="LineNumber"/>
          <w:bCs/>
        </w:rPr>
        <w:t xml:space="preserve"> usage for any known and measurable changes</w:t>
      </w:r>
      <w:r w:rsidR="00CE43E9">
        <w:rPr>
          <w:rStyle w:val="LineNumber"/>
          <w:bCs/>
        </w:rPr>
        <w:t>, then</w:t>
      </w:r>
      <w:r w:rsidR="00590442">
        <w:rPr>
          <w:rStyle w:val="LineNumber"/>
          <w:bCs/>
        </w:rPr>
        <w:t xml:space="preserve"> re-prices billed, unbilled, and weather adjust</w:t>
      </w:r>
      <w:r w:rsidR="00AD3589">
        <w:rPr>
          <w:rStyle w:val="LineNumber"/>
          <w:bCs/>
        </w:rPr>
        <w:t>ed</w:t>
      </w:r>
      <w:r w:rsidR="00590442">
        <w:rPr>
          <w:rStyle w:val="LineNumber"/>
          <w:bCs/>
        </w:rPr>
        <w:t xml:space="preserve"> usage at the </w:t>
      </w:r>
      <w:r w:rsidR="00590442" w:rsidRPr="00AD3589">
        <w:rPr>
          <w:rStyle w:val="LineNumber"/>
          <w:bCs/>
        </w:rPr>
        <w:t>base tariff rates approved for 2013</w:t>
      </w:r>
      <w:r w:rsidR="00A006CA">
        <w:rPr>
          <w:rStyle w:val="LineNumber"/>
          <w:bCs/>
        </w:rPr>
        <w:t xml:space="preserve"> as if the January 1, 2013 increase had been in effect for the full twelve months of the period</w:t>
      </w:r>
      <w:r w:rsidR="00590442">
        <w:rPr>
          <w:rStyle w:val="LineNumber"/>
          <w:bCs/>
        </w:rPr>
        <w:t xml:space="preserve">. </w:t>
      </w:r>
    </w:p>
    <w:p w:rsidR="00590442" w:rsidRDefault="00590442">
      <w:pPr>
        <w:pStyle w:val="BodyText2"/>
        <w:tabs>
          <w:tab w:val="left" w:pos="1440"/>
        </w:tabs>
        <w:ind w:firstLine="720"/>
        <w:rPr>
          <w:rStyle w:val="LineNumber"/>
          <w:bCs/>
        </w:rPr>
      </w:pPr>
      <w:r>
        <w:rPr>
          <w:rStyle w:val="LineNumber"/>
          <w:bCs/>
        </w:rPr>
        <w:t>3</w:t>
      </w:r>
      <w:r w:rsidR="00BE672F">
        <w:rPr>
          <w:rStyle w:val="LineNumber"/>
          <w:bCs/>
        </w:rPr>
        <w:t xml:space="preserve"> – </w:t>
      </w:r>
      <w:r w:rsidR="00057770">
        <w:rPr>
          <w:rStyle w:val="LineNumber"/>
          <w:bCs/>
        </w:rPr>
        <w:t>The 2014 Temporary Rate Increase shown in column (f) of Exhibit No.__</w:t>
      </w:r>
      <w:proofErr w:type="gramStart"/>
      <w:r w:rsidR="00057770">
        <w:rPr>
          <w:rStyle w:val="LineNumber"/>
          <w:bCs/>
        </w:rPr>
        <w:t>_(</w:t>
      </w:r>
      <w:proofErr w:type="gramEnd"/>
      <w:r w:rsidR="00057770">
        <w:rPr>
          <w:rStyle w:val="LineNumber"/>
          <w:bCs/>
        </w:rPr>
        <w:t xml:space="preserve">EMA-2), page 1 identifies the incremental revenue produced when the normalized usage is re-priced at the </w:t>
      </w:r>
      <w:r w:rsidR="00057770" w:rsidRPr="00AD3589">
        <w:rPr>
          <w:rStyle w:val="LineNumber"/>
          <w:bCs/>
        </w:rPr>
        <w:t>base tariff rates approved for 2014</w:t>
      </w:r>
      <w:r w:rsidR="00AD3589">
        <w:rPr>
          <w:rStyle w:val="LineNumber"/>
          <w:bCs/>
        </w:rPr>
        <w:t>.</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twelve months ended June 2013</w:t>
      </w:r>
      <w:r w:rsidRPr="00BA18B1">
        <w:rPr>
          <w:rStyle w:val="LineNumber"/>
        </w:rPr>
        <w:t xml:space="preserve"> test period to the amount expected if weather had been normal.  This adjustment incorporates the effect of both heating and cooling on weather-sensitive customer groups.  The weather adjustment is developed from regression analysis of ten years of billed usage per customer and billing period heating and cooling degree-day data.  The resulting seasonal </w:t>
      </w:r>
      <w:r w:rsidRPr="00BA18B1">
        <w:rPr>
          <w:rStyle w:val="LineNumber"/>
        </w:rPr>
        <w:lastRenderedPageBreak/>
        <w:t xml:space="preserve">weather sensitivity factors </w:t>
      </w:r>
      <w:r>
        <w:rPr>
          <w:rStyle w:val="LineNumber"/>
        </w:rPr>
        <w:t xml:space="preserve">(use-per-customer-per-heating-degree day and use-per-customer-per-cooling-degree day) </w:t>
      </w:r>
      <w:r w:rsidRPr="00BA18B1">
        <w:rPr>
          <w:rStyle w:val="LineNumber"/>
        </w:rPr>
        <w:t>are applied to monthly test period customers 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 xml:space="preserve">Yes.  The factors used in the weather adjustment are based on regression analysis of monthly billed usage per customer from January 2002 through December 2011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1983 through 2012.</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Pr>
          <w:rStyle w:val="LineNumber"/>
        </w:rPr>
        <w:lastRenderedPageBreak/>
        <w:t xml:space="preserve">No. </w:t>
      </w:r>
      <w:proofErr w:type="gramStart"/>
      <w:r>
        <w:rPr>
          <w:rStyle w:val="LineNumber"/>
        </w:rPr>
        <w:t>UE-120436.</w:t>
      </w:r>
      <w:proofErr w:type="gramEnd"/>
      <w:r>
        <w:rPr>
          <w:rStyle w:val="LineNumber"/>
        </w:rPr>
        <w:t xml:space="preserve">  This methodology has been used in every case </w:t>
      </w:r>
      <w:r w:rsidR="00C66D83">
        <w:rPr>
          <w:rStyle w:val="LineNumber"/>
        </w:rPr>
        <w:t xml:space="preserve">and Commission Basis Report </w:t>
      </w:r>
      <w:r>
        <w:rPr>
          <w:rStyle w:val="LineNumber"/>
        </w:rPr>
        <w:t xml:space="preserve">since it was introduced in Docket No. </w:t>
      </w:r>
      <w:proofErr w:type="gramStart"/>
      <w:r>
        <w:rPr>
          <w:rStyle w:val="LineNumber"/>
        </w:rPr>
        <w:t>UE-070804.</w:t>
      </w:r>
      <w:proofErr w:type="gramEnd"/>
    </w:p>
    <w:p w:rsidR="00744FF5" w:rsidRPr="00BA18B1" w:rsidRDefault="00744FF5" w:rsidP="00744FF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w:t>
      </w:r>
      <w:r>
        <w:rPr>
          <w:rStyle w:val="LineNumber"/>
          <w:b/>
          <w:bCs/>
        </w:rPr>
        <w:t xml:space="preserve">change in </w:t>
      </w:r>
      <w:proofErr w:type="spellStart"/>
      <w:r>
        <w:rPr>
          <w:rStyle w:val="LineNumber"/>
          <w:b/>
          <w:bCs/>
        </w:rPr>
        <w:t>kWhs</w:t>
      </w:r>
      <w:proofErr w:type="spellEnd"/>
      <w:r>
        <w:rPr>
          <w:rStyle w:val="LineNumber"/>
          <w:b/>
          <w:bCs/>
        </w:rPr>
        <w:t xml:space="preserve">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twelve months ended June 2013</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D34D9E">
        <w:rPr>
          <w:rStyle w:val="LineNumber"/>
        </w:rPr>
        <w:t xml:space="preserve">Weather was </w:t>
      </w:r>
      <w:r>
        <w:rPr>
          <w:rStyle w:val="LineNumber"/>
        </w:rPr>
        <w:t>warmer than normal</w:t>
      </w:r>
      <w:r w:rsidRPr="00D34D9E">
        <w:rPr>
          <w:rStyle w:val="LineNumber"/>
        </w:rPr>
        <w:t xml:space="preserve"> </w:t>
      </w:r>
      <w:r>
        <w:rPr>
          <w:rStyle w:val="LineNumber"/>
        </w:rPr>
        <w:t xml:space="preserve">from </w:t>
      </w:r>
      <w:r w:rsidRPr="00D34D9E">
        <w:rPr>
          <w:rStyle w:val="LineNumber"/>
        </w:rPr>
        <w:t>July</w:t>
      </w:r>
      <w:r>
        <w:rPr>
          <w:rStyle w:val="LineNumber"/>
        </w:rPr>
        <w:t xml:space="preserve"> through December of 2012, then a colder than normal January 2013 was offset by </w:t>
      </w:r>
      <w:r w:rsidR="00CE43E9">
        <w:rPr>
          <w:rStyle w:val="LineNumber"/>
        </w:rPr>
        <w:t xml:space="preserve">a </w:t>
      </w:r>
      <w:r>
        <w:rPr>
          <w:rStyle w:val="LineNumber"/>
        </w:rPr>
        <w:t>warmer than normal February through June 2013.  Since electric usage is impacted by both heating and cooling, weather normalization reductions to usage in July and August 2012 were largely offset by additions to usage September through December. Similarly,</w:t>
      </w:r>
      <w:r w:rsidRPr="00D34D9E">
        <w:rPr>
          <w:rStyle w:val="LineNumber"/>
        </w:rPr>
        <w:t xml:space="preserve"> </w:t>
      </w:r>
      <w:r>
        <w:rPr>
          <w:rStyle w:val="LineNumber"/>
        </w:rPr>
        <w:t>in 2013</w:t>
      </w:r>
      <w:r w:rsidR="00CE43E9">
        <w:rPr>
          <w:rStyle w:val="LineNumber"/>
        </w:rPr>
        <w:t>,</w:t>
      </w:r>
      <w:r>
        <w:rPr>
          <w:rStyle w:val="LineNumber"/>
        </w:rPr>
        <w:t xml:space="preserve"> the weather normalization reduction to usage in January was largely offset by the additions to usage in February, March and May</w:t>
      </w:r>
      <w:r w:rsidR="00CE43E9">
        <w:rPr>
          <w:rStyle w:val="LineNumber"/>
        </w:rPr>
        <w:t>,</w:t>
      </w:r>
      <w:r>
        <w:rPr>
          <w:rStyle w:val="LineNumber"/>
        </w:rPr>
        <w:t xml:space="preserve"> resulting in a very small annual adjustment.  </w:t>
      </w:r>
      <w:r w:rsidRPr="00D34D9E">
        <w:rPr>
          <w:rStyle w:val="LineNumber"/>
        </w:rPr>
        <w:t>Overall, the adjustment to normal required the addition of 281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Pr>
          <w:rStyle w:val="LineNumber"/>
        </w:rPr>
        <w:t>124</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 xml:space="preserve">sales volumes was a reduction of 1,841,566 </w:t>
      </w:r>
      <w:proofErr w:type="spellStart"/>
      <w:r w:rsidRPr="00313777">
        <w:rPr>
          <w:rStyle w:val="LineNumber"/>
        </w:rPr>
        <w:t>kWhs</w:t>
      </w:r>
      <w:proofErr w:type="spellEnd"/>
      <w:r w:rsidR="00CE43E9">
        <w:rPr>
          <w:rStyle w:val="LineNumber"/>
        </w:rPr>
        <w:t>,</w:t>
      </w:r>
      <w:r w:rsidRPr="00313777">
        <w:rPr>
          <w:rStyle w:val="LineNumber"/>
        </w:rPr>
        <w:t xml:space="preserve"> which is approximately 0.03%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Pr>
          <w:rStyle w:val="LineNumber"/>
          <w:bCs/>
        </w:rPr>
        <w:t>A.</w:t>
      </w:r>
      <w:r>
        <w:rPr>
          <w:rStyle w:val="LineNumber"/>
          <w:bCs/>
        </w:rPr>
        <w:tab/>
        <w:t>The Commission Basis weather normalization adjustment reduced revenues by $159,000 and</w:t>
      </w:r>
      <w:r w:rsidR="00CE43E9">
        <w:rPr>
          <w:rStyle w:val="LineNumber"/>
          <w:bCs/>
        </w:rPr>
        <w:t>,</w:t>
      </w:r>
      <w:r>
        <w:rPr>
          <w:rStyle w:val="LineNumber"/>
          <w:bCs/>
        </w:rPr>
        <w:t xml:space="preserve"> after revenue</w:t>
      </w:r>
      <w:r w:rsidR="00CE43E9">
        <w:rPr>
          <w:rStyle w:val="LineNumber"/>
          <w:bCs/>
        </w:rPr>
        <w:t>-</w:t>
      </w:r>
      <w:r>
        <w:rPr>
          <w:rStyle w:val="LineNumber"/>
          <w:bCs/>
        </w:rPr>
        <w:t xml:space="preserve">related expenses and </w:t>
      </w:r>
      <w:proofErr w:type="gramStart"/>
      <w:r>
        <w:rPr>
          <w:rStyle w:val="LineNumber"/>
          <w:bCs/>
        </w:rPr>
        <w:t>taxes</w:t>
      </w:r>
      <w:r w:rsidR="00CE43E9">
        <w:rPr>
          <w:rStyle w:val="LineNumber"/>
          <w:bCs/>
        </w:rPr>
        <w:t>,</w:t>
      </w:r>
      <w:proofErr w:type="gramEnd"/>
      <w:r>
        <w:rPr>
          <w:rStyle w:val="LineNumber"/>
          <w:bCs/>
        </w:rPr>
        <w:t xml:space="preserve"> produced a </w:t>
      </w:r>
      <w:r w:rsidR="001A6E39">
        <w:rPr>
          <w:rStyle w:val="LineNumber"/>
          <w:bCs/>
        </w:rPr>
        <w:t>de</w:t>
      </w:r>
      <w:r>
        <w:rPr>
          <w:rStyle w:val="LineNumber"/>
          <w:bCs/>
        </w:rPr>
        <w:t>crease</w:t>
      </w:r>
      <w:r w:rsidR="001A6E39">
        <w:rPr>
          <w:rStyle w:val="LineNumber"/>
          <w:bCs/>
        </w:rPr>
        <w:t xml:space="preserve"> to net income of $99,000.  The </w:t>
      </w:r>
      <w:r w:rsidR="00C66D83">
        <w:rPr>
          <w:rStyle w:val="LineNumber"/>
          <w:bCs/>
        </w:rPr>
        <w:t xml:space="preserve">electric system </w:t>
      </w:r>
      <w:r w:rsidR="001A6E39">
        <w:rPr>
          <w:rStyle w:val="LineNumber"/>
          <w:bCs/>
        </w:rPr>
        <w:t xml:space="preserve">monthly weather adjustment volumes were </w:t>
      </w:r>
      <w:r w:rsidR="001A6E39">
        <w:rPr>
          <w:rStyle w:val="LineNumber"/>
          <w:bCs/>
        </w:rPr>
        <w:lastRenderedPageBreak/>
        <w:t xml:space="preserve">provided to </w:t>
      </w:r>
      <w:r w:rsidR="00C66D83">
        <w:rPr>
          <w:rStyle w:val="LineNumber"/>
          <w:bCs/>
        </w:rPr>
        <w:t xml:space="preserve">Company witness </w:t>
      </w:r>
      <w:r w:rsidR="001A6E39">
        <w:rPr>
          <w:rStyle w:val="LineNumber"/>
          <w:bCs/>
        </w:rPr>
        <w:t>Mr. Johnson as an input to the Commission Basis Power Supply analysis.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  What is the purpose of th</w:t>
      </w:r>
      <w:r w:rsidR="00DF046C">
        <w:rPr>
          <w:rStyle w:val="LineNumber"/>
          <w:b/>
          <w:bCs/>
        </w:rPr>
        <w:t>e Incremental Revenue Normalization</w:t>
      </w:r>
      <w:r>
        <w:rPr>
          <w:rStyle w:val="LineNumber"/>
          <w:b/>
          <w:bCs/>
        </w:rPr>
        <w:t xml:space="preserve"> adjustment?</w:t>
      </w:r>
    </w:p>
    <w:p w:rsidR="00057770" w:rsidRDefault="00DF046C">
      <w:pPr>
        <w:pStyle w:val="BodyText2"/>
        <w:tabs>
          <w:tab w:val="left" w:pos="1440"/>
        </w:tabs>
        <w:ind w:firstLine="720"/>
        <w:rPr>
          <w:rStyle w:val="LineNumber"/>
          <w:bCs/>
        </w:rPr>
      </w:pPr>
      <w:r>
        <w:rPr>
          <w:rStyle w:val="LineNumber"/>
          <w:bCs/>
        </w:rPr>
        <w:t>A.</w:t>
      </w:r>
      <w:r>
        <w:rPr>
          <w:rStyle w:val="LineNumber"/>
          <w:bCs/>
        </w:rPr>
        <w:tab/>
      </w:r>
      <w:r w:rsidR="00BB5EC7">
        <w:rPr>
          <w:rStyle w:val="LineNumber"/>
          <w:bCs/>
        </w:rPr>
        <w:t xml:space="preserve">The purpose of the </w:t>
      </w:r>
      <w:r w:rsidR="001141E4">
        <w:rPr>
          <w:rStyle w:val="LineNumber"/>
          <w:bCs/>
        </w:rPr>
        <w:t>“</w:t>
      </w:r>
      <w:r w:rsidR="00BB5EC7">
        <w:rPr>
          <w:rStyle w:val="LineNumber"/>
          <w:bCs/>
        </w:rPr>
        <w:t>Incremental Revenue Normalization</w:t>
      </w:r>
      <w:r w:rsidR="001141E4">
        <w:rPr>
          <w:rStyle w:val="LineNumber"/>
          <w:bCs/>
        </w:rPr>
        <w:t>”</w:t>
      </w:r>
      <w:r w:rsidR="00BB5EC7">
        <w:rPr>
          <w:rStyle w:val="LineNumber"/>
          <w:bCs/>
        </w:rPr>
        <w:t xml:space="preserve"> 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known and measurable changes to the test year loads and customers</w:t>
      </w:r>
      <w:r w:rsidR="00BB5EC7">
        <w:rPr>
          <w:rStyle w:val="LineNumber"/>
          <w:bCs/>
        </w:rPr>
        <w:t>)</w:t>
      </w:r>
      <w:r w:rsidR="00615CB1">
        <w:rPr>
          <w:rStyle w:val="LineNumber"/>
          <w:bCs/>
        </w:rPr>
        <w:t xml:space="preserve"> to reflect revenues for the July 2012 through June 2013 test period, as if the revenue increase effective January 1, 2013 had been in effect for the full twelve months of the test period</w:t>
      </w:r>
      <w:r w:rsidR="002538D0">
        <w:rPr>
          <w:rStyle w:val="LineNumber"/>
          <w:bCs/>
        </w:rPr>
        <w:t xml:space="preserve">.  </w:t>
      </w:r>
    </w:p>
    <w:p w:rsidR="00BD434A" w:rsidRDefault="002538D0" w:rsidP="00BD434A">
      <w:pPr>
        <w:pStyle w:val="BodyText2"/>
        <w:tabs>
          <w:tab w:val="left" w:pos="1440"/>
        </w:tabs>
        <w:ind w:firstLine="720"/>
        <w:rPr>
          <w:rStyle w:val="LineNumber"/>
          <w:bCs/>
        </w:rPr>
      </w:pPr>
      <w:r>
        <w:rPr>
          <w:rStyle w:val="LineNumber"/>
          <w:bCs/>
        </w:rPr>
        <w:t xml:space="preserve">Base rates do not include any of the adder schedules that are included in billed </w:t>
      </w:r>
      <w:r w:rsidR="00BD434A">
        <w:rPr>
          <w:rStyle w:val="LineNumber"/>
          <w:bCs/>
        </w:rPr>
        <w:t>revenues</w:t>
      </w:r>
      <w:r>
        <w:rPr>
          <w:rStyle w:val="LineNumber"/>
          <w:bCs/>
        </w:rPr>
        <w:t xml:space="preserve"> such as the Residential Exchange Credit Schedule 59, the Public Purpose Tariff Rider Schedule 91, and Optional Renewable Power Schedule 95</w:t>
      </w:r>
      <w:r>
        <w:rPr>
          <w:rStyle w:val="FootnoteReference"/>
          <w:bCs/>
        </w:rPr>
        <w:footnoteReference w:id="3"/>
      </w:r>
      <w:r w:rsidR="00BD434A">
        <w:rPr>
          <w:rStyle w:val="LineNumber"/>
          <w:bCs/>
        </w:rPr>
        <w:t>.  Therefore the amortization expenses associated with the adder schedule</w:t>
      </w:r>
      <w:r w:rsidR="001B1AE3">
        <w:rPr>
          <w:rStyle w:val="LineNumber"/>
          <w:bCs/>
        </w:rPr>
        <w:t xml:space="preserve"> revenue</w:t>
      </w:r>
      <w:r w:rsidR="00BD434A">
        <w:rPr>
          <w:rStyle w:val="LineNumber"/>
          <w:bCs/>
        </w:rPr>
        <w:t xml:space="preserve">s </w:t>
      </w:r>
      <w:r w:rsidR="001B1AE3">
        <w:rPr>
          <w:rStyle w:val="LineNumber"/>
          <w:bCs/>
        </w:rPr>
        <w:t>must be</w:t>
      </w:r>
      <w:r w:rsidR="00BD434A">
        <w:rPr>
          <w:rStyle w:val="LineNumber"/>
          <w:bCs/>
        </w:rPr>
        <w:t xml:space="preserve"> eliminated in this adjustment</w:t>
      </w:r>
      <w:r w:rsidR="001B1AE3">
        <w:rPr>
          <w:rStyle w:val="LineNumber"/>
          <w:bCs/>
        </w:rPr>
        <w:t xml:space="preserve"> for proper matching of revenues and expenses</w:t>
      </w:r>
      <w:r w:rsidR="00BD434A">
        <w:rPr>
          <w:rStyle w:val="LineNumber"/>
          <w:bCs/>
        </w:rPr>
        <w:t>.</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What is the impact of the Incremental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Incremental</w:t>
      </w:r>
      <w:r w:rsidR="00CC6E54">
        <w:rPr>
          <w:rStyle w:val="LineNumber"/>
          <w:bCs/>
        </w:rPr>
        <w:t xml:space="preserve"> </w:t>
      </w:r>
      <w:r>
        <w:rPr>
          <w:rStyle w:val="LineNumber"/>
          <w:bCs/>
        </w:rPr>
        <w:t>Revenue N</w:t>
      </w:r>
      <w:r w:rsidR="00815443" w:rsidRPr="00BA18B1">
        <w:rPr>
          <w:rStyle w:val="LineNumber"/>
          <w:bCs/>
        </w:rPr>
        <w:t xml:space="preserve">ormalization adjustment </w:t>
      </w:r>
      <w:r w:rsidR="00E949C5">
        <w:rPr>
          <w:rStyle w:val="LineNumber"/>
          <w:bCs/>
        </w:rPr>
        <w:t>increase</w:t>
      </w:r>
      <w:r w:rsidR="007336D9">
        <w:rPr>
          <w:rStyle w:val="LineNumber"/>
          <w:bCs/>
        </w:rPr>
        <w:t>s</w:t>
      </w:r>
      <w:r w:rsidR="00E949C5">
        <w:rPr>
          <w:rStyle w:val="LineNumber"/>
          <w:bCs/>
        </w:rPr>
        <w:t xml:space="preserve"> net revenue</w:t>
      </w:r>
      <w:r w:rsidR="00615CB1">
        <w:rPr>
          <w:rStyle w:val="FootnoteReference"/>
          <w:bCs/>
        </w:rPr>
        <w:footnoteReference w:id="4"/>
      </w:r>
      <w:r w:rsidR="00E949C5">
        <w:rPr>
          <w:rStyle w:val="LineNumber"/>
          <w:bCs/>
        </w:rPr>
        <w:t xml:space="preserve"> by $7,484,000 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increase</w:t>
      </w:r>
      <w:r w:rsidR="007336D9">
        <w:rPr>
          <w:rStyle w:val="LineNumber"/>
          <w:bCs/>
        </w:rPr>
        <w:t>s</w:t>
      </w:r>
      <w:r w:rsidR="00815443" w:rsidRPr="00BA18B1">
        <w:rPr>
          <w:rStyle w:val="LineNumber"/>
          <w:bCs/>
        </w:rPr>
        <w:t xml:space="preserve"> Washington net </w:t>
      </w:r>
      <w:r w:rsidR="00815443" w:rsidRPr="00BA18B1">
        <w:rPr>
          <w:rStyle w:val="LineNumber"/>
          <w:bCs/>
        </w:rPr>
        <w:lastRenderedPageBreak/>
        <w:t>operating income</w:t>
      </w:r>
      <w:r w:rsidR="00CF7D9C">
        <w:rPr>
          <w:rStyle w:val="LineNumber"/>
          <w:bCs/>
        </w:rPr>
        <w:t xml:space="preserve"> </w:t>
      </w:r>
      <w:r w:rsidR="00815443" w:rsidRPr="00CF7D9C">
        <w:rPr>
          <w:rStyle w:val="LineNumber"/>
          <w:bCs/>
        </w:rPr>
        <w:t>$</w:t>
      </w:r>
      <w:r w:rsidR="00CC0788">
        <w:rPr>
          <w:rStyle w:val="LineNumber"/>
          <w:bCs/>
        </w:rPr>
        <w:t>4</w:t>
      </w:r>
      <w:r w:rsidR="00F562A8" w:rsidRPr="00CF7D9C">
        <w:rPr>
          <w:rStyle w:val="LineNumber"/>
          <w:bCs/>
        </w:rPr>
        <w:t>,</w:t>
      </w:r>
      <w:r w:rsidR="00CC0788">
        <w:rPr>
          <w:rStyle w:val="LineNumber"/>
          <w:bCs/>
        </w:rPr>
        <w:t>844</w:t>
      </w:r>
      <w:r w:rsidR="00815443" w:rsidRPr="00CF7D9C">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w:t>
      </w:r>
      <w:r w:rsidR="00CA0B34">
        <w:rPr>
          <w:rStyle w:val="FootnoteReference"/>
          <w:bCs/>
        </w:rPr>
        <w:footnoteReference w:id="5"/>
      </w:r>
      <w:r w:rsidR="00815443" w:rsidRPr="00BA18B1">
        <w:rPr>
          <w:rStyle w:val="LineNumber"/>
          <w:bCs/>
        </w:rPr>
        <w:t xml:space="preserve">.  </w:t>
      </w:r>
    </w:p>
    <w:p w:rsidR="001265AA" w:rsidRPr="00313777" w:rsidRDefault="001265AA" w:rsidP="001265AA">
      <w:pPr>
        <w:pStyle w:val="BodyText2"/>
        <w:tabs>
          <w:tab w:val="left" w:pos="1440"/>
        </w:tabs>
        <w:ind w:firstLine="720"/>
        <w:rPr>
          <w:rStyle w:val="LineNumber"/>
          <w:b/>
          <w:bCs/>
        </w:rPr>
      </w:pPr>
      <w:r w:rsidRPr="00313777">
        <w:rPr>
          <w:rStyle w:val="LineNumber"/>
          <w:b/>
          <w:bCs/>
        </w:rPr>
        <w:t>Q.</w:t>
      </w:r>
      <w:r w:rsidRPr="00313777">
        <w:rPr>
          <w:rStyle w:val="LineNumber"/>
          <w:b/>
          <w:bCs/>
        </w:rPr>
        <w:tab/>
      </w:r>
      <w:r w:rsidR="005E19CE">
        <w:rPr>
          <w:rStyle w:val="LineNumber"/>
          <w:b/>
          <w:bCs/>
        </w:rPr>
        <w:t>Please describe the</w:t>
      </w:r>
      <w:r w:rsidRPr="00313777">
        <w:rPr>
          <w:rStyle w:val="LineNumber"/>
          <w:b/>
          <w:bCs/>
        </w:rPr>
        <w:t xml:space="preserve"> </w:t>
      </w:r>
      <w:r w:rsidRPr="00BB3FC3">
        <w:rPr>
          <w:rStyle w:val="LineNumber"/>
          <w:b/>
          <w:bCs/>
          <w:u w:val="single"/>
        </w:rPr>
        <w:t>third revenue normali</w:t>
      </w:r>
      <w:r w:rsidR="005E19CE" w:rsidRPr="00BB3FC3">
        <w:rPr>
          <w:rStyle w:val="LineNumber"/>
          <w:b/>
          <w:bCs/>
          <w:u w:val="single"/>
        </w:rPr>
        <w:t>zing</w:t>
      </w:r>
      <w:r w:rsidRPr="00313777">
        <w:rPr>
          <w:rStyle w:val="LineNumber"/>
          <w:b/>
          <w:bCs/>
        </w:rPr>
        <w:t xml:space="preserve"> adjustment</w:t>
      </w:r>
      <w:r w:rsidR="00BB3FC3">
        <w:rPr>
          <w:rStyle w:val="LineNumber"/>
          <w:b/>
          <w:bCs/>
        </w:rPr>
        <w:t xml:space="preserve"> in the Attrition Study</w:t>
      </w:r>
      <w:r w:rsidR="005E19CE">
        <w:rPr>
          <w:rStyle w:val="LineNumber"/>
          <w:b/>
          <w:bCs/>
        </w:rPr>
        <w:t>.</w:t>
      </w:r>
    </w:p>
    <w:p w:rsidR="001B1AE3" w:rsidRDefault="001265AA" w:rsidP="001265AA">
      <w:pPr>
        <w:pStyle w:val="BodyText2"/>
        <w:tabs>
          <w:tab w:val="left" w:pos="1440"/>
        </w:tabs>
        <w:ind w:firstLine="720"/>
        <w:rPr>
          <w:rStyle w:val="LineNumber"/>
          <w:b/>
          <w:bCs/>
        </w:rPr>
      </w:pPr>
      <w:r>
        <w:rPr>
          <w:rStyle w:val="LineNumber"/>
          <w:bCs/>
        </w:rPr>
        <w:t>A.</w:t>
      </w:r>
      <w:r>
        <w:rPr>
          <w:rStyle w:val="LineNumber"/>
          <w:bCs/>
        </w:rPr>
        <w:tab/>
        <w:t xml:space="preserve">The </w:t>
      </w:r>
      <w:r w:rsidR="00BB3FC3">
        <w:rPr>
          <w:rStyle w:val="LineNumber"/>
          <w:bCs/>
        </w:rPr>
        <w:t>“</w:t>
      </w:r>
      <w:r>
        <w:rPr>
          <w:rStyle w:val="LineNumber"/>
          <w:bCs/>
        </w:rPr>
        <w:t>2014 Temporary Rate Increase</w:t>
      </w:r>
      <w:r w:rsidR="00BB3FC3">
        <w:rPr>
          <w:rStyle w:val="LineNumber"/>
          <w:bCs/>
        </w:rPr>
        <w:t>”</w:t>
      </w:r>
      <w:r>
        <w:rPr>
          <w:rStyle w:val="LineNumber"/>
          <w:bCs/>
        </w:rPr>
        <w:t xml:space="preserve"> </w:t>
      </w:r>
      <w:r w:rsidR="005E19CE">
        <w:rPr>
          <w:rStyle w:val="LineNumber"/>
          <w:bCs/>
        </w:rPr>
        <w:t>shown on page 1 of Exhibit No.__</w:t>
      </w:r>
      <w:proofErr w:type="gramStart"/>
      <w:r w:rsidR="005E19CE">
        <w:rPr>
          <w:rStyle w:val="LineNumber"/>
          <w:bCs/>
        </w:rPr>
        <w:t>_(</w:t>
      </w:r>
      <w:proofErr w:type="gramEnd"/>
      <w:r w:rsidR="005E19CE">
        <w:rPr>
          <w:rStyle w:val="LineNumber"/>
          <w:bCs/>
        </w:rPr>
        <w:t xml:space="preserve">EMA-2) </w:t>
      </w:r>
      <w:r>
        <w:rPr>
          <w:rStyle w:val="LineNumber"/>
          <w:bCs/>
        </w:rPr>
        <w:t xml:space="preserve">reflects </w:t>
      </w:r>
      <w:r w:rsidR="00FE0403">
        <w:rPr>
          <w:rStyle w:val="LineNumber"/>
          <w:bCs/>
        </w:rPr>
        <w:t xml:space="preserve">the </w:t>
      </w:r>
      <w:r>
        <w:rPr>
          <w:rStyle w:val="LineNumber"/>
          <w:bCs/>
        </w:rPr>
        <w:t>incremental change when the same normalized billing determinants used in the Incremental Revenue Normalization adjustment are re-priced at the base tariff rates in effect during the calendar year 2014</w:t>
      </w:r>
      <w:r>
        <w:rPr>
          <w:rStyle w:val="FootnoteReference"/>
          <w:bCs/>
        </w:rPr>
        <w:footnoteReference w:id="6"/>
      </w:r>
      <w:r>
        <w:rPr>
          <w:rStyle w:val="LineNumber"/>
          <w:bCs/>
        </w:rPr>
        <w:t>.  This adjustment adds an incremental $14,054,000</w:t>
      </w:r>
      <w:r w:rsidR="007336D9">
        <w:rPr>
          <w:rStyle w:val="LineNumber"/>
          <w:bCs/>
        </w:rPr>
        <w:t xml:space="preserve"> of revenue</w:t>
      </w:r>
      <w:r>
        <w:rPr>
          <w:rStyle w:val="LineNumber"/>
          <w:bCs/>
        </w:rPr>
        <w:t xml:space="preserve"> over the 2013 base rates</w:t>
      </w:r>
      <w:r w:rsidR="007336D9">
        <w:rPr>
          <w:rStyle w:val="LineNumber"/>
          <w:bCs/>
        </w:rPr>
        <w:t>.</w:t>
      </w:r>
    </w:p>
    <w:p w:rsidR="00F65F05" w:rsidRDefault="00F65F05" w:rsidP="00313777">
      <w:pPr>
        <w:pStyle w:val="BodyText2"/>
        <w:tabs>
          <w:tab w:val="left" w:pos="1440"/>
        </w:tabs>
        <w:ind w:firstLine="720"/>
        <w:rPr>
          <w:rStyle w:val="LineNumber"/>
          <w:b/>
          <w:bCs/>
        </w:rPr>
      </w:pPr>
      <w:r>
        <w:rPr>
          <w:rStyle w:val="LineNumber"/>
          <w:b/>
          <w:bCs/>
        </w:rPr>
        <w:t>Q.</w:t>
      </w:r>
      <w:r>
        <w:rPr>
          <w:rStyle w:val="LineNumber"/>
          <w:b/>
          <w:bCs/>
        </w:rPr>
        <w:tab/>
      </w:r>
      <w:r w:rsidR="001B1AE3">
        <w:rPr>
          <w:rStyle w:val="LineNumber"/>
          <w:b/>
          <w:bCs/>
        </w:rPr>
        <w:t>Are the same normalized restated revenues included in Ms. Andrews</w:t>
      </w:r>
      <w:r w:rsidR="00667494">
        <w:rPr>
          <w:rStyle w:val="LineNumber"/>
          <w:b/>
          <w:bCs/>
        </w:rPr>
        <w:t>’</w:t>
      </w:r>
      <w:r w:rsidR="001B1AE3" w:rsidRPr="006175A9">
        <w:rPr>
          <w:rStyle w:val="LineNumber"/>
          <w:b/>
          <w:bCs/>
        </w:rPr>
        <w:t xml:space="preserve"> Pro Forma Cross Check Study</w:t>
      </w:r>
      <w:r w:rsidR="001265AA" w:rsidRPr="006175A9">
        <w:rPr>
          <w:rStyle w:val="LineNumber"/>
          <w:b/>
          <w:bCs/>
        </w:rPr>
        <w:t xml:space="preserve"> </w:t>
      </w:r>
      <w:r w:rsidR="001265AA">
        <w:rPr>
          <w:rStyle w:val="LineNumber"/>
          <w:b/>
          <w:bCs/>
        </w:rPr>
        <w:t>shown as Exhibit No.__</w:t>
      </w:r>
      <w:proofErr w:type="gramStart"/>
      <w:r w:rsidR="001265AA">
        <w:rPr>
          <w:rStyle w:val="LineNumber"/>
          <w:b/>
          <w:bCs/>
        </w:rPr>
        <w:t>_(</w:t>
      </w:r>
      <w:proofErr w:type="gramEnd"/>
      <w:r w:rsidR="001265AA">
        <w:rPr>
          <w:rStyle w:val="LineNumber"/>
          <w:b/>
          <w:bCs/>
        </w:rPr>
        <w:t>EMA-4)</w:t>
      </w:r>
      <w:r w:rsidRPr="00BA18B1">
        <w:rPr>
          <w:rStyle w:val="LineNumber"/>
          <w:b/>
          <w:bCs/>
        </w:rPr>
        <w:t>?</w:t>
      </w:r>
    </w:p>
    <w:p w:rsidR="00F65F05" w:rsidRDefault="00F65F05" w:rsidP="00313777">
      <w:pPr>
        <w:pStyle w:val="BodyText2"/>
        <w:tabs>
          <w:tab w:val="left" w:pos="1440"/>
        </w:tabs>
        <w:ind w:firstLine="720"/>
        <w:rPr>
          <w:rStyle w:val="LineNumber"/>
          <w:b/>
          <w:bCs/>
        </w:rPr>
      </w:pPr>
      <w:r>
        <w:rPr>
          <w:rStyle w:val="LineNumber"/>
          <w:bCs/>
        </w:rPr>
        <w:t>A.</w:t>
      </w:r>
      <w:r>
        <w:rPr>
          <w:rStyle w:val="LineNumber"/>
          <w:bCs/>
        </w:rPr>
        <w:tab/>
      </w:r>
      <w:r w:rsidRPr="00BA18B1">
        <w:rPr>
          <w:rStyle w:val="LineNumber"/>
          <w:bCs/>
        </w:rPr>
        <w:t xml:space="preserve">Yes.  </w:t>
      </w:r>
      <w:r w:rsidR="00A96DFD">
        <w:rPr>
          <w:rStyle w:val="LineNumber"/>
          <w:bCs/>
        </w:rPr>
        <w:t xml:space="preserve">The presentation </w:t>
      </w:r>
      <w:r w:rsidR="00BB3FC3">
        <w:rPr>
          <w:rStyle w:val="LineNumber"/>
          <w:bCs/>
        </w:rPr>
        <w:t xml:space="preserve">in the Pro Forma Cross Check Study </w:t>
      </w:r>
      <w:r w:rsidR="00A96DFD">
        <w:rPr>
          <w:rStyle w:val="LineNumber"/>
          <w:bCs/>
        </w:rPr>
        <w:t xml:space="preserve">is slightly different because </w:t>
      </w:r>
      <w:r w:rsidR="006175A9">
        <w:rPr>
          <w:rStyle w:val="LineNumber"/>
          <w:bCs/>
        </w:rPr>
        <w:t>the</w:t>
      </w:r>
      <w:r w:rsidR="00BB3FC3">
        <w:rPr>
          <w:rStyle w:val="LineNumber"/>
          <w:bCs/>
        </w:rPr>
        <w:t xml:space="preserve"> first and second revenue normalizing adjustments discussed earlier are incorporated into one 2013 Revenue Normalization adjustment.</w:t>
      </w:r>
      <w:r w:rsidR="00A96DFD">
        <w:rPr>
          <w:rStyle w:val="LineNumber"/>
          <w:bCs/>
        </w:rPr>
        <w:t xml:space="preserve">  Therefore the </w:t>
      </w:r>
      <w:r w:rsidR="00F8402F">
        <w:rPr>
          <w:rStyle w:val="LineNumber"/>
          <w:bCs/>
        </w:rPr>
        <w:t>weathe</w:t>
      </w:r>
      <w:r w:rsidR="009A3CEA">
        <w:rPr>
          <w:rStyle w:val="LineNumber"/>
          <w:bCs/>
        </w:rPr>
        <w:t xml:space="preserve">r adjustment at restated rates </w:t>
      </w:r>
      <w:r w:rsidR="00F8402F">
        <w:rPr>
          <w:rStyle w:val="LineNumber"/>
          <w:bCs/>
        </w:rPr>
        <w:t xml:space="preserve">is included with the </w:t>
      </w:r>
      <w:proofErr w:type="spellStart"/>
      <w:r w:rsidR="00F8402F">
        <w:rPr>
          <w:rStyle w:val="LineNumber"/>
          <w:bCs/>
        </w:rPr>
        <w:t>annualization</w:t>
      </w:r>
      <w:proofErr w:type="spellEnd"/>
      <w:r w:rsidR="00F8402F">
        <w:rPr>
          <w:rStyle w:val="LineNumber"/>
          <w:bCs/>
        </w:rPr>
        <w:t xml:space="preserve"> of test year revenue to 2013 base rates</w:t>
      </w:r>
      <w:r w:rsidR="00A96DFD">
        <w:rPr>
          <w:rStyle w:val="LineNumber"/>
          <w:bCs/>
        </w:rPr>
        <w:t xml:space="preserve">.  </w:t>
      </w:r>
      <w:r>
        <w:rPr>
          <w:rStyle w:val="LineNumber"/>
          <w:bCs/>
        </w:rPr>
        <w:t>The</w:t>
      </w:r>
      <w:r w:rsidR="008C3FC5">
        <w:rPr>
          <w:rStyle w:val="LineNumber"/>
          <w:bCs/>
        </w:rPr>
        <w:t xml:space="preserve"> 2013</w:t>
      </w:r>
      <w:r>
        <w:rPr>
          <w:rStyle w:val="LineNumber"/>
          <w:bCs/>
        </w:rPr>
        <w:t xml:space="preserve"> restating</w:t>
      </w:r>
      <w:r w:rsidRPr="00BA18B1">
        <w:rPr>
          <w:rStyle w:val="LineNumber"/>
          <w:bCs/>
        </w:rPr>
        <w:t xml:space="preserve"> revenue normalization adjustment</w:t>
      </w:r>
      <w:r w:rsidR="007336D9">
        <w:rPr>
          <w:rStyle w:val="LineNumber"/>
          <w:bCs/>
        </w:rPr>
        <w:t xml:space="preserve"> for the Pro Forma Cross Check Study</w:t>
      </w:r>
      <w:r w:rsidRPr="00BA18B1">
        <w:rPr>
          <w:rStyle w:val="LineNumber"/>
          <w:bCs/>
        </w:rPr>
        <w:t xml:space="preserve"> increases Washington net operating income by </w:t>
      </w:r>
      <w:r w:rsidRPr="00CC6E54">
        <w:rPr>
          <w:rStyle w:val="LineNumber"/>
          <w:bCs/>
        </w:rPr>
        <w:t>$4,683,000</w:t>
      </w:r>
      <w:r>
        <w:rPr>
          <w:rStyle w:val="LineNumber"/>
          <w:bCs/>
        </w:rPr>
        <w:t>,</w:t>
      </w:r>
      <w:r w:rsidRPr="00BA18B1">
        <w:rPr>
          <w:rStyle w:val="LineNumber"/>
          <w:bCs/>
        </w:rPr>
        <w:t xml:space="preserve"> as shown in </w:t>
      </w:r>
      <w:r>
        <w:rPr>
          <w:rStyle w:val="LineNumber"/>
          <w:bCs/>
        </w:rPr>
        <w:t xml:space="preserve">adjustment </w:t>
      </w:r>
      <w:r w:rsidRPr="00BA18B1">
        <w:rPr>
          <w:rStyle w:val="LineNumber"/>
          <w:bCs/>
        </w:rPr>
        <w:t xml:space="preserve">column </w:t>
      </w:r>
      <w:r>
        <w:rPr>
          <w:rStyle w:val="LineNumber"/>
          <w:bCs/>
        </w:rPr>
        <w:t>2.10</w:t>
      </w:r>
      <w:r w:rsidRPr="00BA18B1">
        <w:rPr>
          <w:rStyle w:val="LineNumber"/>
          <w:bCs/>
        </w:rPr>
        <w:t xml:space="preserve"> on page </w:t>
      </w:r>
      <w:r>
        <w:rPr>
          <w:rStyle w:val="LineNumber"/>
          <w:bCs/>
        </w:rPr>
        <w:t>6</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w:t>
      </w:r>
      <w:r>
        <w:rPr>
          <w:rStyle w:val="LineNumber"/>
          <w:bCs/>
        </w:rPr>
        <w:t>4</w:t>
      </w:r>
      <w:r w:rsidRPr="00BA18B1">
        <w:rPr>
          <w:rStyle w:val="LineNumber"/>
          <w:bCs/>
        </w:rPr>
        <w:t>).</w:t>
      </w:r>
      <w:r>
        <w:rPr>
          <w:rStyle w:val="LineNumber"/>
          <w:bCs/>
        </w:rPr>
        <w:t xml:space="preserve">  </w:t>
      </w:r>
      <w:r w:rsidR="008C3FC5">
        <w:rPr>
          <w:rStyle w:val="LineNumber"/>
          <w:bCs/>
        </w:rPr>
        <w:t>The 2014 Revenue Normalization adjustment captures the 2014 Temporary Rate Increase of $14,054,000 with an increase to Washington net operating income of $8,724,000, as shown in adjustment column 4.07 on page 10 of Exhibit No.__</w:t>
      </w:r>
      <w:proofErr w:type="gramStart"/>
      <w:r w:rsidR="008C3FC5">
        <w:rPr>
          <w:rStyle w:val="LineNumber"/>
          <w:bCs/>
        </w:rPr>
        <w:t>_(</w:t>
      </w:r>
      <w:proofErr w:type="gramEnd"/>
      <w:r w:rsidR="008C3FC5">
        <w:rPr>
          <w:rStyle w:val="LineNumber"/>
          <w:bCs/>
        </w:rPr>
        <w:t>EMA-4).</w:t>
      </w:r>
    </w:p>
    <w:p w:rsidR="0014724A" w:rsidRPr="00BA18B1" w:rsidRDefault="0014724A" w:rsidP="00DE4DD1">
      <w:pPr>
        <w:pStyle w:val="BodyText2"/>
        <w:ind w:firstLine="720"/>
        <w:jc w:val="center"/>
        <w:rPr>
          <w:b/>
          <w:u w:val="single"/>
        </w:rPr>
      </w:pPr>
      <w:r w:rsidRPr="00BA18B1">
        <w:rPr>
          <w:b/>
          <w:u w:val="single"/>
        </w:rPr>
        <w:lastRenderedPageBreak/>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 xml:space="preserve">Company witness Mr. Johnson </w:t>
      </w:r>
      <w:r w:rsidR="00667494">
        <w:rPr>
          <w:b/>
        </w:rPr>
        <w:t>testifi</w:t>
      </w:r>
      <w:r w:rsidR="000363D3">
        <w:rPr>
          <w:b/>
        </w:rPr>
        <w:t>es</w:t>
      </w:r>
      <w:r w:rsidR="00C450C9">
        <w:rPr>
          <w:b/>
        </w:rPr>
        <w:t xml:space="preserve"> that the </w:t>
      </w:r>
      <w:r w:rsidR="00C16B2E">
        <w:rPr>
          <w:b/>
        </w:rPr>
        <w:t xml:space="preserve">proposed </w:t>
      </w:r>
      <w:r w:rsidR="00FF5F9A">
        <w:rPr>
          <w:b/>
        </w:rPr>
        <w:t>R</w:t>
      </w:r>
      <w:r w:rsidR="00C450C9">
        <w:rPr>
          <w:b/>
        </w:rPr>
        <w:t xml:space="preserve">etail </w:t>
      </w:r>
      <w:r w:rsidR="00FF5F9A">
        <w:rPr>
          <w:b/>
        </w:rPr>
        <w:t>R</w:t>
      </w:r>
      <w:r w:rsidR="00C450C9">
        <w:rPr>
          <w:b/>
        </w:rPr>
        <w:t xml:space="preserve">evenue </w:t>
      </w:r>
      <w:r w:rsidR="00FF5F9A">
        <w:rPr>
          <w:b/>
        </w:rPr>
        <w:t>C</w:t>
      </w:r>
      <w:r w:rsidR="00C450C9">
        <w:rPr>
          <w:b/>
        </w:rPr>
        <w:t xml:space="preserve">redit rate to be used in the ERM represents the </w:t>
      </w:r>
      <w:r w:rsidR="00C16B2E">
        <w:rPr>
          <w:b/>
        </w:rPr>
        <w:t>energy classified portion of the fixed and variable</w:t>
      </w:r>
      <w:r w:rsidR="00C450C9">
        <w:rPr>
          <w:b/>
        </w:rPr>
        <w:t xml:space="preserve"> production and transmission </w:t>
      </w:r>
      <w:r w:rsidR="00EA5986">
        <w:rPr>
          <w:b/>
        </w:rPr>
        <w:t>costs</w:t>
      </w:r>
      <w:r w:rsidR="00C16B2E">
        <w:rPr>
          <w:b/>
        </w:rPr>
        <w:t xml:space="preserve"> </w:t>
      </w:r>
      <w:r w:rsidR="00C450C9">
        <w:rPr>
          <w:b/>
        </w:rPr>
        <w:t>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w:t>
      </w:r>
      <w:r w:rsidR="00651012">
        <w:t>R</w:t>
      </w:r>
      <w:r w:rsidR="00C450C9">
        <w:t xml:space="preserve">etail </w:t>
      </w:r>
      <w:r w:rsidR="00651012">
        <w:t>R</w:t>
      </w:r>
      <w:r w:rsidR="00C450C9">
        <w:t xml:space="preserve">evenue </w:t>
      </w:r>
      <w:r w:rsidR="00651012">
        <w:t>C</w:t>
      </w:r>
      <w:r w:rsidR="00C450C9">
        <w:t xml:space="preserve">redit rate is determined by computing the </w:t>
      </w:r>
      <w:r w:rsidR="00651012">
        <w:t>total</w:t>
      </w:r>
      <w:r w:rsidR="00C450C9">
        <w:t xml:space="preserve"> production and transmission </w:t>
      </w:r>
      <w:r w:rsidR="00651012">
        <w:t xml:space="preserve">related </w:t>
      </w:r>
      <w:r w:rsidR="00B706EF">
        <w:t>costs contained within</w:t>
      </w:r>
      <w:r w:rsidR="00C450C9">
        <w:t xml:space="preserve"> Ms. Andrews</w:t>
      </w:r>
      <w:r w:rsidR="0013314C">
        <w:t>’</w:t>
      </w:r>
      <w:r w:rsidR="00C450C9">
        <w:t xml:space="preserve"> Washington </w:t>
      </w:r>
      <w:r w:rsidR="0013314C">
        <w:t xml:space="preserve">electric </w:t>
      </w:r>
      <w:r w:rsidR="00B37C52">
        <w:t>P</w:t>
      </w:r>
      <w:r w:rsidR="0013314C">
        <w:t xml:space="preserve">ro </w:t>
      </w:r>
      <w:r w:rsidR="00B37C52">
        <w:t>F</w:t>
      </w:r>
      <w:r w:rsidR="0013314C">
        <w:t xml:space="preserve">orma </w:t>
      </w:r>
      <w:r w:rsidR="00B37C52">
        <w:t>C</w:t>
      </w:r>
      <w:r w:rsidR="00651012">
        <w:t>ross</w:t>
      </w:r>
      <w:r w:rsidR="00B37C52">
        <w:t xml:space="preserve"> C</w:t>
      </w:r>
      <w:r w:rsidR="00651012">
        <w:t xml:space="preserve">heck </w:t>
      </w:r>
      <w:r w:rsidR="00B37C52">
        <w:t xml:space="preserve">Study </w:t>
      </w:r>
      <w:r w:rsidR="00651012">
        <w:t xml:space="preserve">analysis of </w:t>
      </w:r>
      <w:r w:rsidR="0013314C">
        <w:t>r</w:t>
      </w:r>
      <w:r w:rsidR="00C450C9">
        <w:t xml:space="preserve">esults of </w:t>
      </w:r>
      <w:r w:rsidR="0013314C">
        <w:t>o</w:t>
      </w:r>
      <w:r w:rsidR="00C450C9">
        <w:t>perations</w:t>
      </w:r>
      <w:r w:rsidR="00372320">
        <w:rPr>
          <w:rStyle w:val="FootnoteReference"/>
        </w:rPr>
        <w:footnoteReference w:id="7"/>
      </w:r>
      <w:r w:rsidR="00C450C9">
        <w:t>.  The production/transmission</w:t>
      </w:r>
      <w:r w:rsidR="00651012">
        <w:t>-related costs</w:t>
      </w:r>
      <w:r w:rsidR="00C450C9">
        <w:t xml:space="preserve"> </w:t>
      </w:r>
      <w:r w:rsidR="00651012">
        <w:t>are</w:t>
      </w:r>
      <w:r w:rsidR="00C450C9">
        <w:t xml:space="preserve"> then divided by the Washington </w:t>
      </w:r>
      <w:r w:rsidR="0013314C">
        <w:t>n</w:t>
      </w:r>
      <w:r w:rsidR="00C450C9">
        <w:t xml:space="preserve">ormalized </w:t>
      </w:r>
      <w:r w:rsidR="0013314C">
        <w:t>r</w:t>
      </w:r>
      <w:r w:rsidR="00C450C9">
        <w:t xml:space="preserve">etail </w:t>
      </w:r>
      <w:r w:rsidR="0013314C">
        <w:t>l</w:t>
      </w:r>
      <w:r w:rsidR="00C450C9">
        <w:t>oad</w:t>
      </w:r>
      <w:r w:rsidR="00667494">
        <w:t>,</w:t>
      </w:r>
      <w:r w:rsidR="00C450C9">
        <w:t xml:space="preserve"> in order to arrive at the average production and transmission </w:t>
      </w:r>
      <w:r w:rsidR="00C16B2E">
        <w:t>rev</w:t>
      </w:r>
      <w:r w:rsidR="00651012">
        <w:t>enue</w:t>
      </w:r>
      <w:r w:rsidR="002D05D3">
        <w:t>-</w:t>
      </w:r>
      <w:r w:rsidR="00C450C9">
        <w:t>per</w:t>
      </w:r>
      <w:r w:rsidR="002D05D3">
        <w:t>-</w:t>
      </w:r>
      <w:r w:rsidR="00C450C9">
        <w:t xml:space="preserve">kWh </w:t>
      </w:r>
      <w:r w:rsidR="00EA5986">
        <w:t>included</w:t>
      </w:r>
      <w:r w:rsidR="00C450C9" w:rsidRPr="00EA5986">
        <w:t xml:space="preserve"> in proposed rates</w:t>
      </w:r>
      <w:r w:rsidR="00C450C9">
        <w:t>.</w:t>
      </w:r>
      <w:r w:rsidR="00C16B2E">
        <w:t xml:space="preserve">  This value is then multiplied by the ratio of energy-classified</w:t>
      </w:r>
      <w:r w:rsidR="00651012">
        <w:t xml:space="preserve"> production and transmission costs, versus</w:t>
      </w:r>
      <w:r w:rsidR="00C16B2E">
        <w:t xml:space="preserve"> total production and transmission costs</w:t>
      </w:r>
      <w:r w:rsidR="00651012">
        <w:t>,</w:t>
      </w:r>
      <w:r w:rsidR="00C16B2E">
        <w:t xml:space="preserve"> from the cost of service study</w:t>
      </w:r>
      <w:r w:rsidR="00651012">
        <w:t>,</w:t>
      </w:r>
      <w:r w:rsidR="00C16B2E">
        <w:t xml:space="preserve"> to arrive at the proposed Retail Revenue Credit rate.</w:t>
      </w:r>
    </w:p>
    <w:p w:rsidR="0014724A" w:rsidRPr="00BA18B1" w:rsidRDefault="0014724A" w:rsidP="00DE4DD1">
      <w:pPr>
        <w:pStyle w:val="BodyText2"/>
        <w:tabs>
          <w:tab w:val="left" w:pos="1440"/>
        </w:tabs>
        <w:ind w:firstLine="720"/>
        <w:rPr>
          <w:b/>
        </w:rPr>
      </w:pPr>
      <w:r w:rsidRPr="00BA18B1">
        <w:rPr>
          <w:b/>
        </w:rPr>
        <w:t>Q.</w:t>
      </w:r>
      <w:r w:rsidRPr="00BA18B1">
        <w:rPr>
          <w:b/>
        </w:rPr>
        <w:tab/>
        <w:t xml:space="preserve">Do you have an exhibit that shows the calculation of the proposed </w:t>
      </w:r>
      <w:r w:rsidR="00651012">
        <w:rPr>
          <w:b/>
        </w:rPr>
        <w:t>R</w:t>
      </w:r>
      <w:r w:rsidRPr="00BA18B1">
        <w:rPr>
          <w:b/>
        </w:rPr>
        <w:t xml:space="preserve">etail </w:t>
      </w:r>
      <w:r w:rsidR="00651012">
        <w:rPr>
          <w:b/>
        </w:rPr>
        <w:t>R</w:t>
      </w:r>
      <w:r w:rsidRPr="00BA18B1">
        <w:rPr>
          <w:b/>
        </w:rPr>
        <w:t xml:space="preserve">evenue </w:t>
      </w:r>
      <w:r w:rsidR="00651012">
        <w:rPr>
          <w:b/>
        </w:rPr>
        <w:t>C</w:t>
      </w:r>
      <w:r w:rsidRPr="00BA18B1">
        <w:rPr>
          <w:b/>
        </w:rPr>
        <w:t>redit rate?</w:t>
      </w:r>
    </w:p>
    <w:p w:rsidR="0014724A" w:rsidRDefault="0014724A" w:rsidP="00DE4DD1">
      <w:pPr>
        <w:pStyle w:val="BodyText2"/>
        <w:tabs>
          <w:tab w:val="left" w:pos="1440"/>
        </w:tabs>
        <w:ind w:firstLine="720"/>
      </w:pPr>
      <w:r w:rsidRPr="00BA18B1">
        <w:t>A.</w:t>
      </w:r>
      <w:r w:rsidRPr="00BA18B1">
        <w:tab/>
        <w:t>Yes.  Exhibit No. __</w:t>
      </w:r>
      <w:proofErr w:type="gramStart"/>
      <w:r w:rsidRPr="00BA18B1">
        <w:t>_(</w:t>
      </w:r>
      <w:proofErr w:type="gramEnd"/>
      <w:r w:rsidRPr="00BA18B1">
        <w:t>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w:t>
      </w:r>
      <w:r w:rsidR="00651012">
        <w:t xml:space="preserve"> in her </w:t>
      </w:r>
      <w:r w:rsidR="00504ED4">
        <w:t>P</w:t>
      </w:r>
      <w:r w:rsidR="00651012">
        <w:t xml:space="preserve">ro </w:t>
      </w:r>
      <w:r w:rsidR="00504ED4">
        <w:t>F</w:t>
      </w:r>
      <w:r w:rsidR="00651012">
        <w:t xml:space="preserve">orma </w:t>
      </w:r>
      <w:r w:rsidR="00504ED4">
        <w:t>C</w:t>
      </w:r>
      <w:r w:rsidR="00651012">
        <w:t>ross</w:t>
      </w:r>
      <w:r w:rsidR="00504ED4">
        <w:t xml:space="preserve"> C</w:t>
      </w:r>
      <w:r w:rsidR="00651012">
        <w:t xml:space="preserve">heck </w:t>
      </w:r>
      <w:r w:rsidR="00504ED4">
        <w:t xml:space="preserve">Study </w:t>
      </w:r>
      <w:r w:rsidR="00651012">
        <w:t>analysis model</w:t>
      </w:r>
      <w:r w:rsidRPr="00BA18B1">
        <w:t xml:space="preserve">.  The </w:t>
      </w:r>
      <w:r w:rsidR="00E575D0">
        <w:t>“</w:t>
      </w:r>
      <w:r w:rsidRPr="00E575D0">
        <w:t>Pro Forma Total</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lastRenderedPageBreak/>
        <w:t xml:space="preserve">Page 2 shows the </w:t>
      </w:r>
      <w:r w:rsidR="00651012">
        <w:t>calculation of</w:t>
      </w:r>
      <w:r>
        <w:t xml:space="preserve"> the production and transmission cost components.  The rate</w:t>
      </w:r>
      <w:r w:rsidR="00A7194D">
        <w:t>-</w:t>
      </w:r>
      <w:r>
        <w:t>of</w:t>
      </w:r>
      <w:r w:rsidR="00A7194D">
        <w:t>-</w:t>
      </w:r>
      <w:r>
        <w:t>return and debt</w:t>
      </w:r>
      <w:r w:rsidR="00A7194D">
        <w:t>-</w:t>
      </w:r>
      <w:r>
        <w:t xml:space="preserve">cost percentages on Line 2 are inputs from the proposed cost of capital.  The normalized retail load on Line 10 comes from the workpapers </w:t>
      </w:r>
      <w:r w:rsidR="00B706EF">
        <w:t>supporting</w:t>
      </w:r>
      <w:r>
        <w:t xml:space="preserve"> the revenue normalization adjustment.</w:t>
      </w:r>
      <w:r w:rsidR="00E327BB">
        <w:t xml:space="preserve">  Lines 12 and 13 contain values from the cost of service study</w:t>
      </w:r>
      <w:r w:rsidR="00AA54EE">
        <w:t xml:space="preserve"> (total production and transmission amounts are the sum of column (f) lines 32 and 33 on Page 2 of Exhibit No.___(TLK-4)</w:t>
      </w:r>
      <w:r w:rsidR="00667494">
        <w:t>;</w:t>
      </w:r>
      <w:r w:rsidR="00AA54EE">
        <w:t xml:space="preserve"> the energy-classified </w:t>
      </w:r>
      <w:r w:rsidR="00987DFE">
        <w:t xml:space="preserve">amount </w:t>
      </w:r>
      <w:r w:rsidR="000B4D33">
        <w:t>is</w:t>
      </w:r>
      <w:r w:rsidR="00987DFE">
        <w:t xml:space="preserve"> from the supporting schedule </w:t>
      </w:r>
      <w:r w:rsidR="000B4D33">
        <w:t>contain</w:t>
      </w:r>
      <w:r w:rsidR="00987DFE">
        <w:t>ing the functional components of line 23 on Page 3 of the same exhibit)</w:t>
      </w:r>
      <w:r w:rsidR="00E327BB">
        <w:t xml:space="preserve">. </w:t>
      </w:r>
      <w:r w:rsidR="000B4D33">
        <w:t xml:space="preserve"> </w:t>
      </w:r>
      <w:r w:rsidR="00E327BB">
        <w:t xml:space="preserve">The proposed </w:t>
      </w:r>
      <w:r w:rsidR="00620EF4">
        <w:t>Retail Revenue C</w:t>
      </w:r>
      <w:r w:rsidR="00E327BB">
        <w:t xml:space="preserve">redit rate is shown on Line </w:t>
      </w:r>
      <w:r w:rsidR="00AA54EE">
        <w:t>14</w:t>
      </w:r>
      <w:r w:rsidR="00E327BB">
        <w:t xml:space="preserve"> and represents the </w:t>
      </w:r>
      <w:r w:rsidR="00E327BB" w:rsidRPr="00987DFE">
        <w:rPr>
          <w:u w:val="single"/>
        </w:rPr>
        <w:t>energy-classified portion</w:t>
      </w:r>
      <w:r w:rsidR="00E327BB" w:rsidRPr="00987DFE">
        <w:t xml:space="preserve"> </w:t>
      </w:r>
      <w:r w:rsidR="00E327BB">
        <w:t xml:space="preserve">of the average production and transmission </w:t>
      </w:r>
      <w:r w:rsidR="00620EF4">
        <w:t xml:space="preserve">costs </w:t>
      </w:r>
      <w:r w:rsidR="00E327BB">
        <w:t>per-kWh.</w:t>
      </w:r>
    </w:p>
    <w:p w:rsidR="00665B5F" w:rsidRDefault="0014724A" w:rsidP="00C43489">
      <w:pPr>
        <w:pStyle w:val="BodyText2"/>
        <w:tabs>
          <w:tab w:val="left" w:pos="1440"/>
        </w:tabs>
        <w:ind w:firstLine="720"/>
      </w:pPr>
      <w:r w:rsidRPr="00BA18B1">
        <w:t xml:space="preserve">The proposed </w:t>
      </w:r>
      <w:r w:rsidR="00620EF4">
        <w:t>Retail Revenue C</w:t>
      </w:r>
      <w:r w:rsidRPr="00BA18B1">
        <w:t>redit rate is $0.0</w:t>
      </w:r>
      <w:r w:rsidR="008D5DDD">
        <w:t>33</w:t>
      </w:r>
      <w:r w:rsidR="002E4107">
        <w:t>60</w:t>
      </w:r>
      <w:r w:rsidRPr="00BA18B1">
        <w:t xml:space="preserve"> per kWh or $</w:t>
      </w:r>
      <w:r w:rsidR="008D5DDD">
        <w:t>3</w:t>
      </w:r>
      <w:r w:rsidR="00AC270F">
        <w:t>3</w:t>
      </w:r>
      <w:r w:rsidRPr="00BA18B1">
        <w:t>.</w:t>
      </w:r>
      <w:r w:rsidR="002E4107">
        <w:t>60</w:t>
      </w:r>
      <w:r w:rsidRPr="00BA18B1">
        <w:t xml:space="preserve"> per </w:t>
      </w:r>
      <w:proofErr w:type="spellStart"/>
      <w:r w:rsidR="00620EF4">
        <w:t>M</w:t>
      </w:r>
      <w:r w:rsidRPr="00BA18B1">
        <w:t>Wh</w:t>
      </w:r>
      <w:proofErr w:type="spellEnd"/>
      <w:r w:rsidR="00EA5986">
        <w:t xml:space="preserve"> as Mr. Johnson refers to it</w:t>
      </w:r>
      <w:r w:rsidRPr="00BA18B1">
        <w:t xml:space="preserve">.  The calculation of the </w:t>
      </w:r>
      <w:r w:rsidR="00620EF4">
        <w:t>Retail Revenue C</w:t>
      </w:r>
      <w:r w:rsidRPr="00BA18B1">
        <w:t xml:space="preserve">redit rate </w:t>
      </w:r>
      <w:r w:rsidR="00913E17">
        <w:t xml:space="preserve">will </w:t>
      </w:r>
      <w:r w:rsidRPr="00BA18B1">
        <w:t xml:space="preserve">be revised based on the final </w:t>
      </w:r>
      <w:r w:rsidR="00620EF4">
        <w:t>revenue increase</w:t>
      </w:r>
      <w:r w:rsidRPr="00BA18B1">
        <w:t xml:space="preserve"> approved by the Commission</w:t>
      </w:r>
      <w:r w:rsidR="00732814">
        <w:t xml:space="preserve"> in this case</w:t>
      </w:r>
      <w:r w:rsidRPr="00BA18B1">
        <w:t>.</w:t>
      </w:r>
    </w:p>
    <w:p w:rsidR="00987DFE" w:rsidRPr="00987DFE" w:rsidRDefault="00987DFE" w:rsidP="00C43489">
      <w:pPr>
        <w:pStyle w:val="BodyText2"/>
        <w:tabs>
          <w:tab w:val="left" w:pos="1440"/>
        </w:tabs>
        <w:ind w:firstLine="720"/>
        <w:rPr>
          <w:b/>
        </w:rPr>
      </w:pPr>
      <w:r w:rsidRPr="00987DFE">
        <w:rPr>
          <w:b/>
        </w:rPr>
        <w:t>Q.</w:t>
      </w:r>
      <w:r w:rsidRPr="00987DFE">
        <w:rPr>
          <w:b/>
        </w:rPr>
        <w:tab/>
      </w:r>
      <w:r w:rsidR="002E4107">
        <w:rPr>
          <w:b/>
        </w:rPr>
        <w:t xml:space="preserve">Was </w:t>
      </w:r>
      <w:r w:rsidR="00581E5D">
        <w:rPr>
          <w:b/>
        </w:rPr>
        <w:t>the same methodology used to determine the</w:t>
      </w:r>
      <w:r w:rsidR="002E4107">
        <w:rPr>
          <w:b/>
        </w:rPr>
        <w:t xml:space="preserve"> </w:t>
      </w:r>
      <w:r w:rsidR="00620EF4">
        <w:rPr>
          <w:b/>
        </w:rPr>
        <w:t>Retail Revenue C</w:t>
      </w:r>
      <w:r w:rsidR="002E4107">
        <w:rPr>
          <w:b/>
        </w:rPr>
        <w:t xml:space="preserve">redit rate in the Company’s last </w:t>
      </w:r>
      <w:r w:rsidR="00581E5D">
        <w:rPr>
          <w:b/>
        </w:rPr>
        <w:t>g</w:t>
      </w:r>
      <w:r w:rsidR="002E4107">
        <w:rPr>
          <w:b/>
        </w:rPr>
        <w:t xml:space="preserve">eneral </w:t>
      </w:r>
      <w:r w:rsidR="00581E5D">
        <w:rPr>
          <w:b/>
        </w:rPr>
        <w:t>r</w:t>
      </w:r>
      <w:r w:rsidR="002E4107">
        <w:rPr>
          <w:b/>
        </w:rPr>
        <w:t xml:space="preserve">ate </w:t>
      </w:r>
      <w:r w:rsidR="00581E5D">
        <w:rPr>
          <w:b/>
        </w:rPr>
        <w:t>c</w:t>
      </w:r>
      <w:r w:rsidR="002E4107">
        <w:rPr>
          <w:b/>
        </w:rPr>
        <w:t>ase</w:t>
      </w:r>
      <w:r w:rsidR="000B4D33">
        <w:rPr>
          <w:b/>
        </w:rPr>
        <w:t>?</w:t>
      </w:r>
    </w:p>
    <w:p w:rsidR="002E4107" w:rsidRDefault="00FD09D4" w:rsidP="002E4107">
      <w:pPr>
        <w:pStyle w:val="BodyText2"/>
        <w:tabs>
          <w:tab w:val="left" w:pos="1440"/>
        </w:tabs>
        <w:ind w:firstLine="720"/>
      </w:pPr>
      <w:r>
        <w:t>A.</w:t>
      </w:r>
      <w:r>
        <w:tab/>
      </w:r>
      <w:r w:rsidR="002E4107">
        <w:t>Yes.</w:t>
      </w:r>
      <w:r w:rsidR="00581E5D">
        <w:t xml:space="preserve">  </w:t>
      </w:r>
      <w:proofErr w:type="gramStart"/>
      <w:r w:rsidR="00581E5D">
        <w:t xml:space="preserve">The current </w:t>
      </w:r>
      <w:r w:rsidR="00620EF4">
        <w:t>Retail Revenue C</w:t>
      </w:r>
      <w:r w:rsidR="00581E5D">
        <w:t>redit rate established in Docket No</w:t>
      </w:r>
      <w:r w:rsidR="00B5488E">
        <w:t>.</w:t>
      </w:r>
      <w:proofErr w:type="gramEnd"/>
      <w:r w:rsidR="00581E5D">
        <w:t xml:space="preserve"> UE-120436 was determined using this methodology</w:t>
      </w:r>
      <w:r w:rsidR="00620EF4">
        <w:t>.</w:t>
      </w:r>
      <w:r w:rsidR="007E2589">
        <w:t xml:space="preserve"> </w:t>
      </w:r>
    </w:p>
    <w:p w:rsidR="001D6787" w:rsidRDefault="001D6787" w:rsidP="003A7584">
      <w:pPr>
        <w:pStyle w:val="BodyText2"/>
        <w:tabs>
          <w:tab w:val="left" w:pos="1440"/>
        </w:tabs>
      </w:pPr>
      <w:r>
        <w:t xml:space="preserve"> </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Extra Large General Service Schedule 25</w:t>
      </w:r>
      <w:r w:rsidR="007E2589">
        <w:rPr>
          <w:rStyle w:val="LineNumber"/>
        </w:rPr>
        <w:t xml:space="preserve">, Pumping Service </w:t>
      </w:r>
      <w:r w:rsidR="007E2589">
        <w:rPr>
          <w:rStyle w:val="LineNumber"/>
        </w:rPr>
        <w:lastRenderedPageBreak/>
        <w:t>Schedule 31</w:t>
      </w:r>
      <w:r w:rsidRPr="00BA18B1">
        <w:rPr>
          <w:rStyle w:val="LineNumber"/>
        </w:rPr>
        <w:t xml:space="preserve"> </w:t>
      </w:r>
      <w:r w:rsidR="00004B79">
        <w:rPr>
          <w:rStyle w:val="LineNumber"/>
        </w:rPr>
        <w:t xml:space="preserve">and </w:t>
      </w:r>
      <w:r w:rsidR="007E2589">
        <w:rPr>
          <w:rStyle w:val="LineNumber"/>
        </w:rPr>
        <w:t>Street and Area Lighting Service Schedules 41 - 4</w:t>
      </w:r>
      <w:r w:rsidR="00294885">
        <w:rPr>
          <w:rStyle w:val="LineNumber"/>
        </w:rPr>
        <w:t>9</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 11</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 21</w:t>
      </w:r>
      <w:r w:rsidR="00A3051B" w:rsidRPr="00BA18B1">
        <w:rPr>
          <w:rStyle w:val="LineNumber"/>
        </w:rPr>
        <w:t xml:space="preserve"> </w:t>
      </w:r>
      <w:r w:rsidR="00F1259E" w:rsidRPr="00BA18B1">
        <w:rPr>
          <w:rStyle w:val="LineNumber"/>
        </w:rPr>
        <w:t>provide</w:t>
      </w:r>
      <w:r w:rsidRPr="00BA18B1">
        <w:rPr>
          <w:rStyle w:val="LineNumber"/>
        </w:rPr>
        <w:t xml:space="preserve"> more than the overall rate of return under present rates</w:t>
      </w:r>
      <w:r w:rsidR="008E7190">
        <w:rPr>
          <w:rStyle w:val="LineNumber"/>
        </w:rPr>
        <w:t xml:space="preserve">.  </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Docket No</w:t>
      </w:r>
      <w:r w:rsidR="00C664FA">
        <w:rPr>
          <w:rStyle w:val="LineNumber"/>
        </w:rPr>
        <w:t>.</w:t>
      </w:r>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r w:rsidR="00C664FA">
        <w:rPr>
          <w:rStyle w:val="LineNumber"/>
        </w:rPr>
        <w:t>.</w:t>
      </w:r>
      <w:proofErr w:type="gramEnd"/>
      <w:r w:rsidR="00D24662">
        <w:rPr>
          <w:rStyle w:val="LineNumber"/>
        </w:rPr>
        <w:t xml:space="preserve"> </w:t>
      </w:r>
      <w:proofErr w:type="gramStart"/>
      <w:r w:rsidR="00D24662">
        <w:rPr>
          <w:rStyle w:val="LineNumber"/>
        </w:rPr>
        <w:t>UE-090134</w:t>
      </w:r>
      <w:r w:rsidR="0011588B">
        <w:rPr>
          <w:rStyle w:val="LineNumber"/>
        </w:rPr>
        <w:t xml:space="preserve">, </w:t>
      </w:r>
      <w:r w:rsidR="008E7190">
        <w:rPr>
          <w:rStyle w:val="LineNumber"/>
        </w:rPr>
        <w:t>Docket No</w:t>
      </w:r>
      <w:r w:rsidR="00C664FA">
        <w:rPr>
          <w:rStyle w:val="LineNumber"/>
        </w:rPr>
        <w:t>.</w:t>
      </w:r>
      <w:proofErr w:type="gramEnd"/>
      <w:r w:rsidR="008E7190">
        <w:rPr>
          <w:rStyle w:val="LineNumber"/>
        </w:rPr>
        <w:t xml:space="preserve"> </w:t>
      </w:r>
      <w:proofErr w:type="gramStart"/>
      <w:r w:rsidR="008E7190">
        <w:rPr>
          <w:rStyle w:val="LineNumber"/>
        </w:rPr>
        <w:t>UE-100467</w:t>
      </w:r>
      <w:r w:rsidR="007E2589">
        <w:rPr>
          <w:rStyle w:val="LineNumber"/>
        </w:rPr>
        <w:t xml:space="preserve">, </w:t>
      </w:r>
      <w:r w:rsidR="00B5488E">
        <w:rPr>
          <w:rStyle w:val="LineNumber"/>
        </w:rPr>
        <w:t>Docket No.</w:t>
      </w:r>
      <w:proofErr w:type="gramEnd"/>
      <w:r w:rsidR="00B5488E">
        <w:rPr>
          <w:rStyle w:val="LineNumber"/>
        </w:rPr>
        <w:t xml:space="preserve"> </w:t>
      </w:r>
      <w:proofErr w:type="gramStart"/>
      <w:r w:rsidR="007E2589">
        <w:rPr>
          <w:rStyle w:val="LineNumber"/>
        </w:rPr>
        <w:t>UE-110876</w:t>
      </w:r>
      <w:r w:rsidR="008E7190">
        <w:rPr>
          <w:rStyle w:val="LineNumber"/>
        </w:rPr>
        <w:t xml:space="preserve"> </w:t>
      </w:r>
      <w:r w:rsidR="0011588B">
        <w:rPr>
          <w:rStyle w:val="LineNumber"/>
        </w:rPr>
        <w:t>and Docket No</w:t>
      </w:r>
      <w:r w:rsidR="00C664FA">
        <w:rPr>
          <w:rStyle w:val="LineNumber"/>
        </w:rPr>
        <w:t>.</w:t>
      </w:r>
      <w:proofErr w:type="gramEnd"/>
      <w:r w:rsidR="0011588B">
        <w:rPr>
          <w:rStyle w:val="LineNumber"/>
        </w:rPr>
        <w:t xml:space="preserve"> </w:t>
      </w:r>
      <w:proofErr w:type="gramStart"/>
      <w:r w:rsidR="0011588B">
        <w:rPr>
          <w:rStyle w:val="LineNumber"/>
        </w:rPr>
        <w:t>UE-1</w:t>
      </w:r>
      <w:r w:rsidR="007E2589">
        <w:rPr>
          <w:rStyle w:val="LineNumber"/>
        </w:rPr>
        <w:t>20436</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7E2589">
        <w:rPr>
          <w:rStyle w:val="LineNumber"/>
        </w:rPr>
        <w:t>June 30, 2013</w:t>
      </w:r>
      <w:r w:rsidR="00256A5E" w:rsidRPr="00BA18B1">
        <w:rPr>
          <w:rStyle w:val="LineNumber"/>
        </w:rPr>
        <w:t xml:space="preserve"> test year </w:t>
      </w:r>
      <w:r w:rsidR="00B37C52">
        <w:rPr>
          <w:rStyle w:val="LineNumber"/>
        </w:rPr>
        <w:t>P</w:t>
      </w:r>
      <w:r w:rsidR="00256A5E" w:rsidRPr="00BA18B1">
        <w:rPr>
          <w:rStyle w:val="LineNumber"/>
        </w:rPr>
        <w:t xml:space="preserve">ro </w:t>
      </w:r>
      <w:r w:rsidR="00B37C52">
        <w:rPr>
          <w:rStyle w:val="LineNumber"/>
        </w:rPr>
        <w:t>F</w:t>
      </w:r>
      <w:r w:rsidRPr="00BA18B1">
        <w:rPr>
          <w:rStyle w:val="LineNumber"/>
        </w:rPr>
        <w:t xml:space="preserve">orma </w:t>
      </w:r>
      <w:r w:rsidR="00B37C52">
        <w:rPr>
          <w:rStyle w:val="LineNumber"/>
        </w:rPr>
        <w:t>C</w:t>
      </w:r>
      <w:r w:rsidR="00E764B4">
        <w:rPr>
          <w:rStyle w:val="LineNumber"/>
        </w:rPr>
        <w:t>ross</w:t>
      </w:r>
      <w:r w:rsidR="00B37C52">
        <w:rPr>
          <w:rStyle w:val="LineNumber"/>
        </w:rPr>
        <w:t xml:space="preserve"> C</w:t>
      </w:r>
      <w:r w:rsidR="00E764B4">
        <w:rPr>
          <w:rStyle w:val="LineNumber"/>
        </w:rPr>
        <w:t xml:space="preserve">heck </w:t>
      </w:r>
      <w:r w:rsidR="00B37C52">
        <w:rPr>
          <w:rStyle w:val="LineNumber"/>
        </w:rPr>
        <w:t xml:space="preserve">Study </w:t>
      </w:r>
      <w:r w:rsidRPr="00BA18B1">
        <w:rPr>
          <w:rStyle w:val="LineNumber"/>
        </w:rPr>
        <w:t>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w:t>
      </w:r>
      <w:r w:rsidR="0025132C">
        <w:rPr>
          <w:rStyle w:val="LineNumber"/>
        </w:rPr>
        <w:t>4</w:t>
      </w:r>
      <w:r w:rsidRPr="00BA18B1">
        <w:rPr>
          <w:rStyle w:val="LineNumber"/>
        </w:rPr>
        <w:t>).</w:t>
      </w:r>
      <w:r w:rsidR="00E764B4">
        <w:rPr>
          <w:rStyle w:val="LineNumber"/>
        </w:rPr>
        <w:t xml:space="preserve">  The </w:t>
      </w:r>
      <w:r w:rsidR="00504ED4">
        <w:rPr>
          <w:rStyle w:val="LineNumber"/>
        </w:rPr>
        <w:t>P</w:t>
      </w:r>
      <w:r w:rsidR="00E764B4">
        <w:rPr>
          <w:rStyle w:val="LineNumber"/>
        </w:rPr>
        <w:t xml:space="preserve">ro </w:t>
      </w:r>
      <w:r w:rsidR="00504ED4">
        <w:rPr>
          <w:rStyle w:val="LineNumber"/>
        </w:rPr>
        <w:t>F</w:t>
      </w:r>
      <w:r w:rsidR="00E764B4">
        <w:rPr>
          <w:rStyle w:val="LineNumber"/>
        </w:rPr>
        <w:t xml:space="preserve">orma </w:t>
      </w:r>
      <w:r w:rsidR="00504ED4">
        <w:rPr>
          <w:rStyle w:val="LineNumber"/>
        </w:rPr>
        <w:t>Cross C</w:t>
      </w:r>
      <w:r w:rsidR="00E764B4">
        <w:rPr>
          <w:rStyle w:val="LineNumber"/>
        </w:rPr>
        <w:t xml:space="preserve">heck </w:t>
      </w:r>
      <w:r w:rsidR="00504ED4">
        <w:rPr>
          <w:rStyle w:val="LineNumber"/>
        </w:rPr>
        <w:t xml:space="preserve">Study </w:t>
      </w:r>
      <w:r w:rsidR="00E764B4">
        <w:rPr>
          <w:rStyle w:val="LineNumber"/>
        </w:rPr>
        <w:t xml:space="preserve">analysis was used for the cost of service study </w:t>
      </w:r>
      <w:r w:rsidR="00E660F2">
        <w:rPr>
          <w:rStyle w:val="LineNumber"/>
        </w:rPr>
        <w:t xml:space="preserve">to </w:t>
      </w:r>
      <w:r w:rsidR="00E764B4">
        <w:rPr>
          <w:rStyle w:val="LineNumber"/>
        </w:rPr>
        <w:t xml:space="preserve">provide </w:t>
      </w:r>
      <w:r w:rsidR="001446B7">
        <w:rPr>
          <w:rStyle w:val="LineNumber"/>
        </w:rPr>
        <w:t>results at the</w:t>
      </w:r>
      <w:r w:rsidR="00E764B4">
        <w:rPr>
          <w:rStyle w:val="LineNumber"/>
        </w:rPr>
        <w:t xml:space="preserve"> comprehensive level of detail required </w:t>
      </w:r>
      <w:r w:rsidR="00061EEC">
        <w:rPr>
          <w:rStyle w:val="LineNumber"/>
        </w:rPr>
        <w:t>by</w:t>
      </w:r>
      <w:r w:rsidR="00E660F2">
        <w:rPr>
          <w:rStyle w:val="LineNumber"/>
        </w:rPr>
        <w:t xml:space="preserve"> the cost of service model.  T</w:t>
      </w:r>
      <w:r w:rsidR="001446B7">
        <w:rPr>
          <w:rStyle w:val="LineNumber"/>
        </w:rPr>
        <w:t xml:space="preserve">he </w:t>
      </w:r>
      <w:r w:rsidR="00504ED4">
        <w:rPr>
          <w:rStyle w:val="LineNumber"/>
        </w:rPr>
        <w:t>Pro Forma Cross C</w:t>
      </w:r>
      <w:r w:rsidR="001446B7">
        <w:rPr>
          <w:rStyle w:val="LineNumber"/>
        </w:rPr>
        <w:t>heck</w:t>
      </w:r>
      <w:r w:rsidR="00504ED4">
        <w:rPr>
          <w:rStyle w:val="LineNumber"/>
        </w:rPr>
        <w:t xml:space="preserve"> Study</w:t>
      </w:r>
      <w:r w:rsidR="001446B7">
        <w:rPr>
          <w:rStyle w:val="LineNumber"/>
        </w:rPr>
        <w:t xml:space="preserve"> includes an adjustment that brings total expenses and rate base into agreement with the </w:t>
      </w:r>
      <w:r w:rsidR="00B37C52">
        <w:rPr>
          <w:rStyle w:val="LineNumber"/>
        </w:rPr>
        <w:t>A</w:t>
      </w:r>
      <w:r w:rsidR="001446B7">
        <w:rPr>
          <w:rStyle w:val="LineNumber"/>
        </w:rPr>
        <w:t xml:space="preserve">ttrition </w:t>
      </w:r>
      <w:proofErr w:type="gramStart"/>
      <w:r w:rsidR="00B37C52">
        <w:rPr>
          <w:rStyle w:val="LineNumber"/>
        </w:rPr>
        <w:t>S</w:t>
      </w:r>
      <w:r w:rsidR="001446B7">
        <w:rPr>
          <w:rStyle w:val="LineNumber"/>
        </w:rPr>
        <w:t>tudy</w:t>
      </w:r>
      <w:r w:rsidR="00061EEC">
        <w:rPr>
          <w:rStyle w:val="LineNumber"/>
        </w:rPr>
        <w:t>,</w:t>
      </w:r>
      <w:proofErr w:type="gramEnd"/>
      <w:r w:rsidR="00061EEC">
        <w:rPr>
          <w:rStyle w:val="LineNumber"/>
        </w:rPr>
        <w:t xml:space="preserve"> </w:t>
      </w:r>
      <w:r w:rsidR="00E660F2">
        <w:rPr>
          <w:rStyle w:val="LineNumber"/>
        </w:rPr>
        <w:t xml:space="preserve">therefore </w:t>
      </w:r>
      <w:r w:rsidR="00061EEC">
        <w:rPr>
          <w:rStyle w:val="LineNumber"/>
        </w:rPr>
        <w:t xml:space="preserve">it provides the appropriate 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2 shows the target change in revenue which would produce unity in this cost study. </w:t>
      </w:r>
      <w:r w:rsidRPr="00BA18B1">
        <w:rPr>
          <w:rStyle w:val="LineNumber"/>
        </w:rPr>
        <w:t xml:space="preserve">Page 3 </w:t>
      </w:r>
      <w:r w:rsidRPr="00BA18B1">
        <w:rPr>
          <w:rStyle w:val="LineNumber"/>
        </w:rPr>
        <w:lastRenderedPageBreak/>
        <w:t>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w:t>
      </w:r>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8"/>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w:t>
      </w:r>
      <w:r w:rsidRPr="00BA18B1">
        <w:rPr>
          <w:rStyle w:val="LineNumber"/>
        </w:rPr>
        <w:lastRenderedPageBreak/>
        <w:t>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260A4">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proofErr w:type="gramStart"/>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proofErr w:type="gramEnd"/>
      <w:r w:rsidRPr="00CB130C">
        <w:rPr>
          <w:rStyle w:val="LineNumber"/>
        </w:rPr>
        <w:t xml:space="preserve">  </w:t>
      </w:r>
    </w:p>
    <w:p w:rsidR="007576DF" w:rsidRPr="00C43F61" w:rsidRDefault="007576DF" w:rsidP="00D260A4">
      <w:pPr>
        <w:pStyle w:val="BodyText2"/>
        <w:tabs>
          <w:tab w:val="left" w:pos="1440"/>
        </w:tabs>
        <w:ind w:firstLine="720"/>
        <w:rPr>
          <w:rStyle w:val="LineNumber"/>
          <w:b/>
        </w:rPr>
      </w:pPr>
      <w:r w:rsidRPr="00C43F61">
        <w:rPr>
          <w:rStyle w:val="LineNumber"/>
          <w:b/>
        </w:rPr>
        <w:t>Q.</w:t>
      </w:r>
      <w:r w:rsidRPr="00C43F61">
        <w:rPr>
          <w:rStyle w:val="LineNumber"/>
          <w:b/>
        </w:rPr>
        <w:tab/>
      </w:r>
      <w:r w:rsidR="002F4CAE">
        <w:rPr>
          <w:rStyle w:val="LineNumber"/>
          <w:b/>
        </w:rPr>
        <w:t xml:space="preserve">You mentioned a revision to the Avista-specific peak credit analysis accepted by the Commission in 2005.  </w:t>
      </w:r>
      <w:r w:rsidR="004A78C9">
        <w:rPr>
          <w:rStyle w:val="LineNumber"/>
          <w:b/>
        </w:rPr>
        <w:t>Has Avista proposed the same revision in recent cases?</w:t>
      </w:r>
    </w:p>
    <w:p w:rsidR="004A78C9" w:rsidRDefault="007576DF" w:rsidP="00D260A4">
      <w:pPr>
        <w:pStyle w:val="BodyText2"/>
        <w:tabs>
          <w:tab w:val="left" w:pos="1440"/>
        </w:tabs>
        <w:ind w:firstLine="720"/>
        <w:rPr>
          <w:rStyle w:val="LineNumber"/>
        </w:rPr>
      </w:pPr>
      <w:r>
        <w:rPr>
          <w:rStyle w:val="LineNumber"/>
        </w:rPr>
        <w:t>A.</w:t>
      </w:r>
      <w:r>
        <w:rPr>
          <w:rStyle w:val="LineNumber"/>
        </w:rPr>
        <w:tab/>
      </w:r>
      <w:r w:rsidR="004A78C9">
        <w:rPr>
          <w:rStyle w:val="LineNumber"/>
        </w:rPr>
        <w:t xml:space="preserve">Yes. In developing its cost of service study in Docket No. UE-100467, the Company examined the Avista-specific peak credit classification methodology applied to production and transmission functional costs.  It was determined that </w:t>
      </w:r>
      <w:r w:rsidR="004A78C9" w:rsidRPr="00CA6D21">
        <w:rPr>
          <w:rStyle w:val="LineNumber"/>
        </w:rPr>
        <w:t xml:space="preserve">the prior methodology </w:t>
      </w:r>
      <w:r w:rsidR="004A78C9">
        <w:rPr>
          <w:rStyle w:val="LineNumber"/>
        </w:rPr>
        <w:t xml:space="preserve">was </w:t>
      </w:r>
      <w:r w:rsidR="004A78C9" w:rsidRPr="00CA6D21">
        <w:rPr>
          <w:rStyle w:val="LineNumber"/>
        </w:rPr>
        <w:t>complicated to compute and apply, unrelated to the actual usage of the system</w:t>
      </w:r>
      <w:r w:rsidR="004A78C9">
        <w:rPr>
          <w:rStyle w:val="LineNumber"/>
        </w:rPr>
        <w:t>, and has</w:t>
      </w:r>
      <w:r w:rsidR="004A78C9" w:rsidRPr="00CA6D21">
        <w:rPr>
          <w:rStyle w:val="LineNumber"/>
        </w:rPr>
        <w:t xml:space="preserve"> a tendency to shift costs back and forth between energy and demand with </w:t>
      </w:r>
      <w:r w:rsidR="004A78C9">
        <w:rPr>
          <w:rStyle w:val="LineNumber"/>
        </w:rPr>
        <w:t xml:space="preserve">changes in </w:t>
      </w:r>
      <w:r w:rsidR="004A78C9" w:rsidRPr="00CA6D21">
        <w:rPr>
          <w:rStyle w:val="LineNumber"/>
        </w:rPr>
        <w:t xml:space="preserve">the cost of </w:t>
      </w:r>
      <w:r w:rsidR="004A78C9">
        <w:rPr>
          <w:rStyle w:val="LineNumber"/>
        </w:rPr>
        <w:t xml:space="preserve">natural gas to fuel combustion </w:t>
      </w:r>
      <w:r w:rsidR="004A78C9" w:rsidRPr="00CA6D21">
        <w:rPr>
          <w:rStyle w:val="LineNumber"/>
        </w:rPr>
        <w:t>turbine</w:t>
      </w:r>
      <w:r w:rsidR="004A78C9">
        <w:rPr>
          <w:rStyle w:val="LineNumber"/>
        </w:rPr>
        <w:t>s</w:t>
      </w:r>
      <w:r w:rsidR="004A78C9" w:rsidRPr="00CA6D21">
        <w:rPr>
          <w:rStyle w:val="LineNumber"/>
        </w:rPr>
        <w:t xml:space="preserve">. </w:t>
      </w:r>
      <w:r w:rsidR="004A78C9">
        <w:rPr>
          <w:rStyle w:val="LineNumber"/>
        </w:rPr>
        <w:t xml:space="preserve"> The peak credit method proposed by Avista in that Docket provided </w:t>
      </w:r>
      <w:r w:rsidR="004A78C9" w:rsidRPr="00C64FD2">
        <w:rPr>
          <w:rStyle w:val="LineNumber"/>
        </w:rPr>
        <w:t>a less complex way to determine a fair apportionment of production and transmission costs between energy and demand</w:t>
      </w:r>
      <w:r w:rsidR="004A78C9">
        <w:rPr>
          <w:rStyle w:val="LineNumber"/>
        </w:rPr>
        <w:t>,</w:t>
      </w:r>
      <w:r w:rsidR="004A78C9" w:rsidRPr="00C64FD2">
        <w:rPr>
          <w:rStyle w:val="LineNumber"/>
        </w:rPr>
        <w:t xml:space="preserve"> is directly related to our </w:t>
      </w:r>
      <w:r w:rsidR="004A78C9">
        <w:rPr>
          <w:rStyle w:val="LineNumber"/>
        </w:rPr>
        <w:t xml:space="preserve">electrical </w:t>
      </w:r>
      <w:r w:rsidR="004A78C9" w:rsidRPr="00C64FD2">
        <w:rPr>
          <w:rStyle w:val="LineNumber"/>
        </w:rPr>
        <w:t xml:space="preserve">system, and </w:t>
      </w:r>
      <w:r w:rsidR="004A78C9">
        <w:rPr>
          <w:rStyle w:val="LineNumber"/>
        </w:rPr>
        <w:t>is</w:t>
      </w:r>
      <w:r w:rsidR="004A78C9" w:rsidRPr="00C64FD2">
        <w:rPr>
          <w:rStyle w:val="LineNumber"/>
        </w:rPr>
        <w:t xml:space="preserve"> expected to be stable both during the pendency of a case and over time from case to case.</w:t>
      </w:r>
    </w:p>
    <w:p w:rsidR="00D260A4" w:rsidRPr="00A43B86" w:rsidRDefault="005E5E58" w:rsidP="00D260A4">
      <w:pPr>
        <w:pStyle w:val="BodyText2"/>
        <w:tabs>
          <w:tab w:val="left" w:pos="1440"/>
        </w:tabs>
        <w:ind w:firstLine="720"/>
        <w:rPr>
          <w:rStyle w:val="LineNumber"/>
          <w:highlight w:val="yellow"/>
        </w:rPr>
      </w:pPr>
      <w:r w:rsidRPr="006F462C">
        <w:rPr>
          <w:rStyle w:val="LineNumber"/>
        </w:rPr>
        <w:t xml:space="preserve">While </w:t>
      </w:r>
      <w:r w:rsidR="00877BFE">
        <w:rPr>
          <w:rStyle w:val="LineNumber"/>
        </w:rPr>
        <w:t>a</w:t>
      </w:r>
      <w:r w:rsidR="000873D1" w:rsidRPr="006F462C">
        <w:rPr>
          <w:rStyle w:val="LineNumber"/>
        </w:rPr>
        <w:t xml:space="preserve"> revision to the peak credit classification of production and transmission costs was proposed </w:t>
      </w:r>
      <w:proofErr w:type="gramStart"/>
      <w:r w:rsidR="000873D1" w:rsidRPr="006F462C">
        <w:rPr>
          <w:rStyle w:val="LineNumber"/>
        </w:rPr>
        <w:t xml:space="preserve">in </w:t>
      </w:r>
      <w:r w:rsidR="001654B1" w:rsidRPr="006F462C">
        <w:rPr>
          <w:rStyle w:val="LineNumber"/>
        </w:rPr>
        <w:t xml:space="preserve">both </w:t>
      </w:r>
      <w:r w:rsidR="002F4CAE">
        <w:rPr>
          <w:rStyle w:val="LineNumber"/>
        </w:rPr>
        <w:t>Docket No.</w:t>
      </w:r>
      <w:proofErr w:type="gramEnd"/>
      <w:r w:rsidR="002F4CAE">
        <w:rPr>
          <w:rStyle w:val="LineNumber"/>
        </w:rPr>
        <w:t xml:space="preserve"> </w:t>
      </w:r>
      <w:proofErr w:type="gramStart"/>
      <w:r w:rsidR="002F4CAE">
        <w:rPr>
          <w:rStyle w:val="LineNumber"/>
        </w:rPr>
        <w:t xml:space="preserve">UE-100467 and </w:t>
      </w:r>
      <w:r w:rsidR="001654B1" w:rsidRPr="006F462C">
        <w:rPr>
          <w:rStyle w:val="LineNumber"/>
        </w:rPr>
        <w:t xml:space="preserve">Docket </w:t>
      </w:r>
      <w:r w:rsidR="006F462C" w:rsidRPr="006F462C">
        <w:rPr>
          <w:rStyle w:val="LineNumber"/>
        </w:rPr>
        <w:t>No.</w:t>
      </w:r>
      <w:proofErr w:type="gramEnd"/>
      <w:r w:rsidR="006F462C" w:rsidRPr="006F462C">
        <w:rPr>
          <w:rStyle w:val="LineNumber"/>
        </w:rPr>
        <w:t xml:space="preserve"> </w:t>
      </w:r>
      <w:r w:rsidR="001654B1" w:rsidRPr="006F462C">
        <w:rPr>
          <w:rStyle w:val="LineNumber"/>
        </w:rPr>
        <w:t>UE-110876</w:t>
      </w:r>
      <w:r w:rsidR="000873D1" w:rsidRPr="006F462C">
        <w:rPr>
          <w:rStyle w:val="LineNumber"/>
        </w:rPr>
        <w:t xml:space="preserve">, </w:t>
      </w:r>
      <w:r w:rsidRPr="006F462C">
        <w:rPr>
          <w:rStyle w:val="LineNumber"/>
        </w:rPr>
        <w:t xml:space="preserve">the cost of service methodology change was </w:t>
      </w:r>
      <w:r w:rsidR="001654B1" w:rsidRPr="006F462C">
        <w:rPr>
          <w:rStyle w:val="LineNumber"/>
        </w:rPr>
        <w:t xml:space="preserve">specifically </w:t>
      </w:r>
      <w:r w:rsidRPr="002F4CAE">
        <w:rPr>
          <w:rStyle w:val="LineNumber"/>
          <w:u w:val="single"/>
        </w:rPr>
        <w:t>not</w:t>
      </w:r>
      <w:r w:rsidRPr="006F462C">
        <w:rPr>
          <w:rStyle w:val="LineNumber"/>
        </w:rPr>
        <w:t xml:space="preserve"> part</w:t>
      </w:r>
      <w:r w:rsidR="000873D1" w:rsidRPr="006F462C">
        <w:rPr>
          <w:rStyle w:val="LineNumber"/>
        </w:rPr>
        <w:t xml:space="preserve"> </w:t>
      </w:r>
      <w:r w:rsidRPr="006F462C">
        <w:rPr>
          <w:rStyle w:val="LineNumber"/>
        </w:rPr>
        <w:t>of</w:t>
      </w:r>
      <w:r w:rsidR="000873D1" w:rsidRPr="006F462C">
        <w:rPr>
          <w:rStyle w:val="LineNumber"/>
        </w:rPr>
        <w:t xml:space="preserve"> </w:t>
      </w:r>
      <w:r w:rsidR="001654B1" w:rsidRPr="006F462C">
        <w:rPr>
          <w:rStyle w:val="LineNumber"/>
        </w:rPr>
        <w:t xml:space="preserve">the </w:t>
      </w:r>
      <w:r w:rsidR="000873D1" w:rsidRPr="006F462C">
        <w:rPr>
          <w:rStyle w:val="LineNumber"/>
        </w:rPr>
        <w:t>settlement</w:t>
      </w:r>
      <w:r w:rsidR="001654B1" w:rsidRPr="006F462C">
        <w:rPr>
          <w:rStyle w:val="LineNumber"/>
        </w:rPr>
        <w:t>s</w:t>
      </w:r>
      <w:r w:rsidR="000873D1" w:rsidRPr="006F462C">
        <w:rPr>
          <w:rStyle w:val="LineNumber"/>
        </w:rPr>
        <w:t xml:space="preserve"> </w:t>
      </w:r>
      <w:r w:rsidRPr="006F462C">
        <w:rPr>
          <w:rStyle w:val="LineNumber"/>
        </w:rPr>
        <w:t xml:space="preserve">in </w:t>
      </w:r>
      <w:r w:rsidR="001654B1" w:rsidRPr="006F462C">
        <w:rPr>
          <w:rStyle w:val="LineNumber"/>
        </w:rPr>
        <w:t>either</w:t>
      </w:r>
      <w:r w:rsidRPr="006F462C">
        <w:rPr>
          <w:rStyle w:val="LineNumber"/>
        </w:rPr>
        <w:t xml:space="preserve"> case</w:t>
      </w:r>
      <w:r w:rsidR="000873D1" w:rsidRPr="006F462C">
        <w:rPr>
          <w:rStyle w:val="LineNumber"/>
        </w:rPr>
        <w:t xml:space="preserve">.  </w:t>
      </w:r>
      <w:proofErr w:type="gramStart"/>
      <w:r w:rsidR="00844D65" w:rsidRPr="006F462C">
        <w:rPr>
          <w:rStyle w:val="LineNumber"/>
        </w:rPr>
        <w:t>In Docket No.</w:t>
      </w:r>
      <w:proofErr w:type="gramEnd"/>
      <w:r w:rsidR="00844D65" w:rsidRPr="006F462C">
        <w:rPr>
          <w:rStyle w:val="LineNumber"/>
        </w:rPr>
        <w:t xml:space="preserve"> UE-120436, </w:t>
      </w:r>
      <w:r w:rsidR="00470449">
        <w:rPr>
          <w:rStyle w:val="LineNumber"/>
        </w:rPr>
        <w:t xml:space="preserve">while </w:t>
      </w:r>
      <w:r w:rsidR="006106D9">
        <w:rPr>
          <w:rStyle w:val="LineNumber"/>
        </w:rPr>
        <w:t>C</w:t>
      </w:r>
      <w:r w:rsidR="00844D65" w:rsidRPr="006F462C">
        <w:rPr>
          <w:rStyle w:val="LineNumber"/>
        </w:rPr>
        <w:t xml:space="preserve">ommission </w:t>
      </w:r>
      <w:r w:rsidR="00470449">
        <w:rPr>
          <w:rStyle w:val="LineNumber"/>
        </w:rPr>
        <w:t>s</w:t>
      </w:r>
      <w:r w:rsidR="00844D65" w:rsidRPr="006F462C">
        <w:rPr>
          <w:rStyle w:val="LineNumber"/>
        </w:rPr>
        <w:t xml:space="preserve">taff provided testimony supportive of the </w:t>
      </w:r>
      <w:r w:rsidR="00844D65" w:rsidRPr="006F462C">
        <w:rPr>
          <w:rStyle w:val="LineNumber"/>
        </w:rPr>
        <w:lastRenderedPageBreak/>
        <w:t>Company’s load facto</w:t>
      </w:r>
      <w:r w:rsidR="00A44347">
        <w:rPr>
          <w:rStyle w:val="LineNumber"/>
        </w:rPr>
        <w:t>r based peak credit methodology</w:t>
      </w:r>
      <w:r w:rsidR="00DF7D34">
        <w:rPr>
          <w:rStyle w:val="LineNumber"/>
        </w:rPr>
        <w:t>,</w:t>
      </w:r>
      <w:r w:rsidR="00844D65" w:rsidRPr="006F462C">
        <w:rPr>
          <w:rStyle w:val="LineNumber"/>
        </w:rPr>
        <w:t xml:space="preserve"> and no other parties addressed it</w:t>
      </w:r>
      <w:r w:rsidR="00470449">
        <w:rPr>
          <w:rStyle w:val="LineNumber"/>
        </w:rPr>
        <w:t>, the revision to the electric cost of service methodology was</w:t>
      </w:r>
      <w:r w:rsidR="00844D65" w:rsidRPr="006F462C">
        <w:rPr>
          <w:rStyle w:val="LineNumber"/>
        </w:rPr>
        <w:t xml:space="preserve"> not mentioned </w:t>
      </w:r>
      <w:r w:rsidR="00A44347">
        <w:rPr>
          <w:rStyle w:val="LineNumber"/>
        </w:rPr>
        <w:t xml:space="preserve">at all </w:t>
      </w:r>
      <w:r w:rsidR="00844D65" w:rsidRPr="006F462C">
        <w:rPr>
          <w:rStyle w:val="LineNumber"/>
        </w:rPr>
        <w:t xml:space="preserve">in the settlement </w:t>
      </w:r>
      <w:r w:rsidR="00A44347">
        <w:rPr>
          <w:rStyle w:val="LineNumber"/>
        </w:rPr>
        <w:t>or the Commission Order</w:t>
      </w:r>
      <w:r w:rsidR="00844D65" w:rsidRPr="006F462C">
        <w:rPr>
          <w:rStyle w:val="LineNumber"/>
        </w:rPr>
        <w:t>.</w:t>
      </w:r>
      <w:r w:rsidR="00844D65">
        <w:rPr>
          <w:rStyle w:val="LineNumber"/>
        </w:rPr>
        <w:t xml:space="preserve">  </w:t>
      </w:r>
      <w:r w:rsidR="000873D1" w:rsidRPr="000873D1">
        <w:rPr>
          <w:rStyle w:val="LineNumber"/>
        </w:rPr>
        <w:t>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In the Company’s cost of service studies</w:t>
      </w:r>
      <w:r w:rsidR="004639E6">
        <w:rPr>
          <w:rStyle w:val="LineNumber"/>
        </w:rPr>
        <w:t xml:space="preserve"> prior to 2010</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9"/>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 as discussed earlier.</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lastRenderedPageBreak/>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25132C">
        <w:rPr>
          <w:rStyle w:val="LineNumber"/>
        </w:rPr>
        <w:t>de</w:t>
      </w:r>
      <w:r w:rsidR="00DB0503">
        <w:rPr>
          <w:rStyle w:val="LineNumber"/>
        </w:rPr>
        <w:t>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w:t>
      </w:r>
      <w:r w:rsidR="0025132C">
        <w:rPr>
          <w:rStyle w:val="LineNumber"/>
        </w:rPr>
        <w:t>2</w:t>
      </w:r>
      <w:r w:rsidR="00524A02">
        <w:rPr>
          <w:rStyle w:val="LineNumber"/>
        </w:rPr>
        <w:t>.</w:t>
      </w:r>
      <w:r w:rsidR="0025132C">
        <w:rPr>
          <w:rStyle w:val="LineNumber"/>
        </w:rPr>
        <w:t>57</w:t>
      </w:r>
      <w:r w:rsidR="00524A02">
        <w:rPr>
          <w:rStyle w:val="LineNumber"/>
        </w:rPr>
        <w:t>% of total production and transmission costs (</w:t>
      </w:r>
      <w:r w:rsidR="0025132C">
        <w:rPr>
          <w:rStyle w:val="LineNumber"/>
        </w:rPr>
        <w:t>31</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w:t>
      </w:r>
      <w:r w:rsidR="0005169B">
        <w:rPr>
          <w:rStyle w:val="LineNumber"/>
        </w:rPr>
        <w:t>1</w:t>
      </w:r>
      <w:r w:rsidR="00F342ED">
        <w:rPr>
          <w:rStyle w:val="LineNumber"/>
        </w:rPr>
        <w:t>.</w:t>
      </w:r>
      <w:r w:rsidR="0005169B">
        <w:rPr>
          <w:rStyle w:val="LineNumber"/>
        </w:rPr>
        <w:t>27</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36404D">
        <w:rPr>
          <w:rStyle w:val="LineNumber"/>
        </w:rPr>
        <w:t xml:space="preserve">In this circumstance, costs </w:t>
      </w:r>
      <w:r w:rsidR="00877BFE">
        <w:rPr>
          <w:rStyle w:val="LineNumber"/>
        </w:rPr>
        <w:t>are</w:t>
      </w:r>
      <w:r w:rsidR="0036404D">
        <w:rPr>
          <w:rStyle w:val="LineNumber"/>
        </w:rPr>
        <w:t xml:space="preserve"> shifted away from the</w:t>
      </w:r>
      <w:r w:rsidR="007576DF">
        <w:rPr>
          <w:rStyle w:val="LineNumber"/>
        </w:rPr>
        <w:t xml:space="preserve"> low load factor</w:t>
      </w:r>
      <w:r w:rsidR="0036404D">
        <w:rPr>
          <w:rStyle w:val="LineNumber"/>
        </w:rPr>
        <w:t xml:space="preserve"> residential </w:t>
      </w:r>
      <w:r w:rsidR="007576DF">
        <w:rPr>
          <w:rStyle w:val="LineNumber"/>
        </w:rPr>
        <w:t>class</w:t>
      </w:r>
      <w:r w:rsidR="00DF7D34">
        <w:rPr>
          <w:rStyle w:val="LineNumber"/>
        </w:rPr>
        <w:t>,</w:t>
      </w:r>
      <w:r w:rsidR="0036404D">
        <w:rPr>
          <w:rStyle w:val="LineNumber"/>
        </w:rPr>
        <w:t xml:space="preserve"> and </w:t>
      </w:r>
      <w:r w:rsidR="00DF7D34">
        <w:rPr>
          <w:rStyle w:val="LineNumber"/>
        </w:rPr>
        <w:t>to</w:t>
      </w:r>
      <w:r w:rsidR="0036404D">
        <w:rPr>
          <w:rStyle w:val="LineNumber"/>
        </w:rPr>
        <w:t xml:space="preserve"> all the other classes, but the difference </w:t>
      </w:r>
      <w:r w:rsidR="00877BFE">
        <w:rPr>
          <w:rStyle w:val="LineNumber"/>
        </w:rPr>
        <w:t>is</w:t>
      </w:r>
      <w:r w:rsidR="007576DF">
        <w:rPr>
          <w:rStyle w:val="LineNumber"/>
        </w:rPr>
        <w:t xml:space="preserve"> very minor.</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B1462B" w:rsidRDefault="0045522A" w:rsidP="00B1462B">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r w:rsidR="00B1462B">
        <w:rPr>
          <w:rStyle w:val="LineNumber"/>
        </w:rPr>
        <w:br w:type="page"/>
      </w:r>
    </w:p>
    <w:p w:rsidR="0045522A" w:rsidRDefault="0045522A" w:rsidP="00B1462B">
      <w:pPr>
        <w:pStyle w:val="Caption"/>
        <w:keepNext/>
        <w:spacing w:before="0"/>
        <w:rPr>
          <w:sz w:val="24"/>
          <w:szCs w:val="24"/>
          <w:u w:val="single"/>
        </w:rPr>
      </w:pPr>
      <w:r w:rsidRPr="00C6470E">
        <w:rPr>
          <w:sz w:val="24"/>
          <w:szCs w:val="24"/>
          <w:u w:val="single"/>
        </w:rPr>
        <w:lastRenderedPageBreak/>
        <w:t>Table</w:t>
      </w:r>
      <w:r w:rsidR="004E6B01">
        <w:rPr>
          <w:sz w:val="24"/>
          <w:szCs w:val="24"/>
          <w:u w:val="single"/>
        </w:rPr>
        <w:t xml:space="preserve"> No.</w:t>
      </w:r>
      <w:r w:rsidRPr="00C6470E">
        <w:rPr>
          <w:sz w:val="24"/>
          <w:szCs w:val="24"/>
          <w:u w:val="single"/>
        </w:rPr>
        <w:t xml:space="preserve"> 1</w:t>
      </w:r>
    </w:p>
    <w:p w:rsidR="00B1462B" w:rsidRPr="00B1462B" w:rsidRDefault="00B1462B" w:rsidP="00B1462B">
      <w:pPr>
        <w:pStyle w:val="BodyText2"/>
        <w:tabs>
          <w:tab w:val="left" w:pos="1440"/>
        </w:tabs>
        <w:ind w:firstLine="720"/>
        <w:rPr>
          <w:rStyle w:val="LineNumber"/>
        </w:rPr>
      </w:pPr>
      <w:r w:rsidRPr="00B1462B">
        <w:rPr>
          <w:rStyle w:val="Lin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6.2pt;width:458.35pt;height:180.6pt;z-index:251660288;mso-position-horizontal-relative:text;mso-position-vertical-relative:text">
            <v:imagedata r:id="rId12" o:title=""/>
          </v:shape>
          <o:OLEObject Type="Embed" ProgID="Word.Document.12" ShapeID="_x0000_s1026" DrawAspect="Content" ObjectID="_1452592571" r:id="rId13">
            <o:FieldCodes>\s</o:FieldCodes>
          </o:OLEObject>
        </w:pi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126F50" w:rsidRDefault="0045522A" w:rsidP="00B1462B">
      <w:pPr>
        <w:pStyle w:val="BodyText2"/>
        <w:tabs>
          <w:tab w:val="left" w:pos="1440"/>
        </w:tabs>
        <w:ind w:firstLine="720"/>
        <w:rPr>
          <w:rStyle w:val="LineNumber"/>
        </w:rPr>
      </w:pPr>
      <w:r w:rsidRPr="00294885">
        <w:rPr>
          <w:rStyle w:val="LineNumber"/>
        </w:rPr>
        <w:t xml:space="preserve">As can be observed from the above table, </w:t>
      </w:r>
      <w:r w:rsidR="00DB1822" w:rsidRPr="00294885">
        <w:rPr>
          <w:rStyle w:val="LineNumber"/>
        </w:rPr>
        <w:t>R</w:t>
      </w:r>
      <w:r w:rsidRPr="00294885">
        <w:rPr>
          <w:rStyle w:val="LineNumber"/>
        </w:rPr>
        <w:t xml:space="preserve">esidential </w:t>
      </w:r>
      <w:r w:rsidR="004639E6" w:rsidRPr="00294885">
        <w:rPr>
          <w:rStyle w:val="LineNumber"/>
        </w:rPr>
        <w:t xml:space="preserve">service </w:t>
      </w:r>
      <w:r w:rsidR="00B34F1A">
        <w:rPr>
          <w:rStyle w:val="LineNumber"/>
        </w:rPr>
        <w:t>S</w:t>
      </w:r>
      <w:r w:rsidR="004639E6" w:rsidRPr="00294885">
        <w:rPr>
          <w:rStyle w:val="LineNumber"/>
        </w:rPr>
        <w:t xml:space="preserve">chedule 1 </w:t>
      </w:r>
      <w:r w:rsidRPr="00294885">
        <w:rPr>
          <w:rStyle w:val="LineNumber"/>
        </w:rPr>
        <w:t>show</w:t>
      </w:r>
      <w:r w:rsidR="004639E6" w:rsidRPr="00294885">
        <w:rPr>
          <w:rStyle w:val="LineNumber"/>
        </w:rPr>
        <w:t>s</w:t>
      </w:r>
      <w:r w:rsidRPr="00294885">
        <w:rPr>
          <w:rStyle w:val="LineNumber"/>
        </w:rPr>
        <w:t xml:space="preserve"> significant under-recov</w:t>
      </w:r>
      <w:r w:rsidR="00F66637" w:rsidRPr="00294885">
        <w:rPr>
          <w:rStyle w:val="LineNumber"/>
        </w:rPr>
        <w:t>ery of the costs to serve them</w:t>
      </w:r>
      <w:r w:rsidR="004639E6" w:rsidRPr="00294885">
        <w:rPr>
          <w:rStyle w:val="LineNumber"/>
        </w:rPr>
        <w:t xml:space="preserve">.  The Extra Large General service </w:t>
      </w:r>
      <w:r w:rsidR="00B34F1A">
        <w:rPr>
          <w:rStyle w:val="LineNumber"/>
        </w:rPr>
        <w:t>S</w:t>
      </w:r>
      <w:r w:rsidR="004639E6" w:rsidRPr="00294885">
        <w:rPr>
          <w:rStyle w:val="LineNumber"/>
        </w:rPr>
        <w:t xml:space="preserve">chedule 25, </w:t>
      </w:r>
      <w:r w:rsidR="00302DBC" w:rsidRPr="00294885">
        <w:rPr>
          <w:rStyle w:val="LineNumber"/>
        </w:rPr>
        <w:t xml:space="preserve">the </w:t>
      </w:r>
      <w:r w:rsidR="00DB1822" w:rsidRPr="00294885">
        <w:rPr>
          <w:rStyle w:val="LineNumber"/>
        </w:rPr>
        <w:t>P</w:t>
      </w:r>
      <w:r w:rsidR="00F66637" w:rsidRPr="00294885">
        <w:rPr>
          <w:rStyle w:val="LineNumber"/>
        </w:rPr>
        <w:t xml:space="preserve">umping service </w:t>
      </w:r>
      <w:r w:rsidR="002961F1" w:rsidRPr="00294885">
        <w:rPr>
          <w:rStyle w:val="LineNumber"/>
        </w:rPr>
        <w:t>schedule (31</w:t>
      </w:r>
      <w:r w:rsidR="00D957C1" w:rsidRPr="00294885">
        <w:rPr>
          <w:rStyle w:val="LineNumber"/>
        </w:rPr>
        <w:t>/32</w:t>
      </w:r>
      <w:r w:rsidR="002961F1" w:rsidRPr="00294885">
        <w:rPr>
          <w:rStyle w:val="LineNumber"/>
        </w:rPr>
        <w:t>)</w:t>
      </w:r>
      <w:r w:rsidR="004639E6" w:rsidRPr="00294885">
        <w:rPr>
          <w:rStyle w:val="LineNumber"/>
        </w:rPr>
        <w:t xml:space="preserve"> and the Lighting service schedules (41-49)</w:t>
      </w:r>
      <w:r w:rsidR="002961F1" w:rsidRPr="00294885">
        <w:rPr>
          <w:rStyle w:val="LineNumber"/>
        </w:rPr>
        <w:t xml:space="preserve"> </w:t>
      </w:r>
      <w:r w:rsidR="004639E6" w:rsidRPr="00294885">
        <w:rPr>
          <w:rStyle w:val="LineNumber"/>
        </w:rPr>
        <w:t xml:space="preserve">all </w:t>
      </w:r>
      <w:r w:rsidR="00F66637" w:rsidRPr="00294885">
        <w:rPr>
          <w:rStyle w:val="LineNumber"/>
        </w:rPr>
        <w:t>show moderate under-recovery</w:t>
      </w:r>
      <w:r w:rsidR="00302DBC" w:rsidRPr="00294885">
        <w:rPr>
          <w:rStyle w:val="LineNumber"/>
        </w:rPr>
        <w:t xml:space="preserve">. </w:t>
      </w:r>
      <w:r w:rsidR="002961F1" w:rsidRPr="00294885">
        <w:rPr>
          <w:rStyle w:val="LineNumber"/>
        </w:rPr>
        <w:t xml:space="preserve"> </w:t>
      </w:r>
      <w:r w:rsidR="00302DBC" w:rsidRPr="00294885">
        <w:rPr>
          <w:rStyle w:val="LineNumber"/>
        </w:rPr>
        <w:t>However,</w:t>
      </w:r>
      <w:r w:rsidRPr="00294885">
        <w:rPr>
          <w:rStyle w:val="LineNumber"/>
        </w:rPr>
        <w:t xml:space="preserve"> the </w:t>
      </w:r>
      <w:r w:rsidR="00DB1822" w:rsidRPr="00294885">
        <w:rPr>
          <w:rStyle w:val="LineNumber"/>
        </w:rPr>
        <w:t>G</w:t>
      </w:r>
      <w:r w:rsidRPr="00294885">
        <w:rPr>
          <w:rStyle w:val="LineNumber"/>
        </w:rPr>
        <w:t>eneral</w:t>
      </w:r>
      <w:r w:rsidR="00302DBC" w:rsidRPr="00294885">
        <w:rPr>
          <w:rStyle w:val="LineNumber"/>
        </w:rPr>
        <w:t xml:space="preserve"> and</w:t>
      </w:r>
      <w:r w:rsidRPr="00294885">
        <w:rPr>
          <w:rStyle w:val="LineNumber"/>
        </w:rPr>
        <w:t xml:space="preserve"> </w:t>
      </w:r>
      <w:r w:rsidR="00DB1822" w:rsidRPr="00294885">
        <w:rPr>
          <w:rStyle w:val="LineNumber"/>
        </w:rPr>
        <w:t>L</w:t>
      </w:r>
      <w:r w:rsidRPr="00294885">
        <w:rPr>
          <w:rStyle w:val="LineNumber"/>
        </w:rPr>
        <w:t xml:space="preserve">arge </w:t>
      </w:r>
      <w:r w:rsidR="00DB1822" w:rsidRPr="00294885">
        <w:rPr>
          <w:rStyle w:val="LineNumber"/>
        </w:rPr>
        <w:t>G</w:t>
      </w:r>
      <w:r w:rsidRPr="00294885">
        <w:rPr>
          <w:rStyle w:val="LineNumber"/>
        </w:rPr>
        <w:t xml:space="preserve">eneral </w:t>
      </w:r>
      <w:r w:rsidR="00302DBC" w:rsidRPr="00294885">
        <w:rPr>
          <w:rStyle w:val="LineNumber"/>
        </w:rPr>
        <w:t xml:space="preserve">service schedules </w:t>
      </w:r>
      <w:r w:rsidR="00F66637" w:rsidRPr="00294885">
        <w:rPr>
          <w:rStyle w:val="LineNumber"/>
        </w:rPr>
        <w:t>(11</w:t>
      </w:r>
      <w:r w:rsidR="00D957C1" w:rsidRPr="00294885">
        <w:rPr>
          <w:rStyle w:val="LineNumber"/>
        </w:rPr>
        <w:t>/12</w:t>
      </w:r>
      <w:r w:rsidR="00302DBC" w:rsidRPr="00294885">
        <w:rPr>
          <w:rStyle w:val="LineNumber"/>
        </w:rPr>
        <w:t xml:space="preserve"> and</w:t>
      </w:r>
      <w:r w:rsidR="00F66637" w:rsidRPr="00294885">
        <w:rPr>
          <w:rStyle w:val="LineNumber"/>
        </w:rPr>
        <w:t xml:space="preserve"> </w:t>
      </w:r>
      <w:r w:rsidRPr="00294885">
        <w:rPr>
          <w:rStyle w:val="LineNumber"/>
        </w:rPr>
        <w:t>21</w:t>
      </w:r>
      <w:r w:rsidR="00D957C1" w:rsidRPr="00294885">
        <w:rPr>
          <w:rStyle w:val="LineNumber"/>
        </w:rPr>
        <w:t>/22</w:t>
      </w:r>
      <w:r w:rsidRPr="00294885">
        <w:rPr>
          <w:rStyle w:val="LineNumber"/>
        </w:rPr>
        <w:t xml:space="preserve">) show </w:t>
      </w:r>
      <w:r w:rsidR="00302DBC" w:rsidRPr="00294885">
        <w:rPr>
          <w:rStyle w:val="LineNumber"/>
        </w:rPr>
        <w:t xml:space="preserve">significant </w:t>
      </w:r>
      <w:r w:rsidRPr="00294885">
        <w:rPr>
          <w:rStyle w:val="LineNumber"/>
        </w:rPr>
        <w:t>over-recovery of the costs to serve</w:t>
      </w:r>
      <w:r w:rsidR="00294885">
        <w:rPr>
          <w:rStyle w:val="LineNumber"/>
        </w:rPr>
        <w:t xml:space="preserve"> them</w:t>
      </w:r>
      <w:r w:rsidRPr="00294885">
        <w:rPr>
          <w:rStyle w:val="LineNumber"/>
        </w:rPr>
        <w:t>.</w:t>
      </w:r>
      <w:r w:rsidR="00F342ED" w:rsidRPr="00294885">
        <w:rPr>
          <w:rStyle w:val="LineNumber"/>
        </w:rPr>
        <w:t xml:space="preserve"> </w:t>
      </w:r>
      <w:r w:rsidRPr="00294885">
        <w:rPr>
          <w:rStyle w:val="LineNumber"/>
        </w:rPr>
        <w:t xml:space="preserve"> </w:t>
      </w:r>
      <w:r w:rsidR="009D5685" w:rsidRPr="00294885">
        <w:rPr>
          <w:rStyle w:val="LineNumber"/>
        </w:rPr>
        <w:t xml:space="preserve">The summary results of this study were provided to Mr. </w:t>
      </w:r>
      <w:r w:rsidR="00CB130C" w:rsidRPr="00294885">
        <w:rPr>
          <w:rStyle w:val="LineNumber"/>
        </w:rPr>
        <w:t>Ehrbar</w:t>
      </w:r>
      <w:r w:rsidR="009D5685" w:rsidRPr="00294885">
        <w:rPr>
          <w:rStyle w:val="LineNumber"/>
        </w:rPr>
        <w:t xml:space="preserve"> </w:t>
      </w:r>
      <w:r w:rsidR="00877BFE">
        <w:rPr>
          <w:rStyle w:val="LineNumber"/>
        </w:rPr>
        <w:t>for consideration in the</w:t>
      </w:r>
      <w:r w:rsidR="009D5685" w:rsidRPr="00294885">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94" w:rsidRDefault="00667494">
      <w:r>
        <w:separator/>
      </w:r>
    </w:p>
  </w:endnote>
  <w:endnote w:type="continuationSeparator" w:id="0">
    <w:p w:rsidR="00667494" w:rsidRDefault="00667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CF4DCE">
    <w:pPr>
      <w:pStyle w:val="Footer"/>
      <w:tabs>
        <w:tab w:val="clear" w:pos="4320"/>
        <w:tab w:val="clear" w:pos="8640"/>
        <w:tab w:val="left" w:pos="180"/>
        <w:tab w:val="right" w:pos="9360"/>
      </w:tabs>
    </w:pPr>
    <w:r w:rsidRPr="00494B5B">
      <w:t>Direct Testimony of Tara L. Knox</w:t>
    </w:r>
  </w:p>
  <w:p w:rsidR="00667494" w:rsidRPr="00494B5B" w:rsidRDefault="00667494"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667494" w:rsidRPr="00494B5B" w:rsidRDefault="00667494" w:rsidP="00052930">
    <w:pPr>
      <w:pStyle w:val="Footer"/>
      <w:tabs>
        <w:tab w:val="clear" w:pos="4320"/>
        <w:tab w:val="clear" w:pos="8640"/>
        <w:tab w:val="left" w:pos="180"/>
        <w:tab w:val="right" w:pos="8910"/>
      </w:tabs>
      <w:rPr>
        <w:lang w:val="fr-FR"/>
      </w:rPr>
    </w:pPr>
    <w:r w:rsidRPr="00494B5B">
      <w:rPr>
        <w:lang w:val="fr-FR"/>
      </w:rPr>
      <w:t xml:space="preserve">Docket No. </w:t>
    </w:r>
    <w:r w:rsidRPr="00494B5B">
      <w:t xml:space="preserve">UE-14_____ </w:t>
    </w:r>
    <w:r w:rsidR="00052930">
      <w:tab/>
    </w:r>
    <w:r w:rsidR="00052930" w:rsidRPr="00494B5B">
      <w:rPr>
        <w:lang w:val="fr-FR"/>
      </w:rPr>
      <w:t xml:space="preserve">Page </w:t>
    </w:r>
    <w:r w:rsidR="004571AC" w:rsidRPr="00494B5B">
      <w:rPr>
        <w:rStyle w:val="PageNumber"/>
      </w:rPr>
      <w:fldChar w:fldCharType="begin"/>
    </w:r>
    <w:r w:rsidR="00052930" w:rsidRPr="00494B5B">
      <w:rPr>
        <w:rStyle w:val="PageNumber"/>
        <w:lang w:val="fr-FR"/>
      </w:rPr>
      <w:instrText xml:space="preserve"> PAGE </w:instrText>
    </w:r>
    <w:r w:rsidR="004571AC" w:rsidRPr="00494B5B">
      <w:rPr>
        <w:rStyle w:val="PageNumber"/>
      </w:rPr>
      <w:fldChar w:fldCharType="separate"/>
    </w:r>
    <w:r w:rsidR="00B1462B">
      <w:rPr>
        <w:rStyle w:val="PageNumber"/>
        <w:noProof/>
        <w:lang w:val="fr-FR"/>
      </w:rPr>
      <w:t>15</w:t>
    </w:r>
    <w:r w:rsidR="004571AC" w:rsidRPr="00494B5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Default="0066749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94" w:rsidRDefault="00667494">
      <w:r>
        <w:separator/>
      </w:r>
    </w:p>
  </w:footnote>
  <w:footnote w:type="continuationSeparator" w:id="0">
    <w:p w:rsidR="00667494" w:rsidRDefault="00667494">
      <w:r>
        <w:continuationSeparator/>
      </w:r>
    </w:p>
  </w:footnote>
  <w:footnote w:id="1">
    <w:p w:rsidR="00667494" w:rsidRDefault="00667494" w:rsidP="00744FF5">
      <w:pPr>
        <w:pStyle w:val="FootnoteText"/>
        <w:jc w:val="both"/>
      </w:pPr>
      <w:r>
        <w:rPr>
          <w:rStyle w:val="FootnoteReference"/>
        </w:rPr>
        <w:footnoteRef/>
      </w:r>
      <w:r>
        <w:t xml:space="preserve">  The heating season includes the months of January through June and October through December.</w:t>
      </w:r>
    </w:p>
  </w:footnote>
  <w:footnote w:id="2">
    <w:p w:rsidR="00667494" w:rsidRDefault="00667494" w:rsidP="00F8402F">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667494" w:rsidRDefault="00667494" w:rsidP="00F8402F">
      <w:pPr>
        <w:pStyle w:val="FootnoteText"/>
        <w:jc w:val="both"/>
      </w:pPr>
      <w:r>
        <w:rPr>
          <w:rStyle w:val="FootnoteReference"/>
        </w:rPr>
        <w:footnoteRef/>
      </w:r>
      <w:r>
        <w:t xml:space="preserve"> City Business and Occupation Taxes (Schedule 58) and Energy Recovery Mechanism (Schedule 93) revenues and expenses are eliminated in separate Commission Basis adjustments.</w:t>
      </w:r>
    </w:p>
  </w:footnote>
  <w:footnote w:id="4">
    <w:p w:rsidR="00667494" w:rsidRDefault="00667494">
      <w:pPr>
        <w:pStyle w:val="FootnoteText"/>
      </w:pPr>
      <w:r>
        <w:rPr>
          <w:rStyle w:val="FootnoteReference"/>
        </w:rPr>
        <w:footnoteRef/>
      </w:r>
      <w:r>
        <w:t xml:space="preserve"> Net revenue refers to the change in revenue less the change in expense associated with the eliminated adder schedule revenue.</w:t>
      </w:r>
    </w:p>
  </w:footnote>
  <w:footnote w:id="5">
    <w:p w:rsidR="00667494" w:rsidRDefault="00667494" w:rsidP="00F8402F">
      <w:pPr>
        <w:pStyle w:val="FootnoteText"/>
        <w:jc w:val="both"/>
      </w:pPr>
      <w:r>
        <w:rPr>
          <w:rStyle w:val="FootnoteReference"/>
        </w:rPr>
        <w:footnoteRef/>
      </w:r>
      <w:r>
        <w:t xml:space="preserve"> Ms. Andrews explains the rate base adjustments shown in this column, which are unrelated to this revenue normalization adjustment.</w:t>
      </w:r>
    </w:p>
  </w:footnote>
  <w:footnote w:id="6">
    <w:p w:rsidR="00667494" w:rsidRDefault="00667494" w:rsidP="001265AA">
      <w:pPr>
        <w:pStyle w:val="FootnoteText"/>
      </w:pPr>
      <w:r>
        <w:rPr>
          <w:rStyle w:val="FootnoteReference"/>
        </w:rPr>
        <w:footnoteRef/>
      </w:r>
      <w:r>
        <w:t xml:space="preserve">  Docket No. UE-120436 base rates effective 1/1/2014 – 12/31/2014.</w:t>
      </w:r>
    </w:p>
  </w:footnote>
  <w:footnote w:id="7">
    <w:p w:rsidR="00667494" w:rsidRDefault="00667494" w:rsidP="00F8402F">
      <w:pPr>
        <w:pStyle w:val="FootnoteText"/>
        <w:jc w:val="both"/>
      </w:pPr>
      <w:r>
        <w:rPr>
          <w:rStyle w:val="FootnoteReference"/>
        </w:rPr>
        <w:footnoteRef/>
      </w:r>
      <w:r>
        <w:t xml:space="preserve"> The proposed revenue increase in this case is based on the Attrition Study. However, components from the Pro Forma Cross Check Study analysis are used for both the Retail Revenue Credit rate</w:t>
      </w:r>
      <w:r w:rsidRPr="00C05977">
        <w:t xml:space="preserve"> </w:t>
      </w:r>
      <w:r>
        <w:t>and the Cost of Service study in order to have the level of detail necessary to properly functionalize the costs.  The Pro Forma Cross Check Study analysis includes an adjustment that brings total expenses and rate base into agreement with the attrition study.</w:t>
      </w:r>
    </w:p>
  </w:footnote>
  <w:footnote w:id="8">
    <w:p w:rsidR="00667494" w:rsidRPr="00224D77" w:rsidRDefault="00667494"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9">
    <w:p w:rsidR="00667494" w:rsidRDefault="00667494">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052930">
    <w:pPr>
      <w:pStyle w:val="Header"/>
      <w:tabs>
        <w:tab w:val="clear" w:pos="8640"/>
        <w:tab w:val="right" w:pos="8910"/>
      </w:tabs>
      <w:jc w:val="right"/>
    </w:pPr>
    <w:r w:rsidRPr="00494B5B">
      <w:t>Exhibit No. __</w:t>
    </w:r>
    <w:proofErr w:type="gramStart"/>
    <w:r w:rsidRPr="00494B5B">
      <w:t>_(</w:t>
    </w:r>
    <w:proofErr w:type="gramEnd"/>
    <w:r w:rsidRPr="00494B5B">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052930">
    <w:pPr>
      <w:pStyle w:val="Header"/>
      <w:tabs>
        <w:tab w:val="clear" w:pos="8640"/>
        <w:tab w:val="right" w:pos="9000"/>
      </w:tabs>
      <w:jc w:val="right"/>
    </w:pPr>
    <w:r w:rsidRPr="00494B5B">
      <w:t>Exhibit No. __</w:t>
    </w:r>
    <w:proofErr w:type="gramStart"/>
    <w:r w:rsidRPr="00494B5B">
      <w:t>_(</w:t>
    </w:r>
    <w:proofErr w:type="gramEnd"/>
    <w:r w:rsidRPr="00494B5B">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rsids>
    <w:rsidRoot w:val="00A963D1"/>
    <w:rsid w:val="00003608"/>
    <w:rsid w:val="00003D39"/>
    <w:rsid w:val="00004B79"/>
    <w:rsid w:val="00005260"/>
    <w:rsid w:val="00007AC6"/>
    <w:rsid w:val="00016C3C"/>
    <w:rsid w:val="00021F26"/>
    <w:rsid w:val="00025C20"/>
    <w:rsid w:val="00030378"/>
    <w:rsid w:val="000363D3"/>
    <w:rsid w:val="00041899"/>
    <w:rsid w:val="0005169B"/>
    <w:rsid w:val="00052930"/>
    <w:rsid w:val="00054D31"/>
    <w:rsid w:val="00054EB7"/>
    <w:rsid w:val="000552DD"/>
    <w:rsid w:val="00057770"/>
    <w:rsid w:val="000602B7"/>
    <w:rsid w:val="00061EEC"/>
    <w:rsid w:val="00064D24"/>
    <w:rsid w:val="00065A7E"/>
    <w:rsid w:val="000664A2"/>
    <w:rsid w:val="00074EFB"/>
    <w:rsid w:val="000751D5"/>
    <w:rsid w:val="000873D1"/>
    <w:rsid w:val="000A28CF"/>
    <w:rsid w:val="000A2E1F"/>
    <w:rsid w:val="000A3F07"/>
    <w:rsid w:val="000B12B7"/>
    <w:rsid w:val="000B4D33"/>
    <w:rsid w:val="000C0E1B"/>
    <w:rsid w:val="000C1BCD"/>
    <w:rsid w:val="000C5D20"/>
    <w:rsid w:val="000D5190"/>
    <w:rsid w:val="000E1B5B"/>
    <w:rsid w:val="000E5ECE"/>
    <w:rsid w:val="000E6848"/>
    <w:rsid w:val="000F27F5"/>
    <w:rsid w:val="000F35C0"/>
    <w:rsid w:val="000F3FE6"/>
    <w:rsid w:val="000F54DB"/>
    <w:rsid w:val="001012CB"/>
    <w:rsid w:val="00101864"/>
    <w:rsid w:val="00101957"/>
    <w:rsid w:val="00107FCC"/>
    <w:rsid w:val="00112408"/>
    <w:rsid w:val="001141E4"/>
    <w:rsid w:val="0011588B"/>
    <w:rsid w:val="001265AA"/>
    <w:rsid w:val="00126F50"/>
    <w:rsid w:val="0013314C"/>
    <w:rsid w:val="00136718"/>
    <w:rsid w:val="00140BF5"/>
    <w:rsid w:val="001446B7"/>
    <w:rsid w:val="0014724A"/>
    <w:rsid w:val="001528FE"/>
    <w:rsid w:val="001626DA"/>
    <w:rsid w:val="00164039"/>
    <w:rsid w:val="00164821"/>
    <w:rsid w:val="00164E61"/>
    <w:rsid w:val="001654B1"/>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F51F9"/>
    <w:rsid w:val="00201036"/>
    <w:rsid w:val="00210EDE"/>
    <w:rsid w:val="00220383"/>
    <w:rsid w:val="00224D77"/>
    <w:rsid w:val="00230390"/>
    <w:rsid w:val="00230C94"/>
    <w:rsid w:val="0023153C"/>
    <w:rsid w:val="00231706"/>
    <w:rsid w:val="002348E1"/>
    <w:rsid w:val="0024465B"/>
    <w:rsid w:val="00246718"/>
    <w:rsid w:val="0025132C"/>
    <w:rsid w:val="002538D0"/>
    <w:rsid w:val="00253D0F"/>
    <w:rsid w:val="00256585"/>
    <w:rsid w:val="00256A5E"/>
    <w:rsid w:val="00263663"/>
    <w:rsid w:val="00267E9E"/>
    <w:rsid w:val="002722A4"/>
    <w:rsid w:val="00273DAA"/>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4107"/>
    <w:rsid w:val="002E5714"/>
    <w:rsid w:val="002E6A52"/>
    <w:rsid w:val="002E719E"/>
    <w:rsid w:val="002E76C8"/>
    <w:rsid w:val="002F18AE"/>
    <w:rsid w:val="002F31B8"/>
    <w:rsid w:val="002F4CAE"/>
    <w:rsid w:val="002F5594"/>
    <w:rsid w:val="002F7FD2"/>
    <w:rsid w:val="003016CC"/>
    <w:rsid w:val="00301C95"/>
    <w:rsid w:val="00302DBC"/>
    <w:rsid w:val="00303F20"/>
    <w:rsid w:val="00313777"/>
    <w:rsid w:val="0031529C"/>
    <w:rsid w:val="00323C07"/>
    <w:rsid w:val="003256AE"/>
    <w:rsid w:val="00330168"/>
    <w:rsid w:val="003404F1"/>
    <w:rsid w:val="0034093F"/>
    <w:rsid w:val="00344EEC"/>
    <w:rsid w:val="00345A9F"/>
    <w:rsid w:val="00352530"/>
    <w:rsid w:val="00356F57"/>
    <w:rsid w:val="0036404D"/>
    <w:rsid w:val="00372320"/>
    <w:rsid w:val="0037503C"/>
    <w:rsid w:val="0038461F"/>
    <w:rsid w:val="00386544"/>
    <w:rsid w:val="0039490D"/>
    <w:rsid w:val="003A52AC"/>
    <w:rsid w:val="003A745F"/>
    <w:rsid w:val="003A7584"/>
    <w:rsid w:val="003B2611"/>
    <w:rsid w:val="003B7BFA"/>
    <w:rsid w:val="003C29E6"/>
    <w:rsid w:val="003D5F0F"/>
    <w:rsid w:val="003E4765"/>
    <w:rsid w:val="003F764A"/>
    <w:rsid w:val="004016FD"/>
    <w:rsid w:val="00402951"/>
    <w:rsid w:val="00414626"/>
    <w:rsid w:val="00414802"/>
    <w:rsid w:val="004164A8"/>
    <w:rsid w:val="00420C74"/>
    <w:rsid w:val="00423A78"/>
    <w:rsid w:val="00424118"/>
    <w:rsid w:val="00431EF0"/>
    <w:rsid w:val="00434658"/>
    <w:rsid w:val="00443BBA"/>
    <w:rsid w:val="0045077A"/>
    <w:rsid w:val="00450839"/>
    <w:rsid w:val="00451CF7"/>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4180"/>
    <w:rsid w:val="004D6200"/>
    <w:rsid w:val="004E2235"/>
    <w:rsid w:val="004E6B01"/>
    <w:rsid w:val="004F291C"/>
    <w:rsid w:val="004F51D7"/>
    <w:rsid w:val="00500B60"/>
    <w:rsid w:val="00503047"/>
    <w:rsid w:val="00504ED4"/>
    <w:rsid w:val="0050645E"/>
    <w:rsid w:val="00512BE7"/>
    <w:rsid w:val="005141C3"/>
    <w:rsid w:val="00515C2C"/>
    <w:rsid w:val="00515CAC"/>
    <w:rsid w:val="00517648"/>
    <w:rsid w:val="00524A02"/>
    <w:rsid w:val="00525078"/>
    <w:rsid w:val="00526DC1"/>
    <w:rsid w:val="00541A1B"/>
    <w:rsid w:val="00551FB7"/>
    <w:rsid w:val="00554F12"/>
    <w:rsid w:val="00556F36"/>
    <w:rsid w:val="00562E32"/>
    <w:rsid w:val="0056302E"/>
    <w:rsid w:val="005652DF"/>
    <w:rsid w:val="00576D0D"/>
    <w:rsid w:val="00581E5D"/>
    <w:rsid w:val="0058253D"/>
    <w:rsid w:val="005831AC"/>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713B"/>
    <w:rsid w:val="005F7777"/>
    <w:rsid w:val="006055D9"/>
    <w:rsid w:val="006065C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9231A"/>
    <w:rsid w:val="006941D8"/>
    <w:rsid w:val="00695E77"/>
    <w:rsid w:val="00697002"/>
    <w:rsid w:val="006A43E2"/>
    <w:rsid w:val="006C0634"/>
    <w:rsid w:val="006C1FC2"/>
    <w:rsid w:val="006C3764"/>
    <w:rsid w:val="006C43C5"/>
    <w:rsid w:val="006C4990"/>
    <w:rsid w:val="006C6F68"/>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76DF"/>
    <w:rsid w:val="00761476"/>
    <w:rsid w:val="007761F1"/>
    <w:rsid w:val="00777333"/>
    <w:rsid w:val="007826F1"/>
    <w:rsid w:val="007904A5"/>
    <w:rsid w:val="00790E2C"/>
    <w:rsid w:val="007941A2"/>
    <w:rsid w:val="007A5120"/>
    <w:rsid w:val="007B02B3"/>
    <w:rsid w:val="007B1338"/>
    <w:rsid w:val="007B4178"/>
    <w:rsid w:val="007C05B4"/>
    <w:rsid w:val="007C1590"/>
    <w:rsid w:val="007C3C6F"/>
    <w:rsid w:val="007D3A3D"/>
    <w:rsid w:val="007D6918"/>
    <w:rsid w:val="007E2589"/>
    <w:rsid w:val="007E28E2"/>
    <w:rsid w:val="007F57E8"/>
    <w:rsid w:val="00811147"/>
    <w:rsid w:val="00814E3D"/>
    <w:rsid w:val="00815443"/>
    <w:rsid w:val="00817553"/>
    <w:rsid w:val="00821238"/>
    <w:rsid w:val="00825FB0"/>
    <w:rsid w:val="0083037A"/>
    <w:rsid w:val="00830B25"/>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3B86"/>
    <w:rsid w:val="009277E0"/>
    <w:rsid w:val="009315D3"/>
    <w:rsid w:val="009321DB"/>
    <w:rsid w:val="009361E6"/>
    <w:rsid w:val="00946713"/>
    <w:rsid w:val="009545F3"/>
    <w:rsid w:val="0096174A"/>
    <w:rsid w:val="00964FF3"/>
    <w:rsid w:val="009677C3"/>
    <w:rsid w:val="009707CB"/>
    <w:rsid w:val="009722A9"/>
    <w:rsid w:val="0097488A"/>
    <w:rsid w:val="00974C0B"/>
    <w:rsid w:val="00975CA8"/>
    <w:rsid w:val="00977492"/>
    <w:rsid w:val="00977FA5"/>
    <w:rsid w:val="0098111F"/>
    <w:rsid w:val="009862C0"/>
    <w:rsid w:val="00987DFE"/>
    <w:rsid w:val="00987F8B"/>
    <w:rsid w:val="009A3B54"/>
    <w:rsid w:val="009A3CEA"/>
    <w:rsid w:val="009A4E51"/>
    <w:rsid w:val="009B206B"/>
    <w:rsid w:val="009B4C8F"/>
    <w:rsid w:val="009C2C78"/>
    <w:rsid w:val="009C40E1"/>
    <w:rsid w:val="009C7AB0"/>
    <w:rsid w:val="009D3182"/>
    <w:rsid w:val="009D51C8"/>
    <w:rsid w:val="009D5685"/>
    <w:rsid w:val="009E559A"/>
    <w:rsid w:val="009E6DBD"/>
    <w:rsid w:val="009F7682"/>
    <w:rsid w:val="00A006CA"/>
    <w:rsid w:val="00A1797B"/>
    <w:rsid w:val="00A209B6"/>
    <w:rsid w:val="00A2299C"/>
    <w:rsid w:val="00A24AD7"/>
    <w:rsid w:val="00A26366"/>
    <w:rsid w:val="00A3051B"/>
    <w:rsid w:val="00A314D8"/>
    <w:rsid w:val="00A31C2B"/>
    <w:rsid w:val="00A353B0"/>
    <w:rsid w:val="00A43B86"/>
    <w:rsid w:val="00A44347"/>
    <w:rsid w:val="00A455AC"/>
    <w:rsid w:val="00A4672E"/>
    <w:rsid w:val="00A50051"/>
    <w:rsid w:val="00A56572"/>
    <w:rsid w:val="00A64E5D"/>
    <w:rsid w:val="00A7194D"/>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65CE"/>
    <w:rsid w:val="00AE0314"/>
    <w:rsid w:val="00AE5AD6"/>
    <w:rsid w:val="00AE6B8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425E"/>
    <w:rsid w:val="00B44B6B"/>
    <w:rsid w:val="00B5488E"/>
    <w:rsid w:val="00B5613C"/>
    <w:rsid w:val="00B706EF"/>
    <w:rsid w:val="00B71976"/>
    <w:rsid w:val="00B72008"/>
    <w:rsid w:val="00B7268A"/>
    <w:rsid w:val="00B72FC9"/>
    <w:rsid w:val="00B83B95"/>
    <w:rsid w:val="00B973B2"/>
    <w:rsid w:val="00BA18B1"/>
    <w:rsid w:val="00BA215B"/>
    <w:rsid w:val="00BA33B1"/>
    <w:rsid w:val="00BA4ABD"/>
    <w:rsid w:val="00BB1D94"/>
    <w:rsid w:val="00BB3FC3"/>
    <w:rsid w:val="00BB5EC7"/>
    <w:rsid w:val="00BB6D78"/>
    <w:rsid w:val="00BC157D"/>
    <w:rsid w:val="00BC6F27"/>
    <w:rsid w:val="00BD434A"/>
    <w:rsid w:val="00BE62B7"/>
    <w:rsid w:val="00BE672F"/>
    <w:rsid w:val="00BE7727"/>
    <w:rsid w:val="00BF07C7"/>
    <w:rsid w:val="00BF74D4"/>
    <w:rsid w:val="00C007EE"/>
    <w:rsid w:val="00C05977"/>
    <w:rsid w:val="00C16B2E"/>
    <w:rsid w:val="00C17EA2"/>
    <w:rsid w:val="00C20E12"/>
    <w:rsid w:val="00C25209"/>
    <w:rsid w:val="00C31184"/>
    <w:rsid w:val="00C32372"/>
    <w:rsid w:val="00C35272"/>
    <w:rsid w:val="00C43489"/>
    <w:rsid w:val="00C43F61"/>
    <w:rsid w:val="00C450C9"/>
    <w:rsid w:val="00C53160"/>
    <w:rsid w:val="00C60D25"/>
    <w:rsid w:val="00C62A7C"/>
    <w:rsid w:val="00C6470E"/>
    <w:rsid w:val="00C64FD2"/>
    <w:rsid w:val="00C664FA"/>
    <w:rsid w:val="00C66D83"/>
    <w:rsid w:val="00C66FD9"/>
    <w:rsid w:val="00C70C02"/>
    <w:rsid w:val="00C836A6"/>
    <w:rsid w:val="00C8622D"/>
    <w:rsid w:val="00C93020"/>
    <w:rsid w:val="00CA0B34"/>
    <w:rsid w:val="00CA6D21"/>
    <w:rsid w:val="00CB130C"/>
    <w:rsid w:val="00CC0788"/>
    <w:rsid w:val="00CC2CB8"/>
    <w:rsid w:val="00CC5F19"/>
    <w:rsid w:val="00CC6847"/>
    <w:rsid w:val="00CC6E54"/>
    <w:rsid w:val="00CD5934"/>
    <w:rsid w:val="00CE3CF8"/>
    <w:rsid w:val="00CE43E9"/>
    <w:rsid w:val="00CF4DCE"/>
    <w:rsid w:val="00CF548C"/>
    <w:rsid w:val="00CF5ECA"/>
    <w:rsid w:val="00CF69F1"/>
    <w:rsid w:val="00CF7ADA"/>
    <w:rsid w:val="00CF7D9C"/>
    <w:rsid w:val="00D01338"/>
    <w:rsid w:val="00D02E63"/>
    <w:rsid w:val="00D050B1"/>
    <w:rsid w:val="00D06102"/>
    <w:rsid w:val="00D0767D"/>
    <w:rsid w:val="00D1169F"/>
    <w:rsid w:val="00D22322"/>
    <w:rsid w:val="00D24662"/>
    <w:rsid w:val="00D260A4"/>
    <w:rsid w:val="00D33147"/>
    <w:rsid w:val="00D34D9E"/>
    <w:rsid w:val="00D36E2E"/>
    <w:rsid w:val="00D40065"/>
    <w:rsid w:val="00D43ABB"/>
    <w:rsid w:val="00D44C7E"/>
    <w:rsid w:val="00D476D3"/>
    <w:rsid w:val="00D50AA4"/>
    <w:rsid w:val="00D539EE"/>
    <w:rsid w:val="00D55BC6"/>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B0503"/>
    <w:rsid w:val="00DB1822"/>
    <w:rsid w:val="00DB40FA"/>
    <w:rsid w:val="00DD3031"/>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7BB"/>
    <w:rsid w:val="00E33030"/>
    <w:rsid w:val="00E35467"/>
    <w:rsid w:val="00E37C4B"/>
    <w:rsid w:val="00E40626"/>
    <w:rsid w:val="00E46203"/>
    <w:rsid w:val="00E51012"/>
    <w:rsid w:val="00E53A60"/>
    <w:rsid w:val="00E54406"/>
    <w:rsid w:val="00E575D0"/>
    <w:rsid w:val="00E6206B"/>
    <w:rsid w:val="00E660F2"/>
    <w:rsid w:val="00E66270"/>
    <w:rsid w:val="00E71E23"/>
    <w:rsid w:val="00E764B4"/>
    <w:rsid w:val="00E809DF"/>
    <w:rsid w:val="00E80FF3"/>
    <w:rsid w:val="00E8676D"/>
    <w:rsid w:val="00E920E2"/>
    <w:rsid w:val="00E949C5"/>
    <w:rsid w:val="00EA57EB"/>
    <w:rsid w:val="00EA5986"/>
    <w:rsid w:val="00EB20A3"/>
    <w:rsid w:val="00EC349D"/>
    <w:rsid w:val="00ED15AA"/>
    <w:rsid w:val="00ED3CA4"/>
    <w:rsid w:val="00ED7374"/>
    <w:rsid w:val="00ED7C1B"/>
    <w:rsid w:val="00EE773C"/>
    <w:rsid w:val="00EF6834"/>
    <w:rsid w:val="00EF7B81"/>
    <w:rsid w:val="00F0570C"/>
    <w:rsid w:val="00F1071D"/>
    <w:rsid w:val="00F1259E"/>
    <w:rsid w:val="00F17266"/>
    <w:rsid w:val="00F26736"/>
    <w:rsid w:val="00F26CBE"/>
    <w:rsid w:val="00F342ED"/>
    <w:rsid w:val="00F35203"/>
    <w:rsid w:val="00F40206"/>
    <w:rsid w:val="00F4261B"/>
    <w:rsid w:val="00F4307F"/>
    <w:rsid w:val="00F47CF2"/>
    <w:rsid w:val="00F55870"/>
    <w:rsid w:val="00F562A8"/>
    <w:rsid w:val="00F56BB5"/>
    <w:rsid w:val="00F62F08"/>
    <w:rsid w:val="00F65F05"/>
    <w:rsid w:val="00F66637"/>
    <w:rsid w:val="00F71B81"/>
    <w:rsid w:val="00F8402F"/>
    <w:rsid w:val="00F85B01"/>
    <w:rsid w:val="00F8682D"/>
    <w:rsid w:val="00F91DC4"/>
    <w:rsid w:val="00FA1961"/>
    <w:rsid w:val="00FA4068"/>
    <w:rsid w:val="00FB1355"/>
    <w:rsid w:val="00FB1467"/>
    <w:rsid w:val="00FB1926"/>
    <w:rsid w:val="00FB77A4"/>
    <w:rsid w:val="00FC6896"/>
    <w:rsid w:val="00FD09D4"/>
    <w:rsid w:val="00FD2B04"/>
    <w:rsid w:val="00FD2DA3"/>
    <w:rsid w:val="00FD6013"/>
    <w:rsid w:val="00FE0042"/>
    <w:rsid w:val="00FE0403"/>
    <w:rsid w:val="00FE4443"/>
    <w:rsid w:val="00FF091E"/>
    <w:rsid w:val="00FF1DC3"/>
    <w:rsid w:val="00FF5330"/>
    <w:rsid w:val="00FF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ockticker"/>
  <w:smartTagType w:namespaceuri="urn:schemas:contacts" w:name="titl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FE395B-38DE-4B36-99BB-3B45005E3197}"/>
</file>

<file path=customXml/itemProps2.xml><?xml version="1.0" encoding="utf-8"?>
<ds:datastoreItem xmlns:ds="http://schemas.openxmlformats.org/officeDocument/2006/customXml" ds:itemID="{80435238-1D24-4565-8B9B-B57B8CE404A6}"/>
</file>

<file path=customXml/itemProps3.xml><?xml version="1.0" encoding="utf-8"?>
<ds:datastoreItem xmlns:ds="http://schemas.openxmlformats.org/officeDocument/2006/customXml" ds:itemID="{6905FA16-0170-4491-B4EC-FD7E5705B924}"/>
</file>

<file path=customXml/itemProps4.xml><?xml version="1.0" encoding="utf-8"?>
<ds:datastoreItem xmlns:ds="http://schemas.openxmlformats.org/officeDocument/2006/customXml" ds:itemID="{8B26A972-0331-48FC-9941-910DB61B7C8D}"/>
</file>

<file path=customXml/itemProps5.xml><?xml version="1.0" encoding="utf-8"?>
<ds:datastoreItem xmlns:ds="http://schemas.openxmlformats.org/officeDocument/2006/customXml" ds:itemID="{6720D901-6BAC-4872-8BA6-9E20A64C07EE}"/>
</file>

<file path=docProps/app.xml><?xml version="1.0" encoding="utf-8"?>
<Properties xmlns="http://schemas.openxmlformats.org/officeDocument/2006/extended-properties" xmlns:vt="http://schemas.openxmlformats.org/officeDocument/2006/docPropsVTypes">
  <Template>Normal.dotm</Template>
  <TotalTime>555</TotalTime>
  <Pages>17</Pages>
  <Words>3841</Words>
  <Characters>20784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19</cp:revision>
  <cp:lastPrinted>2014-01-29T22:04:00Z</cp:lastPrinted>
  <dcterms:created xsi:type="dcterms:W3CDTF">2014-01-28T18:28:00Z</dcterms:created>
  <dcterms:modified xsi:type="dcterms:W3CDTF">2014-01-30T21:10:00Z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