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0BC2C" w14:textId="77777777" w:rsidR="00723863" w:rsidRPr="009336A0" w:rsidRDefault="00BE0CFA" w:rsidP="00723863">
      <w:pPr>
        <w:pStyle w:val="Header"/>
        <w:spacing w:line="240" w:lineRule="exact"/>
        <w:rPr>
          <w:rFonts w:ascii="Times New Roman" w:hAnsi="Times New Roman"/>
        </w:rPr>
      </w:pPr>
      <w:r w:rsidRPr="009336A0">
        <w:rPr>
          <w:rFonts w:ascii="Times New Roman" w:hAnsi="Times New Roman"/>
        </w:rPr>
        <w:t>BEFORE THE WASHINGTON UTILITIES AND TRANSPORTATION COMMISSION</w:t>
      </w:r>
    </w:p>
    <w:p w14:paraId="32B0BC2D" w14:textId="77777777" w:rsidR="00723863" w:rsidRPr="009336A0" w:rsidRDefault="001E12D8" w:rsidP="0072386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125AC" w:rsidRPr="009336A0" w14:paraId="32B0BC3C" w14:textId="77777777" w:rsidTr="008E2BDB">
        <w:tc>
          <w:tcPr>
            <w:tcW w:w="4590" w:type="dxa"/>
            <w:tcBorders>
              <w:top w:val="single" w:sz="6" w:space="0" w:color="FFFFFF"/>
              <w:left w:val="single" w:sz="6" w:space="0" w:color="FFFFFF"/>
              <w:bottom w:val="single" w:sz="7" w:space="0" w:color="000000"/>
              <w:right w:val="single" w:sz="6" w:space="0" w:color="FFFFFF"/>
            </w:tcBorders>
          </w:tcPr>
          <w:p w14:paraId="32B0BC2E" w14:textId="77777777" w:rsidR="00723863" w:rsidRPr="009336A0" w:rsidRDefault="00BE0CFA" w:rsidP="008E2BDB">
            <w:pPr>
              <w:pStyle w:val="Header"/>
              <w:tabs>
                <w:tab w:val="left" w:pos="681"/>
                <w:tab w:val="left" w:pos="1401"/>
              </w:tabs>
              <w:spacing w:line="240" w:lineRule="exact"/>
              <w:rPr>
                <w:rFonts w:ascii="Times New Roman" w:hAnsi="Times New Roman"/>
              </w:rPr>
            </w:pPr>
            <w:r w:rsidRPr="009336A0">
              <w:rPr>
                <w:rFonts w:ascii="Times New Roman" w:hAnsi="Times New Roman"/>
              </w:rPr>
              <w:t>WASHINGTON UTILITIES AND TRANSPORTATION COMMISSION,</w:t>
            </w:r>
          </w:p>
          <w:p w14:paraId="32B0BC2F" w14:textId="77777777" w:rsidR="00723863" w:rsidRPr="009336A0" w:rsidRDefault="001E12D8" w:rsidP="008E2BDB">
            <w:pPr>
              <w:pStyle w:val="Header"/>
              <w:tabs>
                <w:tab w:val="left" w:pos="681"/>
                <w:tab w:val="left" w:pos="1401"/>
              </w:tabs>
              <w:spacing w:line="240" w:lineRule="exact"/>
              <w:rPr>
                <w:rFonts w:ascii="Times New Roman" w:hAnsi="Times New Roman"/>
              </w:rPr>
            </w:pPr>
          </w:p>
          <w:p w14:paraId="32B0BC30" w14:textId="77777777" w:rsidR="00723863" w:rsidRPr="009336A0" w:rsidRDefault="00BE0CFA" w:rsidP="008E2BDB">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Complainant,</w:t>
            </w:r>
          </w:p>
          <w:p w14:paraId="32B0BC31" w14:textId="77777777" w:rsidR="00723863" w:rsidRPr="009336A0" w:rsidRDefault="001E12D8" w:rsidP="008E2BDB">
            <w:pPr>
              <w:pStyle w:val="Header"/>
              <w:tabs>
                <w:tab w:val="left" w:pos="681"/>
                <w:tab w:val="left" w:pos="1401"/>
              </w:tabs>
              <w:spacing w:line="240" w:lineRule="exact"/>
              <w:rPr>
                <w:rFonts w:ascii="Times New Roman" w:hAnsi="Times New Roman"/>
              </w:rPr>
            </w:pPr>
          </w:p>
          <w:p w14:paraId="32B0BC32" w14:textId="77777777" w:rsidR="00723863" w:rsidRPr="009336A0" w:rsidRDefault="00BE0CFA" w:rsidP="008E2BDB">
            <w:pPr>
              <w:pStyle w:val="Header"/>
              <w:tabs>
                <w:tab w:val="left" w:pos="681"/>
                <w:tab w:val="left" w:pos="1401"/>
              </w:tabs>
              <w:spacing w:line="240" w:lineRule="exact"/>
              <w:rPr>
                <w:rFonts w:ascii="Times New Roman" w:hAnsi="Times New Roman"/>
              </w:rPr>
            </w:pPr>
            <w:r w:rsidRPr="009336A0">
              <w:rPr>
                <w:rFonts w:ascii="Times New Roman" w:hAnsi="Times New Roman"/>
              </w:rPr>
              <w:t>v.</w:t>
            </w:r>
          </w:p>
          <w:p w14:paraId="32B0BC33" w14:textId="77777777" w:rsidR="00723863" w:rsidRPr="009336A0" w:rsidRDefault="001E12D8" w:rsidP="008E2BDB">
            <w:pPr>
              <w:pStyle w:val="Header"/>
              <w:tabs>
                <w:tab w:val="left" w:pos="681"/>
                <w:tab w:val="left" w:pos="1401"/>
              </w:tabs>
              <w:spacing w:line="240" w:lineRule="exact"/>
              <w:rPr>
                <w:rFonts w:ascii="Times New Roman" w:hAnsi="Times New Roman"/>
              </w:rPr>
            </w:pPr>
          </w:p>
          <w:p w14:paraId="32B0BC34" w14:textId="77777777" w:rsidR="00723863" w:rsidRPr="009336A0" w:rsidRDefault="00BE0CFA" w:rsidP="008E2BDB">
            <w:pPr>
              <w:pStyle w:val="Header"/>
              <w:tabs>
                <w:tab w:val="left" w:pos="681"/>
                <w:tab w:val="left" w:pos="1401"/>
              </w:tabs>
              <w:spacing w:line="240" w:lineRule="exact"/>
              <w:rPr>
                <w:rFonts w:ascii="Times New Roman" w:hAnsi="Times New Roman"/>
              </w:rPr>
            </w:pPr>
            <w:r w:rsidRPr="009336A0">
              <w:rPr>
                <w:rFonts w:ascii="Times New Roman" w:hAnsi="Times New Roman"/>
              </w:rPr>
              <w:t>WASTE CONTROL, INC.,</w:t>
            </w:r>
          </w:p>
          <w:p w14:paraId="32B0BC35" w14:textId="77777777" w:rsidR="00723863" w:rsidRPr="009336A0" w:rsidRDefault="001E12D8" w:rsidP="008E2BDB">
            <w:pPr>
              <w:pStyle w:val="Header"/>
              <w:tabs>
                <w:tab w:val="left" w:pos="681"/>
                <w:tab w:val="left" w:pos="1401"/>
              </w:tabs>
              <w:spacing w:line="240" w:lineRule="exact"/>
              <w:rPr>
                <w:rFonts w:ascii="Times New Roman" w:hAnsi="Times New Roman"/>
              </w:rPr>
            </w:pPr>
          </w:p>
          <w:p w14:paraId="32B0BC36" w14:textId="77777777" w:rsidR="00723863" w:rsidRPr="009336A0" w:rsidRDefault="00BE0CFA" w:rsidP="008E2BDB">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Respondent.</w:t>
            </w:r>
          </w:p>
          <w:p w14:paraId="32B0BC37" w14:textId="77777777" w:rsidR="00723863" w:rsidRPr="009336A0" w:rsidRDefault="001E12D8" w:rsidP="008E2BDB">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32B0BC38" w14:textId="77777777" w:rsidR="00723863" w:rsidRPr="009336A0" w:rsidRDefault="00BE0CFA" w:rsidP="008E2BDB">
            <w:pPr>
              <w:pStyle w:val="Header"/>
              <w:spacing w:line="240" w:lineRule="exact"/>
              <w:ind w:left="416"/>
              <w:rPr>
                <w:rFonts w:ascii="Times New Roman" w:hAnsi="Times New Roman"/>
              </w:rPr>
            </w:pPr>
            <w:r w:rsidRPr="009336A0">
              <w:rPr>
                <w:rFonts w:ascii="Times New Roman" w:hAnsi="Times New Roman"/>
              </w:rPr>
              <w:t>DOCKET TG-140560</w:t>
            </w:r>
          </w:p>
          <w:p w14:paraId="32B0BC39" w14:textId="77777777" w:rsidR="00723863" w:rsidRPr="009336A0" w:rsidRDefault="001E12D8" w:rsidP="008E2BDB">
            <w:pPr>
              <w:pStyle w:val="Header"/>
              <w:spacing w:line="240" w:lineRule="exact"/>
              <w:ind w:left="416"/>
              <w:rPr>
                <w:rFonts w:ascii="Times New Roman" w:hAnsi="Times New Roman"/>
              </w:rPr>
            </w:pPr>
          </w:p>
          <w:p w14:paraId="32B0BC3A" w14:textId="77777777" w:rsidR="00723863" w:rsidRPr="009336A0" w:rsidRDefault="00BE0CFA" w:rsidP="008E2BDB">
            <w:pPr>
              <w:pStyle w:val="BodyTextIndent2"/>
              <w:spacing w:line="240" w:lineRule="exact"/>
              <w:ind w:left="416"/>
              <w:rPr>
                <w:rFonts w:ascii="Times New Roman" w:hAnsi="Times New Roman"/>
              </w:rPr>
            </w:pPr>
            <w:r w:rsidRPr="009336A0">
              <w:rPr>
                <w:rFonts w:ascii="Times New Roman" w:hAnsi="Times New Roman"/>
              </w:rPr>
              <w:t xml:space="preserve">AGREED REQUEST FOR CONTINUANCE  </w:t>
            </w:r>
          </w:p>
          <w:p w14:paraId="32B0BC3B" w14:textId="77777777" w:rsidR="00723863" w:rsidRPr="009336A0" w:rsidRDefault="001E12D8" w:rsidP="008E2BDB">
            <w:pPr>
              <w:pStyle w:val="Header"/>
              <w:spacing w:line="240" w:lineRule="exact"/>
              <w:ind w:left="416"/>
              <w:rPr>
                <w:rFonts w:ascii="Times New Roman" w:hAnsi="Times New Roman"/>
              </w:rPr>
            </w:pPr>
          </w:p>
        </w:tc>
      </w:tr>
    </w:tbl>
    <w:p w14:paraId="32B0BC3D" w14:textId="77777777" w:rsidR="00723863" w:rsidRPr="009336A0" w:rsidRDefault="001E12D8" w:rsidP="00723863">
      <w:pPr>
        <w:pStyle w:val="Header"/>
        <w:rPr>
          <w:rFonts w:ascii="Times New Roman" w:hAnsi="Times New Roman"/>
        </w:rPr>
      </w:pPr>
    </w:p>
    <w:p w14:paraId="32B0BC3E" w14:textId="77777777" w:rsidR="00723863" w:rsidRPr="009336A0" w:rsidRDefault="001E12D8" w:rsidP="00723863">
      <w:pPr>
        <w:rPr>
          <w:rFonts w:ascii="Times New Roman" w:hAnsi="Times New Roman" w:cs="Times New Roman"/>
        </w:rPr>
      </w:pPr>
    </w:p>
    <w:p w14:paraId="32B0BC3F" w14:textId="77777777" w:rsidR="00DD4E41" w:rsidRPr="009336A0" w:rsidRDefault="00BE0CFA" w:rsidP="00DD4E41">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JOINT MOTION FOR CONTINUANCE</w:t>
      </w:r>
    </w:p>
    <w:p w14:paraId="32B0BC40" w14:textId="77777777" w:rsidR="00FC3DCB" w:rsidRPr="009336A0" w:rsidRDefault="00BE0CFA" w:rsidP="00DD4E41">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 xml:space="preserve">Commission Staff (“Staff”) and Waste Control Inc. (“WCI” or “Company”) hereby file an agreed request under WAC 480-07-385 to postpone the presently-scheduled hearing date of September 2, 2014.  Staff and the Company (collectively “Parties”) request the Commission reschedule the evidentiary hearing in Docket TG-140560 for September 17, 2014.  The Parties further request that the Commission extend the briefing deadline and/or format from September 25, 2014, to October 9, 2014. </w:t>
      </w:r>
    </w:p>
    <w:p w14:paraId="32B0BC41" w14:textId="77777777" w:rsidR="00DD4E41" w:rsidRPr="009336A0" w:rsidRDefault="00BE0CFA" w:rsidP="00050277">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 xml:space="preserve"> </w:t>
      </w:r>
      <w:r w:rsidRPr="009336A0">
        <w:rPr>
          <w:rFonts w:ascii="Times New Roman" w:hAnsi="Times New Roman" w:cs="Times New Roman"/>
          <w:sz w:val="24"/>
          <w:szCs w:val="24"/>
        </w:rPr>
        <w:tab/>
        <w:t xml:space="preserve">The parties require additional time to review new information provided in WCI’s rebuttal testimony, pursue potential settlement on the basis of newly-provided information, and prepare for an evidentiary hearing.  Depending on settlement discussions in coming days, the Parties anticipate that any remaining disputes may be limited solely to legal and policy interpretations, in which case briefing and supporting testimony could take the place of a full evidentiary hearing.  Staff and the Company are available for a status conference to discuss the Parties’ agreed request for a continuance and status of contested issues. </w:t>
      </w:r>
    </w:p>
    <w:p w14:paraId="32B0BC42" w14:textId="77777777" w:rsidR="008C133B" w:rsidRPr="009336A0" w:rsidRDefault="00BE0CFA" w:rsidP="008C133B">
      <w:pPr>
        <w:pStyle w:val="ListParagraph"/>
        <w:keepNext/>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WAC 480-07-385</w:t>
      </w:r>
    </w:p>
    <w:p w14:paraId="32B0BC43" w14:textId="77777777" w:rsidR="008C133B" w:rsidRPr="009336A0" w:rsidRDefault="00BE0CFA" w:rsidP="008C133B">
      <w:pPr>
        <w:pStyle w:val="ListParagraph"/>
        <w:numPr>
          <w:ilvl w:val="0"/>
          <w:numId w:val="1"/>
        </w:numPr>
        <w:spacing w:after="240" w:line="480" w:lineRule="auto"/>
        <w:rPr>
          <w:rFonts w:ascii="Times New Roman" w:hAnsi="Times New Roman" w:cs="Times New Roman"/>
          <w:sz w:val="24"/>
          <w:szCs w:val="24"/>
        </w:rPr>
      </w:pPr>
      <w:r w:rsidRPr="009336A0">
        <w:rPr>
          <w:rFonts w:ascii="Times New Roman" w:hAnsi="Times New Roman" w:cs="Times New Roman"/>
          <w:sz w:val="24"/>
          <w:szCs w:val="24"/>
        </w:rPr>
        <w:tab/>
        <w:t xml:space="preserve">Under WAC 480-07-385(1)(b), a continuance to which all parties agree is an “agreed request.”  WAC 480-07-385(2) goes on to state “The Commission will grant a timely </w:t>
      </w:r>
      <w:r w:rsidRPr="009336A0">
        <w:rPr>
          <w:rFonts w:ascii="Times New Roman" w:hAnsi="Times New Roman" w:cs="Times New Roman"/>
          <w:sz w:val="24"/>
          <w:szCs w:val="24"/>
        </w:rPr>
        <w:lastRenderedPageBreak/>
        <w:t xml:space="preserve">request to which all parties expressly agree unless it is inconsistent with the public interest or the commission’s administrative needs.”  Additional time for the Parties to develop informed recommendations and potentially resolve contested issues serves the public interest and avoids unnecessary litigation, time, and expenses. </w:t>
      </w:r>
    </w:p>
    <w:p w14:paraId="32B0BC44" w14:textId="77777777" w:rsidR="00FC3DCB" w:rsidRPr="009336A0" w:rsidRDefault="00BE0CFA" w:rsidP="008C133B">
      <w:pPr>
        <w:pStyle w:val="ListParagraph"/>
        <w:keepNext/>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SUMMARY OF PARTIES’ POSITIONS AND ARGUMENT</w:t>
      </w:r>
    </w:p>
    <w:p w14:paraId="32B0BC45" w14:textId="77777777" w:rsidR="00FC3DCB" w:rsidRPr="009336A0" w:rsidRDefault="00BE0CFA" w:rsidP="00FC3DCB">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r>
      <w:r w:rsidRPr="009336A0">
        <w:rPr>
          <w:rFonts w:ascii="Times New Roman" w:hAnsi="Times New Roman"/>
          <w:sz w:val="24"/>
          <w:szCs w:val="24"/>
        </w:rPr>
        <w:t xml:space="preserve">In rebuttal testimony presented on August 20, 2014, WCI provided new supporting information.  Significant portions of WCI’s newly-presented information appear conducive to a potential settlement on multiple contested issues; however, Staff requires additional time to verify the Company’s additional supporting information, develop an informed position, and, where feasible, pursue settlement.  </w:t>
      </w:r>
    </w:p>
    <w:p w14:paraId="32B0BC46" w14:textId="77777777" w:rsidR="00DD4E41" w:rsidRPr="009336A0" w:rsidRDefault="00BE0CFA" w:rsidP="00890A75">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sz w:val="24"/>
          <w:szCs w:val="24"/>
        </w:rPr>
        <w:t xml:space="preserve"> </w:t>
      </w:r>
      <w:r w:rsidRPr="009336A0">
        <w:rPr>
          <w:rFonts w:ascii="Times New Roman" w:hAnsi="Times New Roman"/>
          <w:sz w:val="24"/>
          <w:szCs w:val="24"/>
        </w:rPr>
        <w:tab/>
        <w:t xml:space="preserve">For example, WCI’s rebuttal testimony provided new versions of its Kalama route study, employee health insurance expense, calculation of debt expenses, and an updated cost of living adjustment for employee wages.  WCI also presented information to reflect material improvements to two structures and added a leased building in its results of operations.  As noted above, significant portions of the Company’s newly-presented information appear to support settlement on multiple contested issues.  Staff is analyzing this information as quickly as possible; however, seven business days between the Company’s rebuttal testimony and the scheduled evidentiary hearing on September 2, 2014, is not a reasonable amount of time for Staff to review new information and adequately prepare for the evidentiary hearing.  Therefore, without additional time, Staff and the Company would spend the September 2, 2014, evidentiary hearing date litigating issues to which the Parties may actually agree.  Such a scenario would contravene the public interest by wasting Commission resources and adding significant, unnecessary costs for both Parties. </w:t>
      </w:r>
      <w:r w:rsidRPr="009336A0">
        <w:rPr>
          <w:rFonts w:ascii="Times New Roman" w:hAnsi="Times New Roman" w:cs="Times New Roman"/>
          <w:sz w:val="24"/>
          <w:szCs w:val="24"/>
        </w:rPr>
        <w:t xml:space="preserve"> </w:t>
      </w:r>
      <w:r w:rsidRPr="009336A0">
        <w:rPr>
          <w:rFonts w:ascii="Times New Roman" w:hAnsi="Times New Roman"/>
          <w:sz w:val="24"/>
          <w:szCs w:val="24"/>
        </w:rPr>
        <w:lastRenderedPageBreak/>
        <w:t xml:space="preserve">As a result, the Commission should grant the Parties’ request for an extension of time to properly review and consider the new information presented in WCI’s rebuttal testimony.  </w:t>
      </w:r>
      <w:r w:rsidRPr="009336A0">
        <w:rPr>
          <w:rFonts w:ascii="Times New Roman" w:hAnsi="Times New Roman" w:cs="Times New Roman"/>
          <w:sz w:val="24"/>
          <w:szCs w:val="24"/>
        </w:rPr>
        <w:t xml:space="preserve"> </w:t>
      </w:r>
    </w:p>
    <w:p w14:paraId="32B0BC47" w14:textId="77777777" w:rsidR="00050277" w:rsidRPr="009336A0" w:rsidRDefault="00BE0CFA" w:rsidP="00DD4E41">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PROPOSED SCHEDULE</w:t>
      </w:r>
    </w:p>
    <w:p w14:paraId="32B0BC48" w14:textId="77777777" w:rsidR="00050277" w:rsidRPr="009336A0" w:rsidRDefault="00BE0CFA" w:rsidP="00E04D8D">
      <w:pPr>
        <w:spacing w:line="480" w:lineRule="auto"/>
        <w:ind w:firstLine="360"/>
        <w:rPr>
          <w:rFonts w:ascii="Times New Roman" w:hAnsi="Times New Roman" w:cs="Times New Roman"/>
        </w:rPr>
      </w:pPr>
      <w:r w:rsidRPr="009336A0">
        <w:rPr>
          <w:rFonts w:ascii="Times New Roman" w:hAnsi="Times New Roman" w:cs="Times New Roman"/>
        </w:rPr>
        <w:t>The Parties agree to the following abbreviated schedule.  First, the Company will provide all supporting information by August 28, 2014.  Second, Staff will complete a review of WCI’s supporting information by September 4, 2014.  Third, the Parties will subsequently convene a settlement conference and determine whether to present settlement terms to the Commission.  In the event the Parties do not settle or reach only a partial settlement, Staff and the Company request an evidentiary hearing date of September 17, 2014. As noted above, the Parties also request the Commission adjust the briefing deadline and/or format from September 25, 2014, to October 9, 2014.</w:t>
      </w:r>
    </w:p>
    <w:p w14:paraId="32B0BC49" w14:textId="77777777" w:rsidR="00DD4E41" w:rsidRPr="009336A0" w:rsidRDefault="00BE0CFA" w:rsidP="00DD4E41">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CONCLUSION</w:t>
      </w:r>
    </w:p>
    <w:p w14:paraId="32B0BC4A" w14:textId="77777777" w:rsidR="00DD4E41" w:rsidRPr="009336A0" w:rsidRDefault="00BE0CFA" w:rsidP="00DD4E41">
      <w:pPr>
        <w:pStyle w:val="ListParagraph"/>
        <w:numPr>
          <w:ilvl w:val="0"/>
          <w:numId w:val="1"/>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 xml:space="preserve">For the above reasons, Waste Control, Inc. and Commission Staff respectfully request the Commission grant this Joint Motion for a continuance and extend the hearing schedule.  </w:t>
      </w:r>
    </w:p>
    <w:p w14:paraId="32B0BC4B" w14:textId="35C680D7" w:rsidR="00DD4E41" w:rsidRPr="009336A0" w:rsidRDefault="00BE0CFA" w:rsidP="00DD4E41">
      <w:pPr>
        <w:ind w:left="720"/>
        <w:rPr>
          <w:rFonts w:ascii="Times New Roman" w:hAnsi="Times New Roman" w:cs="Times New Roman"/>
        </w:rPr>
      </w:pPr>
      <w:r w:rsidRPr="009336A0">
        <w:rPr>
          <w:rFonts w:ascii="Times New Roman" w:hAnsi="Times New Roman" w:cs="Times New Roman"/>
        </w:rPr>
        <w:t>DATED this 2</w:t>
      </w:r>
      <w:r w:rsidR="001E12D8">
        <w:rPr>
          <w:rFonts w:ascii="Times New Roman" w:hAnsi="Times New Roman" w:cs="Times New Roman"/>
        </w:rPr>
        <w:t>8</w:t>
      </w:r>
      <w:bookmarkStart w:id="0" w:name="_GoBack"/>
      <w:bookmarkEnd w:id="0"/>
      <w:r w:rsidRPr="009336A0">
        <w:rPr>
          <w:rFonts w:ascii="Times New Roman" w:hAnsi="Times New Roman" w:cs="Times New Roman"/>
          <w:vertAlign w:val="superscript"/>
        </w:rPr>
        <w:t>th</w:t>
      </w:r>
      <w:r w:rsidRPr="009336A0">
        <w:rPr>
          <w:rFonts w:ascii="Times New Roman" w:hAnsi="Times New Roman" w:cs="Times New Roman"/>
        </w:rPr>
        <w:t xml:space="preserve"> day of August 2014.</w:t>
      </w:r>
    </w:p>
    <w:p w14:paraId="32B0BC4C" w14:textId="77777777" w:rsidR="00DD4E41" w:rsidRPr="009336A0" w:rsidRDefault="001E12D8" w:rsidP="00DD4E41">
      <w:pPr>
        <w:pStyle w:val="BodyTextIndent2"/>
        <w:ind w:left="0"/>
        <w:rPr>
          <w:rFonts w:ascii="Times New Roman" w:hAnsi="Times New Roman"/>
        </w:rPr>
      </w:pPr>
    </w:p>
    <w:p w14:paraId="32B0BC4D"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Respectfully submitted, </w:t>
      </w:r>
    </w:p>
    <w:p w14:paraId="32B0BC4E" w14:textId="77777777" w:rsidR="00DD4E41" w:rsidRPr="009336A0" w:rsidRDefault="001E12D8" w:rsidP="00DD4E41">
      <w:pPr>
        <w:ind w:left="4320"/>
        <w:jc w:val="both"/>
        <w:rPr>
          <w:rFonts w:ascii="Times New Roman" w:hAnsi="Times New Roman" w:cs="Times New Roman"/>
        </w:rPr>
      </w:pPr>
    </w:p>
    <w:p w14:paraId="32B0BC4F"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ROBERT W. FERGUSON </w:t>
      </w:r>
    </w:p>
    <w:p w14:paraId="32B0BC50"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Attorney General</w:t>
      </w:r>
    </w:p>
    <w:p w14:paraId="32B0BC52" w14:textId="77777777" w:rsidR="00DD4E41" w:rsidRPr="009336A0" w:rsidRDefault="001E12D8" w:rsidP="00DD4E41">
      <w:pPr>
        <w:ind w:left="4320"/>
        <w:jc w:val="both"/>
        <w:rPr>
          <w:rFonts w:ascii="Times New Roman" w:hAnsi="Times New Roman" w:cs="Times New Roman"/>
        </w:rPr>
      </w:pPr>
    </w:p>
    <w:p w14:paraId="32B0BC53"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_____________________________________</w:t>
      </w:r>
    </w:p>
    <w:p w14:paraId="32B0BC54"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SALLY BROWN </w:t>
      </w:r>
    </w:p>
    <w:p w14:paraId="32B0BC55"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Senior Assistant Attorney General</w:t>
      </w:r>
    </w:p>
    <w:p w14:paraId="32B0BC57" w14:textId="77777777" w:rsidR="00DD4E41" w:rsidRPr="009336A0" w:rsidRDefault="001E12D8" w:rsidP="00DD4E41">
      <w:pPr>
        <w:ind w:left="4320"/>
        <w:jc w:val="both"/>
        <w:rPr>
          <w:rFonts w:ascii="Times New Roman" w:hAnsi="Times New Roman" w:cs="Times New Roman"/>
        </w:rPr>
      </w:pPr>
    </w:p>
    <w:p w14:paraId="32B0BC58"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____________________________________</w:t>
      </w:r>
    </w:p>
    <w:p w14:paraId="32B0BC59"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 xml:space="preserve">BRETT SHEARER </w:t>
      </w:r>
    </w:p>
    <w:p w14:paraId="32B0BC5A" w14:textId="77777777" w:rsidR="00DD4E41" w:rsidRPr="009336A0" w:rsidRDefault="00BE0CFA" w:rsidP="009336A0">
      <w:pPr>
        <w:spacing w:after="120"/>
        <w:ind w:left="4320"/>
        <w:jc w:val="both"/>
        <w:rPr>
          <w:rFonts w:ascii="Times New Roman" w:hAnsi="Times New Roman" w:cs="Times New Roman"/>
        </w:rPr>
      </w:pPr>
      <w:r w:rsidRPr="009336A0">
        <w:rPr>
          <w:rFonts w:ascii="Times New Roman" w:hAnsi="Times New Roman" w:cs="Times New Roman"/>
        </w:rPr>
        <w:t>Assistant Attorney General</w:t>
      </w:r>
    </w:p>
    <w:p w14:paraId="32B0BC5C" w14:textId="77777777" w:rsidR="00DD4E41" w:rsidRPr="009336A0" w:rsidRDefault="00BE0CFA" w:rsidP="00DD4E41">
      <w:pPr>
        <w:ind w:left="4320"/>
        <w:jc w:val="both"/>
        <w:rPr>
          <w:rFonts w:ascii="Times New Roman" w:hAnsi="Times New Roman" w:cs="Times New Roman"/>
        </w:rPr>
      </w:pPr>
      <w:r w:rsidRPr="009336A0">
        <w:rPr>
          <w:rFonts w:ascii="Times New Roman" w:hAnsi="Times New Roman" w:cs="Times New Roman"/>
        </w:rPr>
        <w:t>Counsel for Washington Utilities and</w:t>
      </w:r>
    </w:p>
    <w:p w14:paraId="32B0BC5D" w14:textId="77777777" w:rsidR="00FC3DCB" w:rsidRPr="009336A0" w:rsidRDefault="00BE0CFA" w:rsidP="00D03D3D">
      <w:pPr>
        <w:ind w:left="4320"/>
        <w:jc w:val="both"/>
        <w:rPr>
          <w:rFonts w:ascii="Times New Roman" w:hAnsi="Times New Roman" w:cs="Times New Roman"/>
        </w:rPr>
      </w:pPr>
      <w:r w:rsidRPr="009336A0">
        <w:rPr>
          <w:rFonts w:ascii="Times New Roman" w:hAnsi="Times New Roman" w:cs="Times New Roman"/>
        </w:rPr>
        <w:t>Transportation Commission Staff</w:t>
      </w:r>
    </w:p>
    <w:sectPr w:rsidR="00FC3DCB" w:rsidRPr="009336A0" w:rsidSect="00D03D3D">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BC60" w14:textId="77777777" w:rsidR="00BE0CFA" w:rsidRDefault="00BE0CFA">
      <w:r>
        <w:separator/>
      </w:r>
    </w:p>
  </w:endnote>
  <w:endnote w:type="continuationSeparator" w:id="0">
    <w:p w14:paraId="32B0BC61" w14:textId="77777777" w:rsidR="00BE0CFA" w:rsidRDefault="00BE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BC66" w14:textId="495BB414" w:rsidR="00D03D3D" w:rsidRPr="00D03D3D" w:rsidRDefault="00BE0CFA" w:rsidP="005D6E38">
    <w:pPr>
      <w:pStyle w:val="Footer"/>
      <w:rPr>
        <w:rFonts w:ascii="Times New Roman" w:hAnsi="Times New Roman" w:cs="Times New Roman"/>
        <w:noProof/>
        <w:sz w:val="20"/>
        <w:szCs w:val="20"/>
      </w:rPr>
    </w:pPr>
    <w:r>
      <w:rPr>
        <w:rFonts w:ascii="Times New Roman" w:hAnsi="Times New Roman" w:cs="Times New Roman"/>
        <w:sz w:val="20"/>
        <w:szCs w:val="20"/>
      </w:rPr>
      <w:t xml:space="preserve">AGREED REQUEST FOR CONTINUANCE - </w:t>
    </w:r>
    <w:r w:rsidRPr="00D03D3D">
      <w:rPr>
        <w:rFonts w:ascii="Times New Roman" w:hAnsi="Times New Roman" w:cs="Times New Roman"/>
        <w:sz w:val="20"/>
        <w:szCs w:val="20"/>
      </w:rPr>
      <w:fldChar w:fldCharType="begin"/>
    </w:r>
    <w:r w:rsidRPr="00D03D3D">
      <w:rPr>
        <w:rFonts w:ascii="Times New Roman" w:hAnsi="Times New Roman" w:cs="Times New Roman"/>
        <w:sz w:val="20"/>
        <w:szCs w:val="20"/>
      </w:rPr>
      <w:instrText xml:space="preserve"> PAGE   \* MERGEFORMAT </w:instrText>
    </w:r>
    <w:r w:rsidRPr="00D03D3D">
      <w:rPr>
        <w:rFonts w:ascii="Times New Roman" w:hAnsi="Times New Roman" w:cs="Times New Roman"/>
        <w:sz w:val="20"/>
        <w:szCs w:val="20"/>
      </w:rPr>
      <w:fldChar w:fldCharType="separate"/>
    </w:r>
    <w:r w:rsidR="001E12D8">
      <w:rPr>
        <w:rFonts w:ascii="Times New Roman" w:hAnsi="Times New Roman" w:cs="Times New Roman"/>
        <w:noProof/>
        <w:sz w:val="20"/>
        <w:szCs w:val="20"/>
      </w:rPr>
      <w:t>3</w:t>
    </w:r>
    <w:r w:rsidRPr="00D03D3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0BC5E" w14:textId="77777777" w:rsidR="00BE0CFA" w:rsidRDefault="00BE0CFA">
      <w:r>
        <w:separator/>
      </w:r>
    </w:p>
  </w:footnote>
  <w:footnote w:type="continuationSeparator" w:id="0">
    <w:p w14:paraId="32B0BC5F" w14:textId="77777777" w:rsidR="00BE0CFA" w:rsidRDefault="00BE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0D2B"/>
    <w:multiLevelType w:val="hybridMultilevel"/>
    <w:tmpl w:val="ECF03332"/>
    <w:lvl w:ilvl="0" w:tplc="53100FA4">
      <w:start w:val="1"/>
      <w:numFmt w:val="upperRoman"/>
      <w:lvlText w:val="%1."/>
      <w:lvlJc w:val="right"/>
      <w:pPr>
        <w:ind w:left="540" w:hanging="180"/>
      </w:pPr>
    </w:lvl>
    <w:lvl w:ilvl="1" w:tplc="8C9CCE0A" w:tentative="1">
      <w:start w:val="1"/>
      <w:numFmt w:val="lowerLetter"/>
      <w:lvlText w:val="%2."/>
      <w:lvlJc w:val="left"/>
      <w:pPr>
        <w:ind w:left="1440" w:hanging="360"/>
      </w:pPr>
    </w:lvl>
    <w:lvl w:ilvl="2" w:tplc="F7423456" w:tentative="1">
      <w:start w:val="1"/>
      <w:numFmt w:val="lowerRoman"/>
      <w:lvlText w:val="%3."/>
      <w:lvlJc w:val="right"/>
      <w:pPr>
        <w:ind w:left="2160" w:hanging="180"/>
      </w:pPr>
    </w:lvl>
    <w:lvl w:ilvl="3" w:tplc="3E4683A8" w:tentative="1">
      <w:start w:val="1"/>
      <w:numFmt w:val="decimal"/>
      <w:lvlText w:val="%4."/>
      <w:lvlJc w:val="left"/>
      <w:pPr>
        <w:ind w:left="2880" w:hanging="360"/>
      </w:pPr>
    </w:lvl>
    <w:lvl w:ilvl="4" w:tplc="560ED440" w:tentative="1">
      <w:start w:val="1"/>
      <w:numFmt w:val="lowerLetter"/>
      <w:lvlText w:val="%5."/>
      <w:lvlJc w:val="left"/>
      <w:pPr>
        <w:ind w:left="3600" w:hanging="360"/>
      </w:pPr>
    </w:lvl>
    <w:lvl w:ilvl="5" w:tplc="5406BE92" w:tentative="1">
      <w:start w:val="1"/>
      <w:numFmt w:val="lowerRoman"/>
      <w:lvlText w:val="%6."/>
      <w:lvlJc w:val="right"/>
      <w:pPr>
        <w:ind w:left="4320" w:hanging="180"/>
      </w:pPr>
    </w:lvl>
    <w:lvl w:ilvl="6" w:tplc="8B22F9EA" w:tentative="1">
      <w:start w:val="1"/>
      <w:numFmt w:val="decimal"/>
      <w:lvlText w:val="%7."/>
      <w:lvlJc w:val="left"/>
      <w:pPr>
        <w:ind w:left="5040" w:hanging="360"/>
      </w:pPr>
    </w:lvl>
    <w:lvl w:ilvl="7" w:tplc="34E6E870" w:tentative="1">
      <w:start w:val="1"/>
      <w:numFmt w:val="lowerLetter"/>
      <w:lvlText w:val="%8."/>
      <w:lvlJc w:val="left"/>
      <w:pPr>
        <w:ind w:left="5760" w:hanging="360"/>
      </w:pPr>
    </w:lvl>
    <w:lvl w:ilvl="8" w:tplc="9722724A" w:tentative="1">
      <w:start w:val="1"/>
      <w:numFmt w:val="lowerRoman"/>
      <w:lvlText w:val="%9."/>
      <w:lvlJc w:val="right"/>
      <w:pPr>
        <w:ind w:left="6480" w:hanging="180"/>
      </w:pPr>
    </w:lvl>
  </w:abstractNum>
  <w:abstractNum w:abstractNumId="1">
    <w:nsid w:val="51113ED5"/>
    <w:multiLevelType w:val="hybridMultilevel"/>
    <w:tmpl w:val="161A5842"/>
    <w:lvl w:ilvl="0" w:tplc="40D6C60A">
      <w:start w:val="1"/>
      <w:numFmt w:val="upperRoman"/>
      <w:lvlText w:val="%1."/>
      <w:lvlJc w:val="left"/>
      <w:pPr>
        <w:ind w:left="1080" w:hanging="720"/>
      </w:pPr>
      <w:rPr>
        <w:rFonts w:hint="default"/>
      </w:rPr>
    </w:lvl>
    <w:lvl w:ilvl="1" w:tplc="005AC668" w:tentative="1">
      <w:start w:val="1"/>
      <w:numFmt w:val="lowerLetter"/>
      <w:lvlText w:val="%2."/>
      <w:lvlJc w:val="left"/>
      <w:pPr>
        <w:ind w:left="1440" w:hanging="360"/>
      </w:pPr>
    </w:lvl>
    <w:lvl w:ilvl="2" w:tplc="06624EAC" w:tentative="1">
      <w:start w:val="1"/>
      <w:numFmt w:val="lowerRoman"/>
      <w:lvlText w:val="%3."/>
      <w:lvlJc w:val="right"/>
      <w:pPr>
        <w:ind w:left="2160" w:hanging="180"/>
      </w:pPr>
    </w:lvl>
    <w:lvl w:ilvl="3" w:tplc="842CED04" w:tentative="1">
      <w:start w:val="1"/>
      <w:numFmt w:val="decimal"/>
      <w:lvlText w:val="%4."/>
      <w:lvlJc w:val="left"/>
      <w:pPr>
        <w:ind w:left="2880" w:hanging="360"/>
      </w:pPr>
    </w:lvl>
    <w:lvl w:ilvl="4" w:tplc="7610E058" w:tentative="1">
      <w:start w:val="1"/>
      <w:numFmt w:val="lowerLetter"/>
      <w:lvlText w:val="%5."/>
      <w:lvlJc w:val="left"/>
      <w:pPr>
        <w:ind w:left="3600" w:hanging="360"/>
      </w:pPr>
    </w:lvl>
    <w:lvl w:ilvl="5" w:tplc="247642FC" w:tentative="1">
      <w:start w:val="1"/>
      <w:numFmt w:val="lowerRoman"/>
      <w:lvlText w:val="%6."/>
      <w:lvlJc w:val="right"/>
      <w:pPr>
        <w:ind w:left="4320" w:hanging="180"/>
      </w:pPr>
    </w:lvl>
    <w:lvl w:ilvl="6" w:tplc="47E0E9CE" w:tentative="1">
      <w:start w:val="1"/>
      <w:numFmt w:val="decimal"/>
      <w:lvlText w:val="%7."/>
      <w:lvlJc w:val="left"/>
      <w:pPr>
        <w:ind w:left="5040" w:hanging="360"/>
      </w:pPr>
    </w:lvl>
    <w:lvl w:ilvl="7" w:tplc="45646DA2" w:tentative="1">
      <w:start w:val="1"/>
      <w:numFmt w:val="lowerLetter"/>
      <w:lvlText w:val="%8."/>
      <w:lvlJc w:val="left"/>
      <w:pPr>
        <w:ind w:left="5760" w:hanging="360"/>
      </w:pPr>
    </w:lvl>
    <w:lvl w:ilvl="8" w:tplc="3E000004" w:tentative="1">
      <w:start w:val="1"/>
      <w:numFmt w:val="lowerRoman"/>
      <w:lvlText w:val="%9."/>
      <w:lvlJc w:val="right"/>
      <w:pPr>
        <w:ind w:left="6480" w:hanging="180"/>
      </w:pPr>
    </w:lvl>
  </w:abstractNum>
  <w:abstractNum w:abstractNumId="2">
    <w:nsid w:val="69967CDA"/>
    <w:multiLevelType w:val="hybridMultilevel"/>
    <w:tmpl w:val="B554D5BE"/>
    <w:lvl w:ilvl="0" w:tplc="91C49F40">
      <w:start w:val="1"/>
      <w:numFmt w:val="decimal"/>
      <w:lvlText w:val="%1"/>
      <w:lvlJc w:val="left"/>
      <w:pPr>
        <w:ind w:left="0" w:hanging="720"/>
      </w:pPr>
      <w:rPr>
        <w:rFonts w:ascii="Times New Roman" w:hAnsi="Times New Roman" w:hint="default"/>
        <w:b w:val="0"/>
        <w:i/>
        <w:sz w:val="24"/>
      </w:rPr>
    </w:lvl>
    <w:lvl w:ilvl="1" w:tplc="D076F1F6">
      <w:start w:val="1"/>
      <w:numFmt w:val="lowerLetter"/>
      <w:lvlText w:val="%2."/>
      <w:lvlJc w:val="left"/>
      <w:pPr>
        <w:ind w:left="1800" w:hanging="360"/>
      </w:pPr>
    </w:lvl>
    <w:lvl w:ilvl="2" w:tplc="EFC01BF8" w:tentative="1">
      <w:start w:val="1"/>
      <w:numFmt w:val="lowerRoman"/>
      <w:lvlText w:val="%3."/>
      <w:lvlJc w:val="right"/>
      <w:pPr>
        <w:ind w:left="2520" w:hanging="180"/>
      </w:pPr>
    </w:lvl>
    <w:lvl w:ilvl="3" w:tplc="7A36CFBA" w:tentative="1">
      <w:start w:val="1"/>
      <w:numFmt w:val="decimal"/>
      <w:lvlText w:val="%4."/>
      <w:lvlJc w:val="left"/>
      <w:pPr>
        <w:ind w:left="3240" w:hanging="360"/>
      </w:pPr>
    </w:lvl>
    <w:lvl w:ilvl="4" w:tplc="975E5EF8" w:tentative="1">
      <w:start w:val="1"/>
      <w:numFmt w:val="lowerLetter"/>
      <w:lvlText w:val="%5."/>
      <w:lvlJc w:val="left"/>
      <w:pPr>
        <w:ind w:left="3960" w:hanging="360"/>
      </w:pPr>
    </w:lvl>
    <w:lvl w:ilvl="5" w:tplc="B8B6CB56" w:tentative="1">
      <w:start w:val="1"/>
      <w:numFmt w:val="lowerRoman"/>
      <w:lvlText w:val="%6."/>
      <w:lvlJc w:val="right"/>
      <w:pPr>
        <w:ind w:left="4680" w:hanging="180"/>
      </w:pPr>
    </w:lvl>
    <w:lvl w:ilvl="6" w:tplc="56BAAB72" w:tentative="1">
      <w:start w:val="1"/>
      <w:numFmt w:val="decimal"/>
      <w:lvlText w:val="%7."/>
      <w:lvlJc w:val="left"/>
      <w:pPr>
        <w:ind w:left="5400" w:hanging="360"/>
      </w:pPr>
    </w:lvl>
    <w:lvl w:ilvl="7" w:tplc="B4521EFA" w:tentative="1">
      <w:start w:val="1"/>
      <w:numFmt w:val="lowerLetter"/>
      <w:lvlText w:val="%8."/>
      <w:lvlJc w:val="left"/>
      <w:pPr>
        <w:ind w:left="6120" w:hanging="360"/>
      </w:pPr>
    </w:lvl>
    <w:lvl w:ilvl="8" w:tplc="AA621B58"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AC"/>
    <w:rsid w:val="001E12D8"/>
    <w:rsid w:val="004F625D"/>
    <w:rsid w:val="009336A0"/>
    <w:rsid w:val="00A125AC"/>
    <w:rsid w:val="00BE0CFA"/>
    <w:rsid w:val="00E02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E4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E4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2014-08-28T23:50:27+00:00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2B0831-6651-4B49-9472-B45C9B741837}"/>
</file>

<file path=customXml/itemProps2.xml><?xml version="1.0" encoding="utf-8"?>
<ds:datastoreItem xmlns:ds="http://schemas.openxmlformats.org/officeDocument/2006/customXml" ds:itemID="{FB457BCE-7825-4B5C-86B7-62E49BFC88E9}"/>
</file>

<file path=customXml/itemProps3.xml><?xml version="1.0" encoding="utf-8"?>
<ds:datastoreItem xmlns:ds="http://schemas.openxmlformats.org/officeDocument/2006/customXml" ds:itemID="{034FD640-21FE-449F-B303-D8AAB10842CF}"/>
</file>

<file path=customXml/itemProps4.xml><?xml version="1.0" encoding="utf-8"?>
<ds:datastoreItem xmlns:ds="http://schemas.openxmlformats.org/officeDocument/2006/customXml" ds:itemID="{22A2576F-36D1-4008-A01E-9A0CDECA36D8}"/>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Krista Gross</cp:lastModifiedBy>
  <cp:revision>5</cp:revision>
  <dcterms:created xsi:type="dcterms:W3CDTF">2014-08-28T20:02:00Z</dcterms:created>
  <dcterms:modified xsi:type="dcterms:W3CDTF">2014-08-28T20:23:00Z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5110991.1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