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21CF6A20" w14:textId="77777777" w:rsidTr="00F45919">
        <w:tc>
          <w:tcPr>
            <w:tcW w:w="4788" w:type="dxa"/>
          </w:tcPr>
          <w:p w14:paraId="5138B098"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06DB94A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0E2B7EA"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bookmarkStart w:id="0" w:name="_GoBack"/>
            <w:bookmarkEnd w:id="0"/>
          </w:p>
          <w:p w14:paraId="04B65F6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6376D2A0"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7B26A7" w14:textId="77777777" w:rsidR="00F86C06" w:rsidRDefault="00F86C06" w:rsidP="00F45919">
            <w:pPr>
              <w:pStyle w:val="Header"/>
              <w:rPr>
                <w:rFonts w:cs="Arial"/>
                <w:b/>
                <w:bCs/>
                <w:sz w:val="18"/>
                <w:szCs w:val="18"/>
              </w:rPr>
            </w:pPr>
          </w:p>
        </w:tc>
        <w:tc>
          <w:tcPr>
            <w:tcW w:w="4788" w:type="dxa"/>
          </w:tcPr>
          <w:p w14:paraId="6F86CF66"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512A9D06" w14:textId="77F66579" w:rsidR="00F45919" w:rsidRDefault="00F00B05" w:rsidP="00F45919">
      <w:pPr>
        <w:pStyle w:val="NoSpacing"/>
        <w:ind w:right="-270"/>
        <w:jc w:val="both"/>
        <w:rPr>
          <w:rFonts w:ascii="Times New Roman" w:hAnsi="Times New Roman"/>
          <w:sz w:val="24"/>
          <w:szCs w:val="24"/>
        </w:rPr>
      </w:pPr>
      <w:r>
        <w:rPr>
          <w:rFonts w:ascii="Times New Roman" w:hAnsi="Times New Roman"/>
          <w:sz w:val="24"/>
          <w:szCs w:val="24"/>
        </w:rPr>
        <w:t>March 29</w:t>
      </w:r>
      <w:r w:rsidR="002142D5">
        <w:rPr>
          <w:rFonts w:ascii="Times New Roman" w:hAnsi="Times New Roman"/>
          <w:sz w:val="24"/>
          <w:szCs w:val="24"/>
        </w:rPr>
        <w:t>, 201</w:t>
      </w:r>
      <w:r w:rsidR="00A305E9">
        <w:rPr>
          <w:rFonts w:ascii="Times New Roman" w:hAnsi="Times New Roman"/>
          <w:sz w:val="24"/>
          <w:szCs w:val="24"/>
        </w:rPr>
        <w:t>7</w:t>
      </w:r>
    </w:p>
    <w:p w14:paraId="4E38077C" w14:textId="77777777" w:rsidR="00F45919" w:rsidRPr="00C4686F" w:rsidRDefault="00F45919" w:rsidP="00F45919">
      <w:pPr>
        <w:pStyle w:val="NoSpacing"/>
        <w:ind w:right="-270"/>
        <w:jc w:val="both"/>
        <w:rPr>
          <w:rFonts w:ascii="Times New Roman" w:hAnsi="Times New Roman"/>
          <w:sz w:val="24"/>
          <w:szCs w:val="24"/>
        </w:rPr>
      </w:pPr>
    </w:p>
    <w:p w14:paraId="56840E44"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232427F6" w14:textId="77777777" w:rsidR="00F45919" w:rsidRPr="00C4686F" w:rsidRDefault="00F45919" w:rsidP="00F45919">
      <w:pPr>
        <w:pStyle w:val="NoSpacing"/>
        <w:ind w:right="-270"/>
        <w:jc w:val="both"/>
        <w:rPr>
          <w:rFonts w:ascii="Times New Roman" w:hAnsi="Times New Roman"/>
          <w:b/>
          <w:sz w:val="24"/>
          <w:szCs w:val="24"/>
          <w:u w:val="single"/>
        </w:rPr>
      </w:pPr>
    </w:p>
    <w:p w14:paraId="3D1DD95D"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D28AC30"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5C627A63"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48FE16B5"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56BA096D"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A08751D"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71819D31" w14:textId="77777777" w:rsidR="00F45919" w:rsidRPr="004E6D17" w:rsidRDefault="00F45919" w:rsidP="00F45919">
      <w:pPr>
        <w:pStyle w:val="NoSpacing"/>
        <w:ind w:right="-270"/>
        <w:jc w:val="both"/>
        <w:rPr>
          <w:rFonts w:ascii="Times New Roman" w:hAnsi="Times New Roman"/>
          <w:b/>
          <w:sz w:val="24"/>
          <w:szCs w:val="24"/>
          <w:u w:val="single"/>
        </w:rPr>
      </w:pPr>
    </w:p>
    <w:p w14:paraId="147861D5" w14:textId="0A058ED3"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U</w:t>
      </w:r>
      <w:r w:rsidR="002142D5">
        <w:rPr>
          <w:rFonts w:ascii="Times New Roman" w:hAnsi="Times New Roman"/>
          <w:sz w:val="24"/>
          <w:szCs w:val="24"/>
        </w:rPr>
        <w:t>G-152394 – Avista Natural Gas Line Extension Allowance Program Semi-Annual Report</w:t>
      </w:r>
      <w:r w:rsidR="004754CD">
        <w:rPr>
          <w:rFonts w:ascii="Times New Roman" w:hAnsi="Times New Roman"/>
          <w:sz w:val="24"/>
          <w:szCs w:val="24"/>
        </w:rPr>
        <w:t xml:space="preserve"> No. 2</w:t>
      </w:r>
    </w:p>
    <w:p w14:paraId="694DD3C3" w14:textId="77777777" w:rsidR="00F45919" w:rsidRPr="00F45919" w:rsidRDefault="00F45919" w:rsidP="001F31B6">
      <w:pPr>
        <w:pStyle w:val="NoSpacing"/>
        <w:ind w:right="-270"/>
        <w:contextualSpacing/>
        <w:jc w:val="both"/>
        <w:rPr>
          <w:rFonts w:ascii="Times New Roman" w:hAnsi="Times New Roman"/>
          <w:sz w:val="24"/>
          <w:szCs w:val="24"/>
        </w:rPr>
      </w:pPr>
    </w:p>
    <w:p w14:paraId="69C1C032" w14:textId="77777777" w:rsidR="00F45919" w:rsidRPr="004E6D17" w:rsidRDefault="00F45919" w:rsidP="001F31B6">
      <w:pPr>
        <w:pStyle w:val="NoSpacing"/>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1AF7BD79" w14:textId="77777777" w:rsidR="001F31B6" w:rsidRDefault="001F31B6" w:rsidP="001F31B6">
      <w:pPr>
        <w:pStyle w:val="NoSpacing"/>
        <w:contextualSpacing/>
        <w:jc w:val="both"/>
        <w:rPr>
          <w:rFonts w:ascii="Times New Roman" w:hAnsi="Times New Roman"/>
          <w:sz w:val="24"/>
          <w:szCs w:val="24"/>
        </w:rPr>
      </w:pPr>
    </w:p>
    <w:p w14:paraId="5FB152CD" w14:textId="6E098EFE" w:rsidR="008F226C" w:rsidRDefault="008F226C" w:rsidP="005E7BAC">
      <w:pPr>
        <w:pStyle w:val="NoSpacing"/>
        <w:ind w:firstLine="720"/>
        <w:jc w:val="both"/>
        <w:rPr>
          <w:rFonts w:ascii="Times New Roman" w:hAnsi="Times New Roman"/>
          <w:sz w:val="24"/>
          <w:szCs w:val="24"/>
        </w:rPr>
      </w:pPr>
      <w:r>
        <w:rPr>
          <w:rFonts w:ascii="Times New Roman" w:hAnsi="Times New Roman"/>
          <w:sz w:val="24"/>
          <w:szCs w:val="24"/>
        </w:rPr>
        <w:t xml:space="preserve">On February 25, 2016, the Commission issued Order 01 in Docket UG-152394 approving </w:t>
      </w:r>
      <w:r w:rsidR="00F45919">
        <w:rPr>
          <w:rFonts w:ascii="Times New Roman" w:hAnsi="Times New Roman"/>
          <w:sz w:val="24"/>
          <w:szCs w:val="24"/>
        </w:rPr>
        <w:t>Avista Corporation</w:t>
      </w:r>
      <w:r>
        <w:rPr>
          <w:rFonts w:ascii="Times New Roman" w:hAnsi="Times New Roman"/>
          <w:sz w:val="24"/>
          <w:szCs w:val="24"/>
        </w:rPr>
        <w:t>’s</w:t>
      </w:r>
      <w:r w:rsidR="00E83CFB">
        <w:rPr>
          <w:rFonts w:ascii="Times New Roman" w:hAnsi="Times New Roman"/>
          <w:sz w:val="24"/>
          <w:szCs w:val="24"/>
        </w:rPr>
        <w:t>,</w:t>
      </w:r>
      <w:r w:rsidR="00F45919">
        <w:rPr>
          <w:rFonts w:ascii="Times New Roman" w:hAnsi="Times New Roman"/>
          <w:sz w:val="24"/>
          <w:szCs w:val="24"/>
        </w:rPr>
        <w:t xml:space="preserve"> dba Avista Utilities</w:t>
      </w:r>
      <w:r w:rsidR="00F45919" w:rsidRPr="0066295E">
        <w:rPr>
          <w:rFonts w:ascii="Times New Roman" w:hAnsi="Times New Roman"/>
          <w:sz w:val="24"/>
          <w:szCs w:val="24"/>
        </w:rPr>
        <w:t xml:space="preserve"> (</w:t>
      </w:r>
      <w:r w:rsidR="00F45919">
        <w:rPr>
          <w:rFonts w:ascii="Times New Roman" w:hAnsi="Times New Roman"/>
          <w:sz w:val="24"/>
          <w:szCs w:val="24"/>
        </w:rPr>
        <w:t>Avista</w:t>
      </w:r>
      <w:r w:rsidR="00F45919" w:rsidRPr="0066295E">
        <w:rPr>
          <w:rFonts w:ascii="Times New Roman" w:hAnsi="Times New Roman"/>
          <w:sz w:val="24"/>
          <w:szCs w:val="24"/>
        </w:rPr>
        <w:t xml:space="preserve"> or Company)</w:t>
      </w:r>
      <w:r w:rsidR="00E83CFB">
        <w:rPr>
          <w:rFonts w:ascii="Times New Roman" w:hAnsi="Times New Roman"/>
          <w:sz w:val="24"/>
          <w:szCs w:val="24"/>
        </w:rPr>
        <w:t>,</w:t>
      </w:r>
      <w:r w:rsidR="00F45919" w:rsidRPr="0066295E">
        <w:rPr>
          <w:rFonts w:ascii="Times New Roman" w:hAnsi="Times New Roman"/>
          <w:sz w:val="24"/>
          <w:szCs w:val="24"/>
        </w:rPr>
        <w:t xml:space="preserve"> </w:t>
      </w:r>
      <w:r>
        <w:rPr>
          <w:rFonts w:ascii="Times New Roman" w:hAnsi="Times New Roman"/>
          <w:sz w:val="24"/>
          <w:szCs w:val="24"/>
        </w:rPr>
        <w:t xml:space="preserve">modifications to tariff Schedule 151 </w:t>
      </w:r>
      <w:r w:rsidR="001F31B6">
        <w:rPr>
          <w:rFonts w:ascii="Times New Roman" w:hAnsi="Times New Roman"/>
          <w:sz w:val="24"/>
          <w:szCs w:val="24"/>
        </w:rPr>
        <w:t>related to</w:t>
      </w:r>
      <w:r>
        <w:rPr>
          <w:rFonts w:ascii="Times New Roman" w:hAnsi="Times New Roman"/>
          <w:sz w:val="24"/>
          <w:szCs w:val="24"/>
        </w:rPr>
        <w:t xml:space="preserve"> its Natural Gas Line Extension </w:t>
      </w:r>
      <w:r w:rsidR="00F1626C">
        <w:rPr>
          <w:rFonts w:ascii="Times New Roman" w:hAnsi="Times New Roman"/>
          <w:sz w:val="24"/>
          <w:szCs w:val="24"/>
        </w:rPr>
        <w:t>rules</w:t>
      </w:r>
      <w:r>
        <w:rPr>
          <w:rFonts w:ascii="Times New Roman" w:hAnsi="Times New Roman"/>
          <w:sz w:val="24"/>
          <w:szCs w:val="24"/>
        </w:rPr>
        <w:t>.  As part of the modifications to Schedule 151</w:t>
      </w:r>
      <w:r w:rsidR="001F31B6">
        <w:rPr>
          <w:rFonts w:ascii="Times New Roman" w:hAnsi="Times New Roman"/>
          <w:sz w:val="24"/>
          <w:szCs w:val="24"/>
        </w:rPr>
        <w:t>,</w:t>
      </w:r>
      <w:r>
        <w:rPr>
          <w:rFonts w:ascii="Times New Roman" w:hAnsi="Times New Roman"/>
          <w:sz w:val="24"/>
          <w:szCs w:val="24"/>
        </w:rPr>
        <w:t xml:space="preserve"> the Commission approved</w:t>
      </w:r>
      <w:r w:rsidR="001F31B6">
        <w:rPr>
          <w:rFonts w:ascii="Times New Roman" w:hAnsi="Times New Roman"/>
          <w:sz w:val="24"/>
          <w:szCs w:val="24"/>
        </w:rPr>
        <w:t>,</w:t>
      </w:r>
      <w:r>
        <w:rPr>
          <w:rFonts w:ascii="Times New Roman" w:hAnsi="Times New Roman"/>
          <w:sz w:val="24"/>
          <w:szCs w:val="24"/>
        </w:rPr>
        <w:t xml:space="preserve"> on a temporary basis</w:t>
      </w:r>
      <w:r w:rsidR="001F31B6">
        <w:rPr>
          <w:rFonts w:ascii="Times New Roman" w:hAnsi="Times New Roman"/>
          <w:sz w:val="24"/>
          <w:szCs w:val="24"/>
        </w:rPr>
        <w:t>,</w:t>
      </w:r>
      <w:r>
        <w:rPr>
          <w:rFonts w:ascii="Times New Roman" w:hAnsi="Times New Roman"/>
          <w:sz w:val="24"/>
          <w:szCs w:val="24"/>
        </w:rPr>
        <w:t xml:space="preserve"> for a three-year period, both a change in methodology for calculating the amount of the natural gas line extension allowance provided to customers</w:t>
      </w:r>
      <w:r w:rsidR="001F31B6">
        <w:rPr>
          <w:rFonts w:ascii="Times New Roman" w:hAnsi="Times New Roman"/>
          <w:sz w:val="24"/>
          <w:szCs w:val="24"/>
        </w:rPr>
        <w:t>,</w:t>
      </w:r>
      <w:r>
        <w:rPr>
          <w:rFonts w:ascii="Times New Roman" w:hAnsi="Times New Roman"/>
          <w:sz w:val="24"/>
          <w:szCs w:val="24"/>
        </w:rPr>
        <w:t xml:space="preserve"> as well as allowing the Company to provide an</w:t>
      </w:r>
      <w:r w:rsidR="009F637B">
        <w:rPr>
          <w:rFonts w:ascii="Times New Roman" w:hAnsi="Times New Roman"/>
          <w:sz w:val="24"/>
          <w:szCs w:val="24"/>
        </w:rPr>
        <w:t>y</w:t>
      </w:r>
      <w:r>
        <w:rPr>
          <w:rFonts w:ascii="Times New Roman" w:hAnsi="Times New Roman"/>
          <w:sz w:val="24"/>
          <w:szCs w:val="24"/>
        </w:rPr>
        <w:t xml:space="preserve"> unused or excess portion of the allowance amount as a</w:t>
      </w:r>
      <w:r w:rsidR="00CC5138">
        <w:rPr>
          <w:rFonts w:ascii="Times New Roman" w:hAnsi="Times New Roman"/>
          <w:sz w:val="24"/>
          <w:szCs w:val="24"/>
        </w:rPr>
        <w:t>n equipment</w:t>
      </w:r>
      <w:r>
        <w:rPr>
          <w:rFonts w:ascii="Times New Roman" w:hAnsi="Times New Roman"/>
          <w:sz w:val="24"/>
          <w:szCs w:val="24"/>
        </w:rPr>
        <w:t xml:space="preserve"> </w:t>
      </w:r>
      <w:r w:rsidR="00CE4B5B">
        <w:rPr>
          <w:rFonts w:ascii="Times New Roman" w:hAnsi="Times New Roman"/>
          <w:sz w:val="24"/>
          <w:szCs w:val="24"/>
        </w:rPr>
        <w:t>rebate</w:t>
      </w:r>
      <w:r>
        <w:rPr>
          <w:rFonts w:ascii="Times New Roman" w:hAnsi="Times New Roman"/>
          <w:sz w:val="24"/>
          <w:szCs w:val="24"/>
        </w:rPr>
        <w:t xml:space="preserve"> back to customers who are converting to natural gas service.</w:t>
      </w:r>
      <w:r w:rsidR="00CC5138">
        <w:rPr>
          <w:rFonts w:ascii="Times New Roman" w:hAnsi="Times New Roman"/>
          <w:sz w:val="24"/>
          <w:szCs w:val="24"/>
        </w:rPr>
        <w:t xml:space="preserve">  </w:t>
      </w:r>
    </w:p>
    <w:p w14:paraId="398C20D7" w14:textId="77777777" w:rsidR="002A6494" w:rsidRDefault="002A6494" w:rsidP="005E7BAC">
      <w:pPr>
        <w:pStyle w:val="NoSpacing"/>
        <w:ind w:firstLine="720"/>
        <w:jc w:val="both"/>
        <w:rPr>
          <w:rFonts w:ascii="Times New Roman" w:hAnsi="Times New Roman"/>
          <w:sz w:val="24"/>
          <w:szCs w:val="24"/>
        </w:rPr>
      </w:pPr>
    </w:p>
    <w:p w14:paraId="53995DD2" w14:textId="1B35EA40" w:rsidR="00355FE8" w:rsidRDefault="008F226C" w:rsidP="005E7BAC">
      <w:pPr>
        <w:pStyle w:val="NoSpacing"/>
        <w:ind w:firstLine="720"/>
        <w:jc w:val="both"/>
        <w:rPr>
          <w:rFonts w:ascii="Times New Roman" w:hAnsi="Times New Roman"/>
          <w:sz w:val="24"/>
          <w:szCs w:val="24"/>
        </w:rPr>
      </w:pPr>
      <w:r>
        <w:rPr>
          <w:rFonts w:ascii="Times New Roman" w:hAnsi="Times New Roman"/>
          <w:sz w:val="24"/>
          <w:szCs w:val="24"/>
        </w:rPr>
        <w:t xml:space="preserve">The excess allowance </w:t>
      </w:r>
      <w:r w:rsidR="00CE4B5B">
        <w:rPr>
          <w:rFonts w:ascii="Times New Roman" w:hAnsi="Times New Roman"/>
          <w:sz w:val="24"/>
          <w:szCs w:val="24"/>
        </w:rPr>
        <w:t>rebates</w:t>
      </w:r>
      <w:r>
        <w:rPr>
          <w:rFonts w:ascii="Times New Roman" w:hAnsi="Times New Roman"/>
          <w:sz w:val="24"/>
          <w:szCs w:val="24"/>
        </w:rPr>
        <w:t xml:space="preserve"> are only available to residential Schedule 101 customers who are converting to natural gas from any other fuel source.</w:t>
      </w:r>
      <w:r w:rsidR="00355FE8">
        <w:rPr>
          <w:rFonts w:ascii="Times New Roman" w:hAnsi="Times New Roman"/>
          <w:sz w:val="24"/>
          <w:szCs w:val="24"/>
        </w:rPr>
        <w:t xml:space="preserve">  In addition</w:t>
      </w:r>
      <w:r w:rsidR="001F31B6">
        <w:rPr>
          <w:rFonts w:ascii="Times New Roman" w:hAnsi="Times New Roman"/>
          <w:sz w:val="24"/>
          <w:szCs w:val="24"/>
        </w:rPr>
        <w:t>,</w:t>
      </w:r>
      <w:r w:rsidR="00355FE8">
        <w:rPr>
          <w:rFonts w:ascii="Times New Roman" w:hAnsi="Times New Roman"/>
          <w:sz w:val="24"/>
          <w:szCs w:val="24"/>
        </w:rPr>
        <w:t xml:space="preserve"> the </w:t>
      </w:r>
      <w:r w:rsidR="00CE4B5B">
        <w:rPr>
          <w:rFonts w:ascii="Times New Roman" w:hAnsi="Times New Roman"/>
          <w:sz w:val="24"/>
          <w:szCs w:val="24"/>
        </w:rPr>
        <w:t>rebates</w:t>
      </w:r>
      <w:r w:rsidR="00355FE8">
        <w:rPr>
          <w:rFonts w:ascii="Times New Roman" w:hAnsi="Times New Roman"/>
          <w:sz w:val="24"/>
          <w:szCs w:val="24"/>
        </w:rPr>
        <w:t xml:space="preserve"> are only available to customers who install high efficiency space and</w:t>
      </w:r>
      <w:r w:rsidR="001F31B6">
        <w:rPr>
          <w:rFonts w:ascii="Times New Roman" w:hAnsi="Times New Roman"/>
          <w:sz w:val="24"/>
          <w:szCs w:val="24"/>
        </w:rPr>
        <w:t>/or water</w:t>
      </w:r>
      <w:r w:rsidR="00355FE8">
        <w:rPr>
          <w:rFonts w:ascii="Times New Roman" w:hAnsi="Times New Roman"/>
          <w:sz w:val="24"/>
          <w:szCs w:val="24"/>
        </w:rPr>
        <w:t xml:space="preserve"> heating equipment.</w:t>
      </w:r>
      <w:r>
        <w:rPr>
          <w:rFonts w:ascii="Times New Roman" w:hAnsi="Times New Roman"/>
          <w:sz w:val="24"/>
          <w:szCs w:val="24"/>
        </w:rPr>
        <w:t xml:space="preserve">  New construction </w:t>
      </w:r>
      <w:r w:rsidR="001F31B6">
        <w:rPr>
          <w:rFonts w:ascii="Times New Roman" w:hAnsi="Times New Roman"/>
          <w:sz w:val="24"/>
          <w:szCs w:val="24"/>
        </w:rPr>
        <w:t xml:space="preserve">homes do </w:t>
      </w:r>
      <w:r>
        <w:rPr>
          <w:rFonts w:ascii="Times New Roman" w:hAnsi="Times New Roman"/>
          <w:sz w:val="24"/>
          <w:szCs w:val="24"/>
        </w:rPr>
        <w:t>not qualify for the excess allowance</w:t>
      </w:r>
      <w:r w:rsidR="00CC5138">
        <w:rPr>
          <w:rFonts w:ascii="Times New Roman" w:hAnsi="Times New Roman"/>
          <w:sz w:val="24"/>
          <w:szCs w:val="24"/>
        </w:rPr>
        <w:t xml:space="preserve"> equipment</w:t>
      </w:r>
      <w:r>
        <w:rPr>
          <w:rFonts w:ascii="Times New Roman" w:hAnsi="Times New Roman"/>
          <w:sz w:val="24"/>
          <w:szCs w:val="24"/>
        </w:rPr>
        <w:t xml:space="preserve"> </w:t>
      </w:r>
      <w:r w:rsidR="00CE4B5B">
        <w:rPr>
          <w:rFonts w:ascii="Times New Roman" w:hAnsi="Times New Roman"/>
          <w:sz w:val="24"/>
          <w:szCs w:val="24"/>
        </w:rPr>
        <w:t>rebate</w:t>
      </w:r>
      <w:r w:rsidR="00CC5138">
        <w:rPr>
          <w:rFonts w:ascii="Times New Roman" w:hAnsi="Times New Roman"/>
          <w:sz w:val="24"/>
          <w:szCs w:val="24"/>
        </w:rPr>
        <w:t>,</w:t>
      </w:r>
      <w:r>
        <w:rPr>
          <w:rFonts w:ascii="Times New Roman" w:hAnsi="Times New Roman"/>
          <w:sz w:val="24"/>
          <w:szCs w:val="24"/>
        </w:rPr>
        <w:t xml:space="preserve"> as it is estimated that over 90% of new homes that have natural gas available at the time of construction choose to install natural gas.</w:t>
      </w:r>
    </w:p>
    <w:p w14:paraId="4FD4AE33" w14:textId="77777777" w:rsidR="002A6494" w:rsidRDefault="002A6494" w:rsidP="005E7BAC">
      <w:pPr>
        <w:pStyle w:val="NoSpacing"/>
        <w:ind w:firstLine="720"/>
        <w:jc w:val="both"/>
        <w:rPr>
          <w:rFonts w:ascii="Times New Roman" w:hAnsi="Times New Roman"/>
          <w:sz w:val="24"/>
          <w:szCs w:val="24"/>
        </w:rPr>
      </w:pPr>
    </w:p>
    <w:p w14:paraId="4DC4C8FA" w14:textId="4E04B4BA" w:rsidR="003D2B0E" w:rsidRDefault="00355FE8" w:rsidP="005E7BAC">
      <w:pPr>
        <w:pStyle w:val="NoSpacing"/>
        <w:ind w:firstLine="720"/>
        <w:jc w:val="both"/>
        <w:rPr>
          <w:rFonts w:ascii="Times New Roman" w:hAnsi="Times New Roman"/>
          <w:sz w:val="24"/>
          <w:szCs w:val="24"/>
        </w:rPr>
      </w:pPr>
      <w:r>
        <w:rPr>
          <w:rFonts w:ascii="Times New Roman" w:hAnsi="Times New Roman"/>
          <w:sz w:val="24"/>
          <w:szCs w:val="24"/>
        </w:rPr>
        <w:t>As part of Order 01</w:t>
      </w:r>
      <w:r w:rsidR="002E6A69">
        <w:rPr>
          <w:rFonts w:ascii="Times New Roman" w:hAnsi="Times New Roman"/>
          <w:sz w:val="24"/>
          <w:szCs w:val="24"/>
        </w:rPr>
        <w:t>,</w:t>
      </w:r>
      <w:r>
        <w:rPr>
          <w:rFonts w:ascii="Times New Roman" w:hAnsi="Times New Roman"/>
          <w:sz w:val="24"/>
          <w:szCs w:val="24"/>
        </w:rPr>
        <w:t xml:space="preserve"> the Commission ordered the Company to file semi-annual reports with the Commission showing the impact of the increased allowance and excess allowance</w:t>
      </w:r>
      <w:r w:rsidR="00CC5138">
        <w:rPr>
          <w:rFonts w:ascii="Times New Roman" w:hAnsi="Times New Roman"/>
          <w:sz w:val="24"/>
          <w:szCs w:val="24"/>
        </w:rPr>
        <w:t xml:space="preserve"> equipment</w:t>
      </w:r>
      <w:r>
        <w:rPr>
          <w:rFonts w:ascii="Times New Roman" w:hAnsi="Times New Roman"/>
          <w:sz w:val="24"/>
          <w:szCs w:val="24"/>
        </w:rPr>
        <w:t xml:space="preserve"> </w:t>
      </w:r>
      <w:r w:rsidR="00CE4B5B">
        <w:rPr>
          <w:rFonts w:ascii="Times New Roman" w:hAnsi="Times New Roman"/>
          <w:sz w:val="24"/>
          <w:szCs w:val="24"/>
        </w:rPr>
        <w:t>rebates</w:t>
      </w:r>
      <w:r>
        <w:rPr>
          <w:rFonts w:ascii="Times New Roman" w:hAnsi="Times New Roman"/>
          <w:sz w:val="24"/>
          <w:szCs w:val="24"/>
        </w:rPr>
        <w:t xml:space="preserve"> during the three-year pilot period from March 1, 2016, to February 28, 2019.  This report is the </w:t>
      </w:r>
      <w:r w:rsidR="004754CD">
        <w:rPr>
          <w:rFonts w:ascii="Times New Roman" w:hAnsi="Times New Roman"/>
          <w:sz w:val="24"/>
          <w:szCs w:val="24"/>
        </w:rPr>
        <w:t>second</w:t>
      </w:r>
      <w:r>
        <w:rPr>
          <w:rFonts w:ascii="Times New Roman" w:hAnsi="Times New Roman"/>
          <w:sz w:val="24"/>
          <w:szCs w:val="24"/>
        </w:rPr>
        <w:t xml:space="preserve"> semi-annual report to the Commission and covers the time period from </w:t>
      </w:r>
      <w:r w:rsidR="004754CD">
        <w:rPr>
          <w:rFonts w:ascii="Times New Roman" w:hAnsi="Times New Roman"/>
          <w:sz w:val="24"/>
          <w:szCs w:val="24"/>
        </w:rPr>
        <w:t>March 1</w:t>
      </w:r>
      <w:r>
        <w:rPr>
          <w:rFonts w:ascii="Times New Roman" w:hAnsi="Times New Roman"/>
          <w:sz w:val="24"/>
          <w:szCs w:val="24"/>
        </w:rPr>
        <w:t xml:space="preserve">, </w:t>
      </w:r>
      <w:r>
        <w:rPr>
          <w:rFonts w:ascii="Times New Roman" w:hAnsi="Times New Roman"/>
          <w:sz w:val="24"/>
          <w:szCs w:val="24"/>
        </w:rPr>
        <w:lastRenderedPageBreak/>
        <w:t xml:space="preserve">2016, to </w:t>
      </w:r>
      <w:r w:rsidR="004754CD">
        <w:rPr>
          <w:rFonts w:ascii="Times New Roman" w:hAnsi="Times New Roman"/>
          <w:sz w:val="24"/>
          <w:szCs w:val="24"/>
        </w:rPr>
        <w:t>February 28</w:t>
      </w:r>
      <w:r>
        <w:rPr>
          <w:rFonts w:ascii="Times New Roman" w:hAnsi="Times New Roman"/>
          <w:sz w:val="24"/>
          <w:szCs w:val="24"/>
        </w:rPr>
        <w:t>, 201</w:t>
      </w:r>
      <w:r w:rsidR="004754CD">
        <w:rPr>
          <w:rFonts w:ascii="Times New Roman" w:hAnsi="Times New Roman"/>
          <w:sz w:val="24"/>
          <w:szCs w:val="24"/>
        </w:rPr>
        <w:t>7</w:t>
      </w:r>
      <w:r>
        <w:rPr>
          <w:rFonts w:ascii="Times New Roman" w:hAnsi="Times New Roman"/>
          <w:sz w:val="24"/>
          <w:szCs w:val="24"/>
        </w:rPr>
        <w:t xml:space="preserve">.  The contents </w:t>
      </w:r>
      <w:r w:rsidR="00CC5138">
        <w:rPr>
          <w:rFonts w:ascii="Times New Roman" w:hAnsi="Times New Roman"/>
          <w:sz w:val="24"/>
          <w:szCs w:val="24"/>
        </w:rPr>
        <w:t>of what is to be provided in the</w:t>
      </w:r>
      <w:r>
        <w:rPr>
          <w:rFonts w:ascii="Times New Roman" w:hAnsi="Times New Roman"/>
          <w:sz w:val="24"/>
          <w:szCs w:val="24"/>
        </w:rPr>
        <w:t xml:space="preserve"> semi-annual reports</w:t>
      </w:r>
      <w:r w:rsidR="00CC5138">
        <w:rPr>
          <w:rFonts w:ascii="Times New Roman" w:hAnsi="Times New Roman"/>
          <w:sz w:val="24"/>
          <w:szCs w:val="24"/>
        </w:rPr>
        <w:t>,</w:t>
      </w:r>
      <w:r w:rsidR="001F31B6">
        <w:rPr>
          <w:rFonts w:ascii="Times New Roman" w:hAnsi="Times New Roman"/>
          <w:sz w:val="24"/>
          <w:szCs w:val="24"/>
        </w:rPr>
        <w:t xml:space="preserve"> as shown in items A – G below,</w:t>
      </w:r>
      <w:r>
        <w:rPr>
          <w:rFonts w:ascii="Times New Roman" w:hAnsi="Times New Roman"/>
          <w:sz w:val="24"/>
          <w:szCs w:val="24"/>
        </w:rPr>
        <w:t xml:space="preserve"> </w:t>
      </w:r>
      <w:r w:rsidR="00CC5138">
        <w:rPr>
          <w:rFonts w:ascii="Times New Roman" w:hAnsi="Times New Roman"/>
          <w:sz w:val="24"/>
          <w:szCs w:val="24"/>
        </w:rPr>
        <w:t>was</w:t>
      </w:r>
      <w:r>
        <w:rPr>
          <w:rFonts w:ascii="Times New Roman" w:hAnsi="Times New Roman"/>
          <w:sz w:val="24"/>
          <w:szCs w:val="24"/>
        </w:rPr>
        <w:t xml:space="preserve"> discussed with Commission Staff prior to filing</w:t>
      </w:r>
      <w:r w:rsidR="001F31B6">
        <w:rPr>
          <w:rFonts w:ascii="Times New Roman" w:hAnsi="Times New Roman"/>
          <w:sz w:val="24"/>
          <w:szCs w:val="24"/>
        </w:rPr>
        <w:t xml:space="preserve"> </w:t>
      </w:r>
      <w:r w:rsidR="00CC5138">
        <w:rPr>
          <w:rFonts w:ascii="Times New Roman" w:hAnsi="Times New Roman"/>
          <w:sz w:val="24"/>
          <w:szCs w:val="24"/>
        </w:rPr>
        <w:t>the first semi-annual report</w:t>
      </w:r>
      <w:r>
        <w:rPr>
          <w:rFonts w:ascii="Times New Roman" w:hAnsi="Times New Roman"/>
          <w:sz w:val="24"/>
          <w:szCs w:val="24"/>
        </w:rPr>
        <w:t>.</w:t>
      </w:r>
      <w:r w:rsidR="008F226C">
        <w:rPr>
          <w:rFonts w:ascii="Times New Roman" w:hAnsi="Times New Roman"/>
          <w:sz w:val="24"/>
          <w:szCs w:val="24"/>
        </w:rPr>
        <w:t xml:space="preserve">  </w:t>
      </w:r>
    </w:p>
    <w:p w14:paraId="4C22DB1C" w14:textId="77777777" w:rsidR="00CC5138" w:rsidRDefault="00CC5138" w:rsidP="005E7BAC">
      <w:pPr>
        <w:pStyle w:val="NoSpacing"/>
        <w:ind w:firstLine="720"/>
        <w:jc w:val="both"/>
        <w:rPr>
          <w:rFonts w:ascii="Times New Roman" w:hAnsi="Times New Roman"/>
          <w:sz w:val="24"/>
          <w:szCs w:val="24"/>
        </w:rPr>
      </w:pPr>
    </w:p>
    <w:p w14:paraId="5A949EF7" w14:textId="2BCECBA1" w:rsidR="00CC5138" w:rsidRPr="00CC5138" w:rsidRDefault="00CC5138" w:rsidP="002E6A69">
      <w:pPr>
        <w:pStyle w:val="ListParagraph"/>
        <w:numPr>
          <w:ilvl w:val="0"/>
          <w:numId w:val="25"/>
        </w:numPr>
        <w:ind w:left="0" w:firstLine="0"/>
        <w:contextualSpacing w:val="0"/>
        <w:jc w:val="both"/>
        <w:rPr>
          <w:b/>
        </w:rPr>
      </w:pPr>
      <w:r w:rsidRPr="00CC5138">
        <w:rPr>
          <w:b/>
        </w:rPr>
        <w:t>Historical Residential Schedule 101 Hook-ups per Year</w:t>
      </w:r>
    </w:p>
    <w:p w14:paraId="12A342E6" w14:textId="77777777" w:rsidR="00CC5138" w:rsidRDefault="00CC5138" w:rsidP="00CC5138">
      <w:pPr>
        <w:pStyle w:val="ListParagraph"/>
        <w:ind w:left="0"/>
        <w:contextualSpacing w:val="0"/>
        <w:jc w:val="both"/>
      </w:pPr>
    </w:p>
    <w:p w14:paraId="51D22D80" w14:textId="38E63E5E" w:rsidR="002142D5" w:rsidRPr="00D85CAD" w:rsidRDefault="00355FE8" w:rsidP="00CC5138">
      <w:pPr>
        <w:pStyle w:val="ListParagraph"/>
        <w:ind w:left="0"/>
        <w:contextualSpacing w:val="0"/>
        <w:jc w:val="both"/>
      </w:pPr>
      <w:r>
        <w:t>T</w:t>
      </w:r>
      <w:r w:rsidR="00F32ACB">
        <w:t xml:space="preserve">able No. 1 below </w:t>
      </w:r>
      <w:r>
        <w:t xml:space="preserve">shows </w:t>
      </w:r>
      <w:r w:rsidR="00CC5138">
        <w:t xml:space="preserve">the </w:t>
      </w:r>
      <w:r>
        <w:t xml:space="preserve">historical </w:t>
      </w:r>
      <w:r w:rsidR="0042216E">
        <w:t xml:space="preserve">Washington </w:t>
      </w:r>
      <w:r>
        <w:t xml:space="preserve">residential Schedule 101 hook-ups per year.  </w:t>
      </w:r>
      <w:r w:rsidR="0095165B">
        <w:t>The data included in this table is based on when a new customer was first billed, which will differ from when the construction to install natural gas piping</w:t>
      </w:r>
      <w:r w:rsidR="00C13F7D">
        <w:t xml:space="preserve"> was completed</w:t>
      </w:r>
      <w:r w:rsidR="0095165B">
        <w:t xml:space="preserve"> and a meter was installed.  </w:t>
      </w:r>
      <w:r>
        <w:t xml:space="preserve">This table is included for comparison purposes to help understand the impacts from the change in methodology for calculating the line extension amount and providing excess allowance </w:t>
      </w:r>
      <w:r w:rsidR="00CC5138">
        <w:t xml:space="preserve">equipment </w:t>
      </w:r>
      <w:r w:rsidR="00CE4B5B">
        <w:t>rebates</w:t>
      </w:r>
      <w:r>
        <w:t xml:space="preserve">.  </w:t>
      </w:r>
    </w:p>
    <w:p w14:paraId="07286AA2" w14:textId="77777777" w:rsidR="002142D5" w:rsidRDefault="002142D5" w:rsidP="00497269">
      <w:pPr>
        <w:jc w:val="both"/>
        <w:rPr>
          <w:rFonts w:ascii="Times New Roman" w:hAnsi="Times New Roman"/>
        </w:rPr>
      </w:pPr>
    </w:p>
    <w:p w14:paraId="42374F39" w14:textId="5EE717FE" w:rsidR="00F32ACB" w:rsidRPr="005E7BAC" w:rsidRDefault="00F32ACB" w:rsidP="005E7BAC">
      <w:pPr>
        <w:ind w:firstLine="720"/>
        <w:jc w:val="both"/>
        <w:rPr>
          <w:rFonts w:ascii="Times New Roman" w:hAnsi="Times New Roman"/>
          <w:b/>
          <w:u w:val="single"/>
        </w:rPr>
      </w:pPr>
      <w:r w:rsidRPr="005E7BAC">
        <w:rPr>
          <w:rFonts w:ascii="Times New Roman" w:hAnsi="Times New Roman"/>
          <w:b/>
          <w:u w:val="single"/>
        </w:rPr>
        <w:t>Table No. 1</w:t>
      </w:r>
    </w:p>
    <w:tbl>
      <w:tblPr>
        <w:tblpPr w:leftFromText="180" w:rightFromText="180" w:vertAnchor="text" w:horzAnchor="page" w:tblpX="2176" w:tblpY="17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30"/>
        <w:gridCol w:w="1800"/>
      </w:tblGrid>
      <w:tr w:rsidR="00F03519" w:rsidRPr="00D85CAD" w14:paraId="20DB1445" w14:textId="77777777" w:rsidTr="004754CD">
        <w:trPr>
          <w:trHeight w:val="280"/>
        </w:trPr>
        <w:tc>
          <w:tcPr>
            <w:tcW w:w="2330" w:type="dxa"/>
            <w:tcMar>
              <w:top w:w="15" w:type="dxa"/>
              <w:left w:w="108" w:type="dxa"/>
              <w:bottom w:w="0" w:type="dxa"/>
              <w:right w:w="108" w:type="dxa"/>
            </w:tcMar>
            <w:vAlign w:val="bottom"/>
            <w:hideMark/>
          </w:tcPr>
          <w:p w14:paraId="320CA15B" w14:textId="4AA1B213" w:rsidR="00F03519" w:rsidRPr="00D85CAD" w:rsidRDefault="00CC5138" w:rsidP="00F03519">
            <w:pPr>
              <w:jc w:val="both"/>
              <w:rPr>
                <w:rFonts w:ascii="Times New Roman" w:hAnsi="Times New Roman"/>
              </w:rPr>
            </w:pPr>
            <w:r>
              <w:rPr>
                <w:rFonts w:ascii="Times New Roman" w:hAnsi="Times New Roman"/>
                <w:b/>
                <w:bCs/>
              </w:rPr>
              <w:t xml:space="preserve">Calendar </w:t>
            </w:r>
            <w:r w:rsidR="00F03519" w:rsidRPr="00D85CAD">
              <w:rPr>
                <w:rFonts w:ascii="Times New Roman" w:hAnsi="Times New Roman"/>
                <w:b/>
                <w:bCs/>
              </w:rPr>
              <w:t>Year</w:t>
            </w:r>
          </w:p>
        </w:tc>
        <w:tc>
          <w:tcPr>
            <w:tcW w:w="1800" w:type="dxa"/>
            <w:tcMar>
              <w:top w:w="15" w:type="dxa"/>
              <w:left w:w="108" w:type="dxa"/>
              <w:bottom w:w="0" w:type="dxa"/>
              <w:right w:w="108" w:type="dxa"/>
            </w:tcMar>
            <w:vAlign w:val="bottom"/>
            <w:hideMark/>
          </w:tcPr>
          <w:p w14:paraId="2996FFAB" w14:textId="77777777" w:rsidR="00F03519" w:rsidRPr="00D85CAD" w:rsidRDefault="00F03519" w:rsidP="00F03519">
            <w:pPr>
              <w:jc w:val="center"/>
              <w:rPr>
                <w:rFonts w:ascii="Times New Roman" w:hAnsi="Times New Roman"/>
              </w:rPr>
            </w:pPr>
            <w:r w:rsidRPr="00D85CAD">
              <w:rPr>
                <w:rFonts w:ascii="Times New Roman" w:hAnsi="Times New Roman"/>
                <w:b/>
                <w:bCs/>
              </w:rPr>
              <w:t>Residential</w:t>
            </w:r>
          </w:p>
        </w:tc>
      </w:tr>
      <w:tr w:rsidR="00F03519" w:rsidRPr="00D85CAD" w14:paraId="1142A4E3" w14:textId="77777777" w:rsidTr="004754CD">
        <w:trPr>
          <w:trHeight w:val="325"/>
        </w:trPr>
        <w:tc>
          <w:tcPr>
            <w:tcW w:w="2330" w:type="dxa"/>
            <w:tcMar>
              <w:top w:w="15" w:type="dxa"/>
              <w:left w:w="108" w:type="dxa"/>
              <w:bottom w:w="0" w:type="dxa"/>
              <w:right w:w="108" w:type="dxa"/>
            </w:tcMar>
            <w:vAlign w:val="bottom"/>
            <w:hideMark/>
          </w:tcPr>
          <w:p w14:paraId="0FA56A0B" w14:textId="77777777" w:rsidR="00F03519" w:rsidRPr="00D85CAD" w:rsidRDefault="00F03519" w:rsidP="00F03519">
            <w:pPr>
              <w:jc w:val="both"/>
              <w:rPr>
                <w:rFonts w:ascii="Times New Roman" w:hAnsi="Times New Roman"/>
              </w:rPr>
            </w:pPr>
            <w:r w:rsidRPr="00D85CAD">
              <w:rPr>
                <w:rFonts w:ascii="Times New Roman" w:hAnsi="Times New Roman"/>
              </w:rPr>
              <w:t>2005</w:t>
            </w:r>
          </w:p>
        </w:tc>
        <w:tc>
          <w:tcPr>
            <w:tcW w:w="1800" w:type="dxa"/>
            <w:tcMar>
              <w:top w:w="15" w:type="dxa"/>
              <w:left w:w="108" w:type="dxa"/>
              <w:bottom w:w="0" w:type="dxa"/>
              <w:right w:w="108" w:type="dxa"/>
            </w:tcMar>
            <w:vAlign w:val="bottom"/>
            <w:hideMark/>
          </w:tcPr>
          <w:p w14:paraId="57E1ECB4" w14:textId="77777777" w:rsidR="00F03519" w:rsidRPr="00D85CAD" w:rsidRDefault="00F03519" w:rsidP="00F03519">
            <w:pPr>
              <w:jc w:val="center"/>
              <w:rPr>
                <w:rFonts w:ascii="Times New Roman" w:hAnsi="Times New Roman"/>
              </w:rPr>
            </w:pPr>
            <w:r w:rsidRPr="00D85CAD">
              <w:rPr>
                <w:rFonts w:ascii="Times New Roman" w:hAnsi="Times New Roman"/>
              </w:rPr>
              <w:t>3,521</w:t>
            </w:r>
          </w:p>
        </w:tc>
      </w:tr>
      <w:tr w:rsidR="00F03519" w:rsidRPr="00D85CAD" w14:paraId="3727AA5A" w14:textId="77777777" w:rsidTr="004754CD">
        <w:trPr>
          <w:trHeight w:val="235"/>
        </w:trPr>
        <w:tc>
          <w:tcPr>
            <w:tcW w:w="2330" w:type="dxa"/>
            <w:tcMar>
              <w:top w:w="15" w:type="dxa"/>
              <w:left w:w="108" w:type="dxa"/>
              <w:bottom w:w="0" w:type="dxa"/>
              <w:right w:w="108" w:type="dxa"/>
            </w:tcMar>
            <w:vAlign w:val="bottom"/>
            <w:hideMark/>
          </w:tcPr>
          <w:p w14:paraId="44BC56BB" w14:textId="77777777" w:rsidR="00F03519" w:rsidRPr="00D85CAD" w:rsidRDefault="00F03519" w:rsidP="00F03519">
            <w:pPr>
              <w:jc w:val="both"/>
              <w:rPr>
                <w:rFonts w:ascii="Times New Roman" w:hAnsi="Times New Roman"/>
              </w:rPr>
            </w:pPr>
            <w:r w:rsidRPr="00D85CAD">
              <w:rPr>
                <w:rFonts w:ascii="Times New Roman" w:hAnsi="Times New Roman"/>
              </w:rPr>
              <w:t>2006</w:t>
            </w:r>
          </w:p>
        </w:tc>
        <w:tc>
          <w:tcPr>
            <w:tcW w:w="1800" w:type="dxa"/>
            <w:tcMar>
              <w:top w:w="15" w:type="dxa"/>
              <w:left w:w="108" w:type="dxa"/>
              <w:bottom w:w="0" w:type="dxa"/>
              <w:right w:w="108" w:type="dxa"/>
            </w:tcMar>
            <w:vAlign w:val="bottom"/>
            <w:hideMark/>
          </w:tcPr>
          <w:p w14:paraId="08581B9A" w14:textId="77777777" w:rsidR="00F03519" w:rsidRPr="00D85CAD" w:rsidRDefault="00F03519" w:rsidP="00F03519">
            <w:pPr>
              <w:jc w:val="center"/>
              <w:rPr>
                <w:rFonts w:ascii="Times New Roman" w:hAnsi="Times New Roman"/>
              </w:rPr>
            </w:pPr>
            <w:r w:rsidRPr="00D85CAD">
              <w:rPr>
                <w:rFonts w:ascii="Times New Roman" w:hAnsi="Times New Roman"/>
              </w:rPr>
              <w:t>3,489</w:t>
            </w:r>
          </w:p>
        </w:tc>
      </w:tr>
      <w:tr w:rsidR="00F03519" w:rsidRPr="00D85CAD" w14:paraId="4FC6E1A5" w14:textId="77777777" w:rsidTr="004754CD">
        <w:trPr>
          <w:trHeight w:val="118"/>
        </w:trPr>
        <w:tc>
          <w:tcPr>
            <w:tcW w:w="2330" w:type="dxa"/>
            <w:tcMar>
              <w:top w:w="15" w:type="dxa"/>
              <w:left w:w="108" w:type="dxa"/>
              <w:bottom w:w="0" w:type="dxa"/>
              <w:right w:w="108" w:type="dxa"/>
            </w:tcMar>
            <w:vAlign w:val="bottom"/>
            <w:hideMark/>
          </w:tcPr>
          <w:p w14:paraId="07BF1C82" w14:textId="77777777" w:rsidR="00F03519" w:rsidRPr="00D85CAD" w:rsidRDefault="00F03519" w:rsidP="00F03519">
            <w:pPr>
              <w:jc w:val="both"/>
              <w:rPr>
                <w:rFonts w:ascii="Times New Roman" w:hAnsi="Times New Roman"/>
              </w:rPr>
            </w:pPr>
            <w:r w:rsidRPr="00D85CAD">
              <w:rPr>
                <w:rFonts w:ascii="Times New Roman" w:hAnsi="Times New Roman"/>
              </w:rPr>
              <w:t>2007</w:t>
            </w:r>
          </w:p>
        </w:tc>
        <w:tc>
          <w:tcPr>
            <w:tcW w:w="1800" w:type="dxa"/>
            <w:tcMar>
              <w:top w:w="15" w:type="dxa"/>
              <w:left w:w="108" w:type="dxa"/>
              <w:bottom w:w="0" w:type="dxa"/>
              <w:right w:w="108" w:type="dxa"/>
            </w:tcMar>
            <w:vAlign w:val="bottom"/>
            <w:hideMark/>
          </w:tcPr>
          <w:p w14:paraId="49B56A96" w14:textId="77777777" w:rsidR="00F03519" w:rsidRPr="00D85CAD" w:rsidRDefault="00F03519" w:rsidP="00F03519">
            <w:pPr>
              <w:jc w:val="center"/>
              <w:rPr>
                <w:rFonts w:ascii="Times New Roman" w:hAnsi="Times New Roman"/>
              </w:rPr>
            </w:pPr>
            <w:r w:rsidRPr="00D85CAD">
              <w:rPr>
                <w:rFonts w:ascii="Times New Roman" w:hAnsi="Times New Roman"/>
              </w:rPr>
              <w:t>2,866</w:t>
            </w:r>
          </w:p>
        </w:tc>
      </w:tr>
      <w:tr w:rsidR="00F03519" w:rsidRPr="00D85CAD" w14:paraId="529421E1" w14:textId="77777777" w:rsidTr="004754CD">
        <w:trPr>
          <w:trHeight w:val="172"/>
        </w:trPr>
        <w:tc>
          <w:tcPr>
            <w:tcW w:w="2330" w:type="dxa"/>
            <w:tcMar>
              <w:top w:w="15" w:type="dxa"/>
              <w:left w:w="108" w:type="dxa"/>
              <w:bottom w:w="0" w:type="dxa"/>
              <w:right w:w="108" w:type="dxa"/>
            </w:tcMar>
            <w:vAlign w:val="bottom"/>
            <w:hideMark/>
          </w:tcPr>
          <w:p w14:paraId="1BCB5906" w14:textId="77777777" w:rsidR="00F03519" w:rsidRPr="00D85CAD" w:rsidRDefault="00F03519" w:rsidP="00F03519">
            <w:pPr>
              <w:jc w:val="both"/>
              <w:rPr>
                <w:rFonts w:ascii="Times New Roman" w:hAnsi="Times New Roman"/>
              </w:rPr>
            </w:pPr>
            <w:r w:rsidRPr="00D85CAD">
              <w:rPr>
                <w:rFonts w:ascii="Times New Roman" w:hAnsi="Times New Roman"/>
              </w:rPr>
              <w:t>2008</w:t>
            </w:r>
          </w:p>
        </w:tc>
        <w:tc>
          <w:tcPr>
            <w:tcW w:w="1800" w:type="dxa"/>
            <w:tcMar>
              <w:top w:w="15" w:type="dxa"/>
              <w:left w:w="108" w:type="dxa"/>
              <w:bottom w:w="0" w:type="dxa"/>
              <w:right w:w="108" w:type="dxa"/>
            </w:tcMar>
            <w:vAlign w:val="bottom"/>
            <w:hideMark/>
          </w:tcPr>
          <w:p w14:paraId="63230C1A" w14:textId="77777777" w:rsidR="00F03519" w:rsidRPr="00D85CAD" w:rsidRDefault="00F03519" w:rsidP="00F03519">
            <w:pPr>
              <w:jc w:val="center"/>
              <w:rPr>
                <w:rFonts w:ascii="Times New Roman" w:hAnsi="Times New Roman"/>
              </w:rPr>
            </w:pPr>
            <w:r w:rsidRPr="00D85CAD">
              <w:rPr>
                <w:rFonts w:ascii="Times New Roman" w:hAnsi="Times New Roman"/>
              </w:rPr>
              <w:t>2,644</w:t>
            </w:r>
          </w:p>
        </w:tc>
      </w:tr>
      <w:tr w:rsidR="00F03519" w:rsidRPr="00D85CAD" w14:paraId="33C95DDF" w14:textId="77777777" w:rsidTr="004754CD">
        <w:trPr>
          <w:trHeight w:val="145"/>
        </w:trPr>
        <w:tc>
          <w:tcPr>
            <w:tcW w:w="2330" w:type="dxa"/>
            <w:tcMar>
              <w:top w:w="15" w:type="dxa"/>
              <w:left w:w="108" w:type="dxa"/>
              <w:bottom w:w="0" w:type="dxa"/>
              <w:right w:w="108" w:type="dxa"/>
            </w:tcMar>
            <w:vAlign w:val="bottom"/>
            <w:hideMark/>
          </w:tcPr>
          <w:p w14:paraId="17E485D0" w14:textId="77777777" w:rsidR="00F03519" w:rsidRPr="00D85CAD" w:rsidRDefault="00F03519" w:rsidP="00F03519">
            <w:pPr>
              <w:jc w:val="both"/>
              <w:rPr>
                <w:rFonts w:ascii="Times New Roman" w:hAnsi="Times New Roman"/>
              </w:rPr>
            </w:pPr>
            <w:r w:rsidRPr="00D85CAD">
              <w:rPr>
                <w:rFonts w:ascii="Times New Roman" w:hAnsi="Times New Roman"/>
              </w:rPr>
              <w:t>2009</w:t>
            </w:r>
          </w:p>
        </w:tc>
        <w:tc>
          <w:tcPr>
            <w:tcW w:w="1800" w:type="dxa"/>
            <w:tcMar>
              <w:top w:w="15" w:type="dxa"/>
              <w:left w:w="108" w:type="dxa"/>
              <w:bottom w:w="0" w:type="dxa"/>
              <w:right w:w="108" w:type="dxa"/>
            </w:tcMar>
            <w:vAlign w:val="bottom"/>
            <w:hideMark/>
          </w:tcPr>
          <w:p w14:paraId="34EE4492" w14:textId="77777777" w:rsidR="00F03519" w:rsidRPr="00D85CAD" w:rsidRDefault="00F03519" w:rsidP="00F03519">
            <w:pPr>
              <w:jc w:val="center"/>
              <w:rPr>
                <w:rFonts w:ascii="Times New Roman" w:hAnsi="Times New Roman"/>
              </w:rPr>
            </w:pPr>
            <w:r w:rsidRPr="00D85CAD">
              <w:rPr>
                <w:rFonts w:ascii="Times New Roman" w:hAnsi="Times New Roman"/>
              </w:rPr>
              <w:t>1,723</w:t>
            </w:r>
          </w:p>
        </w:tc>
      </w:tr>
      <w:tr w:rsidR="00F03519" w:rsidRPr="00D85CAD" w14:paraId="3A840FF8" w14:textId="77777777" w:rsidTr="004754CD">
        <w:trPr>
          <w:trHeight w:val="118"/>
        </w:trPr>
        <w:tc>
          <w:tcPr>
            <w:tcW w:w="2330" w:type="dxa"/>
            <w:tcMar>
              <w:top w:w="15" w:type="dxa"/>
              <w:left w:w="108" w:type="dxa"/>
              <w:bottom w:w="0" w:type="dxa"/>
              <w:right w:w="108" w:type="dxa"/>
            </w:tcMar>
            <w:vAlign w:val="bottom"/>
            <w:hideMark/>
          </w:tcPr>
          <w:p w14:paraId="4F22FCC4" w14:textId="77777777" w:rsidR="00F03519" w:rsidRPr="00D85CAD" w:rsidRDefault="00F03519" w:rsidP="00F03519">
            <w:pPr>
              <w:jc w:val="both"/>
              <w:rPr>
                <w:rFonts w:ascii="Times New Roman" w:hAnsi="Times New Roman"/>
              </w:rPr>
            </w:pPr>
            <w:r w:rsidRPr="00D85CAD">
              <w:rPr>
                <w:rFonts w:ascii="Times New Roman" w:hAnsi="Times New Roman"/>
              </w:rPr>
              <w:t>2010</w:t>
            </w:r>
          </w:p>
        </w:tc>
        <w:tc>
          <w:tcPr>
            <w:tcW w:w="1800" w:type="dxa"/>
            <w:tcMar>
              <w:top w:w="15" w:type="dxa"/>
              <w:left w:w="108" w:type="dxa"/>
              <w:bottom w:w="0" w:type="dxa"/>
              <w:right w:w="108" w:type="dxa"/>
            </w:tcMar>
            <w:vAlign w:val="bottom"/>
            <w:hideMark/>
          </w:tcPr>
          <w:p w14:paraId="0C47D35B" w14:textId="77777777" w:rsidR="00F03519" w:rsidRPr="00D85CAD" w:rsidRDefault="00F03519" w:rsidP="00F03519">
            <w:pPr>
              <w:jc w:val="center"/>
              <w:rPr>
                <w:rFonts w:ascii="Times New Roman" w:hAnsi="Times New Roman"/>
              </w:rPr>
            </w:pPr>
            <w:r w:rsidRPr="00D85CAD">
              <w:rPr>
                <w:rFonts w:ascii="Times New Roman" w:hAnsi="Times New Roman"/>
              </w:rPr>
              <w:t>1,562</w:t>
            </w:r>
          </w:p>
        </w:tc>
      </w:tr>
      <w:tr w:rsidR="00F03519" w:rsidRPr="00D85CAD" w14:paraId="2814493C" w14:textId="77777777" w:rsidTr="004754CD">
        <w:trPr>
          <w:trHeight w:val="82"/>
        </w:trPr>
        <w:tc>
          <w:tcPr>
            <w:tcW w:w="2330" w:type="dxa"/>
            <w:tcMar>
              <w:top w:w="15" w:type="dxa"/>
              <w:left w:w="108" w:type="dxa"/>
              <w:bottom w:w="0" w:type="dxa"/>
              <w:right w:w="108" w:type="dxa"/>
            </w:tcMar>
            <w:vAlign w:val="bottom"/>
            <w:hideMark/>
          </w:tcPr>
          <w:p w14:paraId="776562A0" w14:textId="77777777" w:rsidR="00F03519" w:rsidRPr="00D85CAD" w:rsidRDefault="00F03519" w:rsidP="00F03519">
            <w:pPr>
              <w:jc w:val="both"/>
              <w:rPr>
                <w:rFonts w:ascii="Times New Roman" w:hAnsi="Times New Roman"/>
              </w:rPr>
            </w:pPr>
            <w:r w:rsidRPr="00D85CAD">
              <w:rPr>
                <w:rFonts w:ascii="Times New Roman" w:hAnsi="Times New Roman"/>
              </w:rPr>
              <w:t>2011</w:t>
            </w:r>
          </w:p>
        </w:tc>
        <w:tc>
          <w:tcPr>
            <w:tcW w:w="1800" w:type="dxa"/>
            <w:tcMar>
              <w:top w:w="15" w:type="dxa"/>
              <w:left w:w="108" w:type="dxa"/>
              <w:bottom w:w="0" w:type="dxa"/>
              <w:right w:w="108" w:type="dxa"/>
            </w:tcMar>
            <w:vAlign w:val="bottom"/>
            <w:hideMark/>
          </w:tcPr>
          <w:p w14:paraId="0785838C" w14:textId="77777777" w:rsidR="00F03519" w:rsidRPr="00D85CAD" w:rsidRDefault="00F03519" w:rsidP="00F03519">
            <w:pPr>
              <w:jc w:val="center"/>
              <w:rPr>
                <w:rFonts w:ascii="Times New Roman" w:hAnsi="Times New Roman"/>
              </w:rPr>
            </w:pPr>
            <w:r w:rsidRPr="00D85CAD">
              <w:rPr>
                <w:rFonts w:ascii="Times New Roman" w:hAnsi="Times New Roman"/>
              </w:rPr>
              <w:t>1,482</w:t>
            </w:r>
          </w:p>
        </w:tc>
      </w:tr>
      <w:tr w:rsidR="00F03519" w:rsidRPr="00D85CAD" w14:paraId="4E2010D3" w14:textId="77777777" w:rsidTr="004754CD">
        <w:trPr>
          <w:trHeight w:val="145"/>
        </w:trPr>
        <w:tc>
          <w:tcPr>
            <w:tcW w:w="2330" w:type="dxa"/>
            <w:tcMar>
              <w:top w:w="15" w:type="dxa"/>
              <w:left w:w="108" w:type="dxa"/>
              <w:bottom w:w="0" w:type="dxa"/>
              <w:right w:w="108" w:type="dxa"/>
            </w:tcMar>
            <w:vAlign w:val="bottom"/>
            <w:hideMark/>
          </w:tcPr>
          <w:p w14:paraId="2D4A3F31" w14:textId="77777777" w:rsidR="00F03519" w:rsidRPr="00D85CAD" w:rsidRDefault="00F03519" w:rsidP="00F03519">
            <w:pPr>
              <w:jc w:val="both"/>
              <w:rPr>
                <w:rFonts w:ascii="Times New Roman" w:hAnsi="Times New Roman"/>
              </w:rPr>
            </w:pPr>
            <w:r w:rsidRPr="00D85CAD">
              <w:rPr>
                <w:rFonts w:ascii="Times New Roman" w:hAnsi="Times New Roman"/>
              </w:rPr>
              <w:t>2012</w:t>
            </w:r>
          </w:p>
        </w:tc>
        <w:tc>
          <w:tcPr>
            <w:tcW w:w="1800" w:type="dxa"/>
            <w:tcMar>
              <w:top w:w="15" w:type="dxa"/>
              <w:left w:w="108" w:type="dxa"/>
              <w:bottom w:w="0" w:type="dxa"/>
              <w:right w:w="108" w:type="dxa"/>
            </w:tcMar>
            <w:vAlign w:val="bottom"/>
            <w:hideMark/>
          </w:tcPr>
          <w:p w14:paraId="1466FDB7" w14:textId="77777777" w:rsidR="00F03519" w:rsidRPr="00D85CAD" w:rsidRDefault="00F03519" w:rsidP="00F03519">
            <w:pPr>
              <w:jc w:val="center"/>
              <w:rPr>
                <w:rFonts w:ascii="Times New Roman" w:hAnsi="Times New Roman"/>
              </w:rPr>
            </w:pPr>
            <w:r w:rsidRPr="00D85CAD">
              <w:rPr>
                <w:rFonts w:ascii="Times New Roman" w:hAnsi="Times New Roman"/>
              </w:rPr>
              <w:t>1,705</w:t>
            </w:r>
          </w:p>
        </w:tc>
      </w:tr>
      <w:tr w:rsidR="00F03519" w:rsidRPr="00D85CAD" w14:paraId="1C08B5AE" w14:textId="77777777" w:rsidTr="004754CD">
        <w:trPr>
          <w:trHeight w:val="45"/>
        </w:trPr>
        <w:tc>
          <w:tcPr>
            <w:tcW w:w="2330" w:type="dxa"/>
            <w:tcMar>
              <w:top w:w="15" w:type="dxa"/>
              <w:left w:w="108" w:type="dxa"/>
              <w:bottom w:w="0" w:type="dxa"/>
              <w:right w:w="108" w:type="dxa"/>
            </w:tcMar>
            <w:vAlign w:val="bottom"/>
            <w:hideMark/>
          </w:tcPr>
          <w:p w14:paraId="3F324319" w14:textId="77777777" w:rsidR="00F03519" w:rsidRPr="00D85CAD" w:rsidRDefault="00F03519" w:rsidP="00F03519">
            <w:pPr>
              <w:jc w:val="both"/>
              <w:rPr>
                <w:rFonts w:ascii="Times New Roman" w:hAnsi="Times New Roman"/>
              </w:rPr>
            </w:pPr>
            <w:r w:rsidRPr="00D85CAD">
              <w:rPr>
                <w:rFonts w:ascii="Times New Roman" w:hAnsi="Times New Roman"/>
              </w:rPr>
              <w:t>2013</w:t>
            </w:r>
          </w:p>
        </w:tc>
        <w:tc>
          <w:tcPr>
            <w:tcW w:w="1800" w:type="dxa"/>
            <w:tcMar>
              <w:top w:w="15" w:type="dxa"/>
              <w:left w:w="108" w:type="dxa"/>
              <w:bottom w:w="0" w:type="dxa"/>
              <w:right w:w="108" w:type="dxa"/>
            </w:tcMar>
            <w:vAlign w:val="bottom"/>
            <w:hideMark/>
          </w:tcPr>
          <w:p w14:paraId="0644E4C3" w14:textId="77777777" w:rsidR="00F03519" w:rsidRPr="00D85CAD" w:rsidRDefault="00F03519" w:rsidP="00F03519">
            <w:pPr>
              <w:jc w:val="center"/>
              <w:rPr>
                <w:rFonts w:ascii="Times New Roman" w:hAnsi="Times New Roman"/>
              </w:rPr>
            </w:pPr>
            <w:r w:rsidRPr="00D85CAD">
              <w:rPr>
                <w:rFonts w:ascii="Times New Roman" w:hAnsi="Times New Roman"/>
              </w:rPr>
              <w:t>2,030</w:t>
            </w:r>
          </w:p>
        </w:tc>
      </w:tr>
      <w:tr w:rsidR="00F03519" w:rsidRPr="00D85CAD" w14:paraId="3306C864" w14:textId="77777777" w:rsidTr="004754CD">
        <w:trPr>
          <w:trHeight w:val="45"/>
        </w:trPr>
        <w:tc>
          <w:tcPr>
            <w:tcW w:w="2330" w:type="dxa"/>
            <w:tcMar>
              <w:top w:w="15" w:type="dxa"/>
              <w:left w:w="108" w:type="dxa"/>
              <w:bottom w:w="0" w:type="dxa"/>
              <w:right w:w="108" w:type="dxa"/>
            </w:tcMar>
            <w:vAlign w:val="bottom"/>
            <w:hideMark/>
          </w:tcPr>
          <w:p w14:paraId="152E8777" w14:textId="77777777" w:rsidR="00F03519" w:rsidRPr="00D85CAD" w:rsidRDefault="00F03519" w:rsidP="00F03519">
            <w:pPr>
              <w:jc w:val="both"/>
              <w:rPr>
                <w:rFonts w:ascii="Times New Roman" w:hAnsi="Times New Roman"/>
              </w:rPr>
            </w:pPr>
            <w:r w:rsidRPr="00D85CAD">
              <w:rPr>
                <w:rFonts w:ascii="Times New Roman" w:hAnsi="Times New Roman"/>
              </w:rPr>
              <w:t>2014</w:t>
            </w:r>
          </w:p>
        </w:tc>
        <w:tc>
          <w:tcPr>
            <w:tcW w:w="1800" w:type="dxa"/>
            <w:tcMar>
              <w:top w:w="15" w:type="dxa"/>
              <w:left w:w="108" w:type="dxa"/>
              <w:bottom w:w="0" w:type="dxa"/>
              <w:right w:w="108" w:type="dxa"/>
            </w:tcMar>
            <w:vAlign w:val="bottom"/>
            <w:hideMark/>
          </w:tcPr>
          <w:p w14:paraId="350F9D00" w14:textId="054F8F92" w:rsidR="00F03519" w:rsidRPr="00D85CAD" w:rsidRDefault="00F03519" w:rsidP="00D1293B">
            <w:pPr>
              <w:jc w:val="center"/>
              <w:rPr>
                <w:rFonts w:ascii="Times New Roman" w:hAnsi="Times New Roman"/>
              </w:rPr>
            </w:pPr>
            <w:r w:rsidRPr="00D85CAD">
              <w:rPr>
                <w:rFonts w:ascii="Times New Roman" w:hAnsi="Times New Roman"/>
              </w:rPr>
              <w:t>2,499</w:t>
            </w:r>
            <w:r>
              <w:rPr>
                <w:rStyle w:val="FootnoteReference"/>
                <w:rFonts w:ascii="Times New Roman" w:hAnsi="Times New Roman"/>
              </w:rPr>
              <w:footnoteReference w:id="1"/>
            </w:r>
          </w:p>
        </w:tc>
      </w:tr>
      <w:tr w:rsidR="00F03519" w:rsidRPr="00D85CAD" w14:paraId="35820A39" w14:textId="77777777" w:rsidTr="004754CD">
        <w:trPr>
          <w:trHeight w:val="145"/>
        </w:trPr>
        <w:tc>
          <w:tcPr>
            <w:tcW w:w="2330" w:type="dxa"/>
            <w:tcMar>
              <w:top w:w="15" w:type="dxa"/>
              <w:left w:w="108" w:type="dxa"/>
              <w:bottom w:w="0" w:type="dxa"/>
              <w:right w:w="108" w:type="dxa"/>
            </w:tcMar>
            <w:vAlign w:val="bottom"/>
            <w:hideMark/>
          </w:tcPr>
          <w:p w14:paraId="2642716E" w14:textId="77777777" w:rsidR="00F03519" w:rsidRPr="00D85CAD" w:rsidRDefault="00F03519" w:rsidP="00F03519">
            <w:pPr>
              <w:jc w:val="both"/>
              <w:rPr>
                <w:rFonts w:ascii="Times New Roman" w:hAnsi="Times New Roman"/>
              </w:rPr>
            </w:pPr>
            <w:r w:rsidRPr="00D85CAD">
              <w:rPr>
                <w:rFonts w:ascii="Times New Roman" w:hAnsi="Times New Roman"/>
              </w:rPr>
              <w:t>2015</w:t>
            </w:r>
          </w:p>
        </w:tc>
        <w:tc>
          <w:tcPr>
            <w:tcW w:w="1800" w:type="dxa"/>
            <w:tcMar>
              <w:top w:w="15" w:type="dxa"/>
              <w:left w:w="108" w:type="dxa"/>
              <w:bottom w:w="0" w:type="dxa"/>
              <w:right w:w="108" w:type="dxa"/>
            </w:tcMar>
            <w:vAlign w:val="bottom"/>
            <w:hideMark/>
          </w:tcPr>
          <w:p w14:paraId="5E065F47" w14:textId="77777777" w:rsidR="00F03519" w:rsidRPr="00D85CAD" w:rsidRDefault="00F03519" w:rsidP="00F03519">
            <w:pPr>
              <w:jc w:val="center"/>
              <w:rPr>
                <w:rFonts w:ascii="Times New Roman" w:hAnsi="Times New Roman"/>
              </w:rPr>
            </w:pPr>
            <w:r w:rsidRPr="00D85CAD">
              <w:rPr>
                <w:rFonts w:ascii="Times New Roman" w:hAnsi="Times New Roman"/>
              </w:rPr>
              <w:t>2,174</w:t>
            </w:r>
          </w:p>
        </w:tc>
      </w:tr>
      <w:tr w:rsidR="00F03519" w:rsidRPr="00D85CAD" w14:paraId="35E3E8B8" w14:textId="77777777" w:rsidTr="004754CD">
        <w:trPr>
          <w:trHeight w:val="145"/>
        </w:trPr>
        <w:tc>
          <w:tcPr>
            <w:tcW w:w="2330" w:type="dxa"/>
            <w:tcMar>
              <w:top w:w="15" w:type="dxa"/>
              <w:left w:w="108" w:type="dxa"/>
              <w:bottom w:w="0" w:type="dxa"/>
              <w:right w:w="108" w:type="dxa"/>
            </w:tcMar>
            <w:vAlign w:val="bottom"/>
          </w:tcPr>
          <w:p w14:paraId="58CF07F8" w14:textId="66B24EFE" w:rsidR="00F03519" w:rsidRPr="00D85CAD" w:rsidRDefault="00F03519" w:rsidP="004754CD">
            <w:pPr>
              <w:jc w:val="both"/>
              <w:rPr>
                <w:rFonts w:ascii="Times New Roman" w:hAnsi="Times New Roman"/>
              </w:rPr>
            </w:pPr>
            <w:r w:rsidRPr="00D85CAD">
              <w:rPr>
                <w:rFonts w:ascii="Times New Roman" w:hAnsi="Times New Roman"/>
              </w:rPr>
              <w:t xml:space="preserve">2016 </w:t>
            </w:r>
          </w:p>
        </w:tc>
        <w:tc>
          <w:tcPr>
            <w:tcW w:w="1800" w:type="dxa"/>
            <w:tcMar>
              <w:top w:w="15" w:type="dxa"/>
              <w:left w:w="108" w:type="dxa"/>
              <w:bottom w:w="0" w:type="dxa"/>
              <w:right w:w="108" w:type="dxa"/>
            </w:tcMar>
            <w:vAlign w:val="bottom"/>
          </w:tcPr>
          <w:p w14:paraId="19719814" w14:textId="47FA1E1B" w:rsidR="00F03519" w:rsidRPr="00D85CAD" w:rsidRDefault="00BD7C3B" w:rsidP="00F03519">
            <w:pPr>
              <w:jc w:val="center"/>
              <w:rPr>
                <w:rFonts w:ascii="Times New Roman" w:hAnsi="Times New Roman"/>
              </w:rPr>
            </w:pPr>
            <w:r>
              <w:rPr>
                <w:rFonts w:ascii="Times New Roman" w:hAnsi="Times New Roman"/>
              </w:rPr>
              <w:t>3,075</w:t>
            </w:r>
          </w:p>
        </w:tc>
      </w:tr>
      <w:tr w:rsidR="004754CD" w:rsidRPr="00D85CAD" w14:paraId="0808E713" w14:textId="77777777" w:rsidTr="004754CD">
        <w:trPr>
          <w:trHeight w:val="145"/>
        </w:trPr>
        <w:tc>
          <w:tcPr>
            <w:tcW w:w="2330" w:type="dxa"/>
            <w:tcMar>
              <w:top w:w="15" w:type="dxa"/>
              <w:left w:w="108" w:type="dxa"/>
              <w:bottom w:w="0" w:type="dxa"/>
              <w:right w:w="108" w:type="dxa"/>
            </w:tcMar>
            <w:vAlign w:val="bottom"/>
          </w:tcPr>
          <w:p w14:paraId="5506A434" w14:textId="21D58890" w:rsidR="004754CD" w:rsidRPr="00D85CAD" w:rsidRDefault="004754CD" w:rsidP="004754CD">
            <w:pPr>
              <w:jc w:val="both"/>
              <w:rPr>
                <w:rFonts w:ascii="Times New Roman" w:hAnsi="Times New Roman"/>
              </w:rPr>
            </w:pPr>
            <w:r>
              <w:rPr>
                <w:rFonts w:ascii="Times New Roman" w:hAnsi="Times New Roman"/>
              </w:rPr>
              <w:t>2017 – YTD February</w:t>
            </w:r>
          </w:p>
        </w:tc>
        <w:tc>
          <w:tcPr>
            <w:tcW w:w="1800" w:type="dxa"/>
            <w:tcMar>
              <w:top w:w="15" w:type="dxa"/>
              <w:left w:w="108" w:type="dxa"/>
              <w:bottom w:w="0" w:type="dxa"/>
              <w:right w:w="108" w:type="dxa"/>
            </w:tcMar>
            <w:vAlign w:val="bottom"/>
          </w:tcPr>
          <w:p w14:paraId="7AD63DAC" w14:textId="6161C8CC" w:rsidR="004754CD" w:rsidRPr="00D85CAD" w:rsidRDefault="00BD7C3B" w:rsidP="00F03519">
            <w:pPr>
              <w:jc w:val="center"/>
              <w:rPr>
                <w:rFonts w:ascii="Times New Roman" w:hAnsi="Times New Roman"/>
              </w:rPr>
            </w:pPr>
            <w:r>
              <w:rPr>
                <w:rFonts w:ascii="Times New Roman" w:hAnsi="Times New Roman"/>
              </w:rPr>
              <w:t>643</w:t>
            </w:r>
          </w:p>
        </w:tc>
      </w:tr>
    </w:tbl>
    <w:p w14:paraId="6CDC64BC" w14:textId="77777777" w:rsidR="00F32ACB" w:rsidRPr="00D85CAD" w:rsidRDefault="00F32ACB" w:rsidP="00497269">
      <w:pPr>
        <w:jc w:val="both"/>
        <w:rPr>
          <w:rFonts w:ascii="Times New Roman" w:hAnsi="Times New Roman"/>
        </w:rPr>
      </w:pPr>
    </w:p>
    <w:p w14:paraId="4A1AC06E" w14:textId="77777777" w:rsidR="00F03519" w:rsidRDefault="00F03519" w:rsidP="00497269">
      <w:pPr>
        <w:jc w:val="both"/>
        <w:rPr>
          <w:rFonts w:ascii="Times New Roman" w:hAnsi="Times New Roman"/>
        </w:rPr>
      </w:pPr>
    </w:p>
    <w:p w14:paraId="7F5510A0" w14:textId="77777777" w:rsidR="00F03519" w:rsidRDefault="00F03519" w:rsidP="00497269">
      <w:pPr>
        <w:jc w:val="both"/>
        <w:rPr>
          <w:rFonts w:ascii="Times New Roman" w:hAnsi="Times New Roman"/>
        </w:rPr>
      </w:pPr>
    </w:p>
    <w:p w14:paraId="7D6BD411" w14:textId="77777777" w:rsidR="00F03519" w:rsidRDefault="00F03519" w:rsidP="00497269">
      <w:pPr>
        <w:jc w:val="both"/>
        <w:rPr>
          <w:rFonts w:ascii="Times New Roman" w:hAnsi="Times New Roman"/>
        </w:rPr>
      </w:pPr>
    </w:p>
    <w:p w14:paraId="2CB37974" w14:textId="77777777" w:rsidR="00F03519" w:rsidRDefault="00F03519" w:rsidP="00497269">
      <w:pPr>
        <w:jc w:val="both"/>
        <w:rPr>
          <w:rFonts w:ascii="Times New Roman" w:hAnsi="Times New Roman"/>
        </w:rPr>
      </w:pPr>
    </w:p>
    <w:p w14:paraId="7C47128E" w14:textId="77777777" w:rsidR="00F03519" w:rsidRDefault="00F03519" w:rsidP="00497269">
      <w:pPr>
        <w:jc w:val="both"/>
        <w:rPr>
          <w:rFonts w:ascii="Times New Roman" w:hAnsi="Times New Roman"/>
        </w:rPr>
      </w:pPr>
    </w:p>
    <w:p w14:paraId="4D9FD35C" w14:textId="77777777" w:rsidR="00F03519" w:rsidRDefault="00F03519" w:rsidP="00497269">
      <w:pPr>
        <w:jc w:val="both"/>
        <w:rPr>
          <w:rFonts w:ascii="Times New Roman" w:hAnsi="Times New Roman"/>
        </w:rPr>
      </w:pPr>
    </w:p>
    <w:p w14:paraId="077C6158" w14:textId="77777777" w:rsidR="00F03519" w:rsidRDefault="00F03519" w:rsidP="00497269">
      <w:pPr>
        <w:jc w:val="both"/>
        <w:rPr>
          <w:rFonts w:ascii="Times New Roman" w:hAnsi="Times New Roman"/>
        </w:rPr>
      </w:pPr>
    </w:p>
    <w:p w14:paraId="49AF162E" w14:textId="77777777" w:rsidR="00F03519" w:rsidRDefault="00F03519" w:rsidP="00497269">
      <w:pPr>
        <w:jc w:val="both"/>
        <w:rPr>
          <w:rFonts w:ascii="Times New Roman" w:hAnsi="Times New Roman"/>
        </w:rPr>
      </w:pPr>
    </w:p>
    <w:p w14:paraId="5CF2B8CD" w14:textId="77777777" w:rsidR="00F03519" w:rsidRDefault="00F03519" w:rsidP="00497269">
      <w:pPr>
        <w:jc w:val="both"/>
        <w:rPr>
          <w:rFonts w:ascii="Times New Roman" w:hAnsi="Times New Roman"/>
        </w:rPr>
      </w:pPr>
    </w:p>
    <w:p w14:paraId="66A8855C" w14:textId="77777777" w:rsidR="00F03519" w:rsidRDefault="00F03519" w:rsidP="00497269">
      <w:pPr>
        <w:jc w:val="both"/>
        <w:rPr>
          <w:rFonts w:ascii="Times New Roman" w:hAnsi="Times New Roman"/>
        </w:rPr>
      </w:pPr>
    </w:p>
    <w:p w14:paraId="6A11020C" w14:textId="77777777" w:rsidR="00F03519" w:rsidRDefault="00F03519" w:rsidP="00497269">
      <w:pPr>
        <w:jc w:val="both"/>
        <w:rPr>
          <w:rFonts w:ascii="Times New Roman" w:hAnsi="Times New Roman"/>
        </w:rPr>
      </w:pPr>
    </w:p>
    <w:p w14:paraId="29886838" w14:textId="77777777" w:rsidR="00F03519" w:rsidRDefault="00F03519" w:rsidP="00497269">
      <w:pPr>
        <w:jc w:val="both"/>
        <w:rPr>
          <w:rFonts w:ascii="Times New Roman" w:hAnsi="Times New Roman"/>
        </w:rPr>
      </w:pPr>
    </w:p>
    <w:p w14:paraId="7112E85C" w14:textId="77777777" w:rsidR="00F03519" w:rsidRDefault="00F03519" w:rsidP="00497269">
      <w:pPr>
        <w:jc w:val="both"/>
        <w:rPr>
          <w:rFonts w:ascii="Times New Roman" w:hAnsi="Times New Roman"/>
        </w:rPr>
      </w:pPr>
    </w:p>
    <w:p w14:paraId="7D68FE37" w14:textId="77777777" w:rsidR="00F03519" w:rsidRDefault="00F03519" w:rsidP="00497269">
      <w:pPr>
        <w:jc w:val="both"/>
        <w:rPr>
          <w:rFonts w:ascii="Times New Roman" w:hAnsi="Times New Roman"/>
        </w:rPr>
      </w:pPr>
    </w:p>
    <w:p w14:paraId="3FED7A4B" w14:textId="77777777" w:rsidR="00F03519" w:rsidRDefault="00F03519" w:rsidP="00497269">
      <w:pPr>
        <w:jc w:val="both"/>
        <w:rPr>
          <w:rFonts w:ascii="Times New Roman" w:hAnsi="Times New Roman"/>
        </w:rPr>
      </w:pPr>
    </w:p>
    <w:p w14:paraId="5926CC3F" w14:textId="77777777" w:rsidR="002142D5" w:rsidRDefault="002142D5" w:rsidP="00497269">
      <w:pPr>
        <w:jc w:val="both"/>
        <w:rPr>
          <w:rFonts w:ascii="Times New Roman" w:hAnsi="Times New Roman"/>
        </w:rPr>
      </w:pPr>
    </w:p>
    <w:p w14:paraId="787C1CA2" w14:textId="77777777" w:rsidR="004754CD" w:rsidRDefault="004754CD" w:rsidP="00497269">
      <w:pPr>
        <w:jc w:val="both"/>
        <w:rPr>
          <w:rFonts w:ascii="Times New Roman" w:hAnsi="Times New Roman"/>
        </w:rPr>
      </w:pPr>
    </w:p>
    <w:p w14:paraId="50D8B1A6" w14:textId="7017653F" w:rsidR="0042216E" w:rsidRDefault="0042216E" w:rsidP="00497269">
      <w:pPr>
        <w:jc w:val="both"/>
        <w:rPr>
          <w:rFonts w:ascii="Times New Roman" w:hAnsi="Times New Roman"/>
        </w:rPr>
      </w:pPr>
      <w:r>
        <w:rPr>
          <w:rFonts w:ascii="Times New Roman" w:hAnsi="Times New Roman"/>
        </w:rPr>
        <w:t xml:space="preserve">New residential </w:t>
      </w:r>
      <w:r w:rsidR="00634046">
        <w:rPr>
          <w:rFonts w:ascii="Times New Roman" w:hAnsi="Times New Roman"/>
        </w:rPr>
        <w:t>S</w:t>
      </w:r>
      <w:r>
        <w:rPr>
          <w:rFonts w:ascii="Times New Roman" w:hAnsi="Times New Roman"/>
        </w:rPr>
        <w:t>chedul</w:t>
      </w:r>
      <w:r w:rsidR="00634046">
        <w:rPr>
          <w:rFonts w:ascii="Times New Roman" w:hAnsi="Times New Roman"/>
        </w:rPr>
        <w:t xml:space="preserve">e 101 hookups were </w:t>
      </w:r>
      <w:r w:rsidR="00774400">
        <w:rPr>
          <w:rFonts w:ascii="Times New Roman" w:hAnsi="Times New Roman"/>
        </w:rPr>
        <w:t xml:space="preserve">well </w:t>
      </w:r>
      <w:r w:rsidR="0095165B">
        <w:rPr>
          <w:rFonts w:ascii="Times New Roman" w:hAnsi="Times New Roman"/>
        </w:rPr>
        <w:t>above expectations in 2016 and the prior year</w:t>
      </w:r>
      <w:r w:rsidR="00634046">
        <w:rPr>
          <w:rFonts w:ascii="Times New Roman" w:hAnsi="Times New Roman"/>
        </w:rPr>
        <w:t xml:space="preserve">.  This was primarily due to the increases line extensions allowance and providing excess allowance </w:t>
      </w:r>
      <w:r w:rsidR="00CE4B5B">
        <w:rPr>
          <w:rFonts w:ascii="Times New Roman" w:hAnsi="Times New Roman"/>
        </w:rPr>
        <w:t>rebates</w:t>
      </w:r>
      <w:r w:rsidR="00634046">
        <w:rPr>
          <w:rFonts w:ascii="Times New Roman" w:hAnsi="Times New Roman"/>
        </w:rPr>
        <w:t xml:space="preserve"> to customers, along with the fact that new construction permits came in stronger than expected.  </w:t>
      </w:r>
    </w:p>
    <w:p w14:paraId="1A6FDF5D" w14:textId="66BCEBAE" w:rsidR="0095165B" w:rsidRDefault="0095165B">
      <w:pPr>
        <w:rPr>
          <w:rFonts w:ascii="Times New Roman" w:hAnsi="Times New Roman"/>
        </w:rPr>
      </w:pPr>
    </w:p>
    <w:p w14:paraId="64C0D8DD" w14:textId="2F17059B" w:rsidR="0095165B" w:rsidRPr="0095165B" w:rsidRDefault="0095165B" w:rsidP="00954C28">
      <w:pPr>
        <w:pStyle w:val="ListParagraph"/>
        <w:numPr>
          <w:ilvl w:val="0"/>
          <w:numId w:val="25"/>
        </w:numPr>
        <w:tabs>
          <w:tab w:val="left" w:pos="630"/>
        </w:tabs>
        <w:ind w:left="0" w:firstLine="0"/>
        <w:contextualSpacing w:val="0"/>
        <w:jc w:val="both"/>
        <w:rPr>
          <w:b/>
        </w:rPr>
      </w:pPr>
      <w:r w:rsidRPr="0095165B">
        <w:rPr>
          <w:b/>
        </w:rPr>
        <w:t xml:space="preserve">New Residential Schedule 101 Hook-ups </w:t>
      </w:r>
      <w:r w:rsidR="001866C2">
        <w:rPr>
          <w:b/>
        </w:rPr>
        <w:t>from March 1, 2016 to February 28, 2017</w:t>
      </w:r>
    </w:p>
    <w:p w14:paraId="554C773E" w14:textId="77777777" w:rsidR="0095165B" w:rsidRDefault="0095165B" w:rsidP="0095165B">
      <w:pPr>
        <w:pStyle w:val="ListParagraph"/>
        <w:tabs>
          <w:tab w:val="left" w:pos="630"/>
        </w:tabs>
        <w:ind w:left="0"/>
        <w:contextualSpacing w:val="0"/>
        <w:jc w:val="both"/>
      </w:pPr>
    </w:p>
    <w:p w14:paraId="407662E8" w14:textId="1931CB72" w:rsidR="002142D5" w:rsidRDefault="0095165B" w:rsidP="0095165B">
      <w:pPr>
        <w:pStyle w:val="ListParagraph"/>
        <w:tabs>
          <w:tab w:val="left" w:pos="630"/>
        </w:tabs>
        <w:ind w:left="0"/>
        <w:contextualSpacing w:val="0"/>
        <w:jc w:val="both"/>
      </w:pPr>
      <w:r>
        <w:t>The n</w:t>
      </w:r>
      <w:r w:rsidR="002142D5" w:rsidRPr="00D85CAD">
        <w:t>umber of new customer hook</w:t>
      </w:r>
      <w:r w:rsidR="000D7C31">
        <w:t>-u</w:t>
      </w:r>
      <w:r w:rsidR="002142D5" w:rsidRPr="00D85CAD">
        <w:t>ps</w:t>
      </w:r>
      <w:r w:rsidR="00B719CC">
        <w:t xml:space="preserve"> from </w:t>
      </w:r>
      <w:r w:rsidR="004754CD">
        <w:t>March</w:t>
      </w:r>
      <w:r w:rsidR="00B719CC">
        <w:t xml:space="preserve"> 1, 2016 to </w:t>
      </w:r>
      <w:r w:rsidR="004754CD">
        <w:t>February 28</w:t>
      </w:r>
      <w:r w:rsidR="00B719CC">
        <w:t>, 201</w:t>
      </w:r>
      <w:r w:rsidR="004754CD">
        <w:t>7</w:t>
      </w:r>
      <w:r w:rsidR="002142D5" w:rsidRPr="00D85CAD">
        <w:t>, broken down by conversion vs. new construction</w:t>
      </w:r>
      <w:r w:rsidR="001866C2">
        <w:t xml:space="preserve"> is as follows:</w:t>
      </w:r>
      <w:r w:rsidR="00954C28">
        <w:t xml:space="preserve"> </w:t>
      </w:r>
    </w:p>
    <w:p w14:paraId="576284D7" w14:textId="77777777" w:rsidR="00954C28" w:rsidRDefault="00954C28" w:rsidP="005E7BAC">
      <w:pPr>
        <w:pStyle w:val="ListParagraph"/>
        <w:tabs>
          <w:tab w:val="left" w:pos="630"/>
        </w:tabs>
        <w:ind w:left="0"/>
        <w:contextualSpacing w:val="0"/>
        <w:jc w:val="both"/>
      </w:pPr>
    </w:p>
    <w:p w14:paraId="6619886A" w14:textId="77777777" w:rsidR="00B719CC" w:rsidRPr="005E7BAC" w:rsidRDefault="00B719CC" w:rsidP="00B719CC">
      <w:pPr>
        <w:ind w:firstLine="720"/>
        <w:jc w:val="both"/>
        <w:rPr>
          <w:rFonts w:ascii="Times New Roman" w:hAnsi="Times New Roman"/>
          <w:b/>
          <w:u w:val="single"/>
        </w:rPr>
      </w:pPr>
      <w:r w:rsidRPr="005E7BAC">
        <w:rPr>
          <w:rFonts w:ascii="Times New Roman" w:hAnsi="Times New Roman"/>
          <w:b/>
          <w:u w:val="single"/>
        </w:rPr>
        <w:t>Table No. 2</w:t>
      </w:r>
    </w:p>
    <w:p w14:paraId="7C933547" w14:textId="77777777" w:rsidR="00B719CC" w:rsidRPr="00D85CAD" w:rsidRDefault="00B719CC" w:rsidP="00B719CC">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B719CC" w14:paraId="36D55BC7" w14:textId="77777777" w:rsidTr="008903A1">
        <w:tc>
          <w:tcPr>
            <w:tcW w:w="4225" w:type="dxa"/>
          </w:tcPr>
          <w:p w14:paraId="71B2EBE6" w14:textId="7A1135AB" w:rsidR="00B719CC" w:rsidRDefault="00B719CC" w:rsidP="008903A1">
            <w:pPr>
              <w:jc w:val="both"/>
              <w:rPr>
                <w:rFonts w:ascii="Times New Roman" w:hAnsi="Times New Roman"/>
              </w:rPr>
            </w:pPr>
            <w:r>
              <w:rPr>
                <w:rFonts w:ascii="Times New Roman" w:hAnsi="Times New Roman"/>
              </w:rPr>
              <w:t>New Developments Hook</w:t>
            </w:r>
            <w:r w:rsidR="001866C2">
              <w:rPr>
                <w:rFonts w:ascii="Times New Roman" w:hAnsi="Times New Roman"/>
              </w:rPr>
              <w:t>-</w:t>
            </w:r>
            <w:r>
              <w:rPr>
                <w:rFonts w:ascii="Times New Roman" w:hAnsi="Times New Roman"/>
              </w:rPr>
              <w:t>ups</w:t>
            </w:r>
          </w:p>
        </w:tc>
        <w:tc>
          <w:tcPr>
            <w:tcW w:w="1568" w:type="dxa"/>
          </w:tcPr>
          <w:p w14:paraId="7810C7FE" w14:textId="19E3725D" w:rsidR="00B719CC" w:rsidRPr="001A2417" w:rsidRDefault="00A305E9" w:rsidP="008903A1">
            <w:pPr>
              <w:jc w:val="right"/>
              <w:rPr>
                <w:rFonts w:ascii="Times New Roman" w:hAnsi="Times New Roman"/>
              </w:rPr>
            </w:pPr>
            <w:r>
              <w:rPr>
                <w:rFonts w:ascii="Times New Roman" w:hAnsi="Times New Roman"/>
              </w:rPr>
              <w:t>835</w:t>
            </w:r>
          </w:p>
        </w:tc>
      </w:tr>
      <w:tr w:rsidR="00B719CC" w14:paraId="30D4FFB0" w14:textId="77777777" w:rsidTr="008903A1">
        <w:tc>
          <w:tcPr>
            <w:tcW w:w="4225" w:type="dxa"/>
          </w:tcPr>
          <w:p w14:paraId="322EA88D" w14:textId="77777777" w:rsidR="00B719CC" w:rsidRDefault="00B719CC" w:rsidP="008903A1">
            <w:pPr>
              <w:jc w:val="both"/>
              <w:rPr>
                <w:rFonts w:ascii="Times New Roman" w:hAnsi="Times New Roman"/>
              </w:rPr>
            </w:pPr>
            <w:r>
              <w:rPr>
                <w:rFonts w:ascii="Times New Roman" w:hAnsi="Times New Roman"/>
              </w:rPr>
              <w:t>New Construction (i.e., infill of existing developments or single lots)</w:t>
            </w:r>
          </w:p>
        </w:tc>
        <w:tc>
          <w:tcPr>
            <w:tcW w:w="1568" w:type="dxa"/>
          </w:tcPr>
          <w:p w14:paraId="45A718F3" w14:textId="52EE6193" w:rsidR="00B719CC" w:rsidRDefault="00717837" w:rsidP="008903A1">
            <w:pPr>
              <w:jc w:val="right"/>
              <w:rPr>
                <w:rFonts w:ascii="Times New Roman" w:hAnsi="Times New Roman"/>
              </w:rPr>
            </w:pPr>
            <w:r>
              <w:rPr>
                <w:rFonts w:ascii="Times New Roman" w:hAnsi="Times New Roman"/>
              </w:rPr>
              <w:t>538</w:t>
            </w:r>
          </w:p>
          <w:p w14:paraId="4304F919" w14:textId="29141992" w:rsidR="00A305E9" w:rsidRPr="001A2417" w:rsidRDefault="00A305E9" w:rsidP="008903A1">
            <w:pPr>
              <w:jc w:val="right"/>
              <w:rPr>
                <w:rFonts w:ascii="Times New Roman" w:hAnsi="Times New Roman"/>
              </w:rPr>
            </w:pPr>
          </w:p>
        </w:tc>
      </w:tr>
      <w:tr w:rsidR="00B719CC" w14:paraId="7A814A3C" w14:textId="77777777" w:rsidTr="008903A1">
        <w:tc>
          <w:tcPr>
            <w:tcW w:w="4225" w:type="dxa"/>
          </w:tcPr>
          <w:p w14:paraId="2DB4A5BF" w14:textId="367500D6" w:rsidR="00B719CC" w:rsidRDefault="00B719CC" w:rsidP="008903A1">
            <w:pPr>
              <w:jc w:val="both"/>
              <w:rPr>
                <w:rFonts w:ascii="Times New Roman" w:hAnsi="Times New Roman"/>
              </w:rPr>
            </w:pPr>
            <w:r>
              <w:rPr>
                <w:rFonts w:ascii="Times New Roman" w:hAnsi="Times New Roman"/>
              </w:rPr>
              <w:t>Conversions</w:t>
            </w:r>
          </w:p>
        </w:tc>
        <w:tc>
          <w:tcPr>
            <w:tcW w:w="1568" w:type="dxa"/>
          </w:tcPr>
          <w:p w14:paraId="06475B2C" w14:textId="1D8A66B9" w:rsidR="00B719CC" w:rsidRPr="001A2417" w:rsidRDefault="00A305E9" w:rsidP="00717837">
            <w:pPr>
              <w:jc w:val="right"/>
              <w:rPr>
                <w:rFonts w:ascii="Times New Roman" w:hAnsi="Times New Roman"/>
              </w:rPr>
            </w:pPr>
            <w:r>
              <w:rPr>
                <w:rFonts w:ascii="Times New Roman" w:hAnsi="Times New Roman"/>
              </w:rPr>
              <w:t>1,2</w:t>
            </w:r>
            <w:r w:rsidR="00717837">
              <w:rPr>
                <w:rFonts w:ascii="Times New Roman" w:hAnsi="Times New Roman"/>
              </w:rPr>
              <w:t>22</w:t>
            </w:r>
          </w:p>
        </w:tc>
      </w:tr>
      <w:tr w:rsidR="00B719CC" w14:paraId="0BCCC348" w14:textId="77777777" w:rsidTr="008903A1">
        <w:tc>
          <w:tcPr>
            <w:tcW w:w="4225" w:type="dxa"/>
          </w:tcPr>
          <w:p w14:paraId="73A832AE" w14:textId="77D679F2" w:rsidR="00B719CC" w:rsidRDefault="00B719CC" w:rsidP="001866C2">
            <w:pPr>
              <w:rPr>
                <w:rFonts w:ascii="Times New Roman" w:hAnsi="Times New Roman"/>
              </w:rPr>
            </w:pPr>
            <w:r>
              <w:rPr>
                <w:rFonts w:ascii="Times New Roman" w:hAnsi="Times New Roman"/>
              </w:rPr>
              <w:t xml:space="preserve">Total New </w:t>
            </w:r>
            <w:r w:rsidR="001866C2">
              <w:rPr>
                <w:rFonts w:ascii="Times New Roman" w:hAnsi="Times New Roman"/>
              </w:rPr>
              <w:t xml:space="preserve">Residential </w:t>
            </w:r>
            <w:r>
              <w:rPr>
                <w:rFonts w:ascii="Times New Roman" w:hAnsi="Times New Roman"/>
              </w:rPr>
              <w:t>Customer Hook</w:t>
            </w:r>
            <w:r w:rsidR="001866C2">
              <w:rPr>
                <w:rFonts w:ascii="Times New Roman" w:hAnsi="Times New Roman"/>
              </w:rPr>
              <w:t>-</w:t>
            </w:r>
            <w:r>
              <w:rPr>
                <w:rFonts w:ascii="Times New Roman" w:hAnsi="Times New Roman"/>
              </w:rPr>
              <w:t>ups</w:t>
            </w:r>
          </w:p>
        </w:tc>
        <w:tc>
          <w:tcPr>
            <w:tcW w:w="1568" w:type="dxa"/>
          </w:tcPr>
          <w:p w14:paraId="16AD2763" w14:textId="76234BB6" w:rsidR="00B719CC" w:rsidRPr="001A2417" w:rsidRDefault="00A305E9" w:rsidP="00717837">
            <w:pPr>
              <w:jc w:val="right"/>
              <w:rPr>
                <w:rFonts w:ascii="Times New Roman" w:hAnsi="Times New Roman"/>
              </w:rPr>
            </w:pPr>
            <w:r>
              <w:rPr>
                <w:rFonts w:ascii="Times New Roman" w:hAnsi="Times New Roman"/>
              </w:rPr>
              <w:t>2,5</w:t>
            </w:r>
            <w:r w:rsidR="00717837">
              <w:rPr>
                <w:rFonts w:ascii="Times New Roman" w:hAnsi="Times New Roman"/>
              </w:rPr>
              <w:t>95</w:t>
            </w:r>
          </w:p>
        </w:tc>
      </w:tr>
    </w:tbl>
    <w:p w14:paraId="59E11474" w14:textId="77777777" w:rsidR="00B719CC" w:rsidRDefault="00B719CC" w:rsidP="00B719CC">
      <w:pPr>
        <w:jc w:val="both"/>
        <w:rPr>
          <w:rFonts w:ascii="Times New Roman" w:hAnsi="Times New Roman"/>
        </w:rPr>
      </w:pPr>
    </w:p>
    <w:p w14:paraId="69C4DD0C" w14:textId="77777777" w:rsidR="00AB54DF" w:rsidRDefault="00AB54DF" w:rsidP="00B719CC">
      <w:pPr>
        <w:jc w:val="both"/>
        <w:rPr>
          <w:rFonts w:ascii="Times New Roman" w:hAnsi="Times New Roman"/>
        </w:rPr>
      </w:pPr>
    </w:p>
    <w:p w14:paraId="4060F38B" w14:textId="77777777" w:rsidR="00AB54DF" w:rsidRDefault="00AB54DF" w:rsidP="00B719CC">
      <w:pPr>
        <w:jc w:val="both"/>
        <w:rPr>
          <w:rFonts w:ascii="Times New Roman" w:hAnsi="Times New Roman"/>
        </w:rPr>
      </w:pPr>
    </w:p>
    <w:p w14:paraId="2ADA8933" w14:textId="77777777" w:rsidR="00B719CC" w:rsidRDefault="00B719CC" w:rsidP="00B719CC">
      <w:pPr>
        <w:jc w:val="both"/>
        <w:rPr>
          <w:rFonts w:ascii="Times New Roman" w:hAnsi="Times New Roman"/>
        </w:rPr>
      </w:pPr>
    </w:p>
    <w:p w14:paraId="1CCE21F3" w14:textId="77777777" w:rsidR="00B719CC" w:rsidRDefault="00B719CC" w:rsidP="00B719CC">
      <w:pPr>
        <w:jc w:val="both"/>
        <w:rPr>
          <w:rFonts w:ascii="Times New Roman" w:hAnsi="Times New Roman"/>
        </w:rPr>
      </w:pPr>
    </w:p>
    <w:p w14:paraId="2AF93880" w14:textId="77777777" w:rsidR="00B719CC" w:rsidRDefault="00B719CC" w:rsidP="00B719CC">
      <w:pPr>
        <w:jc w:val="both"/>
        <w:rPr>
          <w:rFonts w:ascii="Times New Roman" w:hAnsi="Times New Roman"/>
        </w:rPr>
      </w:pPr>
    </w:p>
    <w:p w14:paraId="35F95C72" w14:textId="575B3872" w:rsidR="00AB54DF" w:rsidRDefault="00AB54DF">
      <w:pPr>
        <w:rPr>
          <w:rFonts w:ascii="Times New Roman" w:hAnsi="Times New Roman"/>
        </w:rPr>
      </w:pPr>
    </w:p>
    <w:p w14:paraId="17C43754" w14:textId="2F00A9AB" w:rsidR="00D8707E" w:rsidRDefault="00D8707E" w:rsidP="00D8707E">
      <w:pPr>
        <w:jc w:val="both"/>
        <w:rPr>
          <w:rFonts w:ascii="Times New Roman" w:hAnsi="Times New Roman"/>
        </w:rPr>
      </w:pPr>
      <w:r>
        <w:rPr>
          <w:rFonts w:ascii="Times New Roman" w:hAnsi="Times New Roman"/>
        </w:rPr>
        <w:t xml:space="preserve">The data in Table No. 2 is construction data, which differs than the data provided in Table No. 1, which is representative of the calendar year in which new customers were first billed.  The data sets will differ as there may be a lag in time from when construction is completed to when a customer is first billed.  Table No. 1 is provided to show a historical perspective of the number of new residential customers added per year.    </w:t>
      </w:r>
    </w:p>
    <w:p w14:paraId="448922EF" w14:textId="77777777" w:rsidR="00D8707E" w:rsidRDefault="00D8707E">
      <w:pPr>
        <w:rPr>
          <w:rFonts w:ascii="Times New Roman" w:hAnsi="Times New Roman"/>
        </w:rPr>
      </w:pPr>
    </w:p>
    <w:p w14:paraId="5874147B" w14:textId="6064DCAA" w:rsidR="00C066D6" w:rsidRPr="001866C2" w:rsidRDefault="001866C2" w:rsidP="004754CD">
      <w:pPr>
        <w:pStyle w:val="ListParagraph"/>
        <w:numPr>
          <w:ilvl w:val="0"/>
          <w:numId w:val="25"/>
        </w:numPr>
        <w:tabs>
          <w:tab w:val="left" w:pos="720"/>
        </w:tabs>
        <w:ind w:hanging="720"/>
        <w:jc w:val="both"/>
        <w:rPr>
          <w:b/>
        </w:rPr>
      </w:pPr>
      <w:r w:rsidRPr="001866C2">
        <w:rPr>
          <w:b/>
        </w:rPr>
        <w:t>C</w:t>
      </w:r>
      <w:r w:rsidR="00C066D6" w:rsidRPr="001866C2">
        <w:rPr>
          <w:b/>
        </w:rPr>
        <w:t xml:space="preserve">onversions from Avista and </w:t>
      </w:r>
      <w:r>
        <w:rPr>
          <w:b/>
        </w:rPr>
        <w:t>N</w:t>
      </w:r>
      <w:r w:rsidR="00C066D6" w:rsidRPr="001866C2">
        <w:rPr>
          <w:b/>
        </w:rPr>
        <w:t xml:space="preserve">on-Avista </w:t>
      </w:r>
      <w:r>
        <w:rPr>
          <w:b/>
        </w:rPr>
        <w:t>C</w:t>
      </w:r>
      <w:r w:rsidR="00C066D6" w:rsidRPr="001866C2">
        <w:rPr>
          <w:b/>
        </w:rPr>
        <w:t>ustomers</w:t>
      </w:r>
    </w:p>
    <w:p w14:paraId="66504BB0" w14:textId="77777777" w:rsidR="00954C28" w:rsidRDefault="00954C28" w:rsidP="005E7BAC">
      <w:pPr>
        <w:pStyle w:val="ListParagraph"/>
        <w:tabs>
          <w:tab w:val="left" w:pos="630"/>
        </w:tabs>
        <w:ind w:left="0"/>
        <w:contextualSpacing w:val="0"/>
        <w:jc w:val="both"/>
      </w:pPr>
    </w:p>
    <w:p w14:paraId="19703A3E" w14:textId="6FD546B6" w:rsidR="001866C2" w:rsidRPr="00742D44" w:rsidRDefault="001866C2" w:rsidP="00742D44">
      <w:pPr>
        <w:tabs>
          <w:tab w:val="left" w:pos="630"/>
        </w:tabs>
        <w:jc w:val="both"/>
        <w:rPr>
          <w:rFonts w:ascii="Times New Roman" w:hAnsi="Times New Roman" w:cs="Times New Roman"/>
        </w:rPr>
      </w:pPr>
      <w:r w:rsidRPr="00742D44">
        <w:rPr>
          <w:rFonts w:ascii="Times New Roman" w:hAnsi="Times New Roman" w:cs="Times New Roman"/>
        </w:rPr>
        <w:t>The number of conversions separated by Avista and non-Avista customers is as follows:</w:t>
      </w:r>
      <w:r w:rsidRPr="00742D44">
        <w:rPr>
          <w:rFonts w:ascii="Times New Roman" w:hAnsi="Times New Roman" w:cs="Times New Roman"/>
        </w:rPr>
        <w:tab/>
      </w:r>
    </w:p>
    <w:p w14:paraId="51E3E832" w14:textId="77777777" w:rsidR="001866C2" w:rsidRDefault="001866C2" w:rsidP="005E7BAC">
      <w:pPr>
        <w:pStyle w:val="ListParagraph"/>
        <w:tabs>
          <w:tab w:val="left" w:pos="630"/>
        </w:tabs>
        <w:ind w:left="0"/>
        <w:contextualSpacing w:val="0"/>
        <w:jc w:val="both"/>
      </w:pPr>
    </w:p>
    <w:p w14:paraId="58E24418" w14:textId="52E18EAC" w:rsidR="0050634C" w:rsidRPr="005E7BAC" w:rsidRDefault="0050634C" w:rsidP="0050634C">
      <w:pPr>
        <w:ind w:firstLine="720"/>
        <w:jc w:val="both"/>
        <w:rPr>
          <w:rFonts w:ascii="Times New Roman" w:hAnsi="Times New Roman"/>
          <w:b/>
          <w:u w:val="single"/>
        </w:rPr>
      </w:pPr>
      <w:r>
        <w:rPr>
          <w:rFonts w:ascii="Times New Roman" w:hAnsi="Times New Roman"/>
          <w:b/>
          <w:u w:val="single"/>
        </w:rPr>
        <w:t xml:space="preserve">Table No. </w:t>
      </w:r>
      <w:r w:rsidR="004754CD">
        <w:rPr>
          <w:rFonts w:ascii="Times New Roman" w:hAnsi="Times New Roman"/>
          <w:b/>
          <w:u w:val="single"/>
        </w:rPr>
        <w:t>3</w:t>
      </w:r>
    </w:p>
    <w:p w14:paraId="7B5B2A9A" w14:textId="77777777" w:rsidR="0050634C" w:rsidRDefault="0050634C" w:rsidP="0050634C">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50634C" w:rsidRPr="00F260E8" w14:paraId="230A9F6B" w14:textId="77777777" w:rsidTr="008903A1">
        <w:tc>
          <w:tcPr>
            <w:tcW w:w="4225" w:type="dxa"/>
          </w:tcPr>
          <w:p w14:paraId="737E46A2" w14:textId="131B4D46" w:rsidR="0050634C" w:rsidRDefault="001866C2" w:rsidP="001866C2">
            <w:pPr>
              <w:rPr>
                <w:rFonts w:ascii="Times New Roman" w:hAnsi="Times New Roman"/>
              </w:rPr>
            </w:pPr>
            <w:r>
              <w:rPr>
                <w:rFonts w:ascii="Times New Roman" w:hAnsi="Times New Roman"/>
              </w:rPr>
              <w:t xml:space="preserve">Conversions </w:t>
            </w:r>
            <w:r w:rsidR="0050634C">
              <w:rPr>
                <w:rFonts w:ascii="Times New Roman" w:hAnsi="Times New Roman"/>
              </w:rPr>
              <w:t>From Avista-Electric Customer</w:t>
            </w:r>
            <w:r>
              <w:rPr>
                <w:rFonts w:ascii="Times New Roman" w:hAnsi="Times New Roman"/>
              </w:rPr>
              <w:t>s</w:t>
            </w:r>
          </w:p>
        </w:tc>
        <w:tc>
          <w:tcPr>
            <w:tcW w:w="1568" w:type="dxa"/>
          </w:tcPr>
          <w:p w14:paraId="4E68BC3F" w14:textId="08D8F450" w:rsidR="0050634C" w:rsidRPr="00F260E8" w:rsidRDefault="00A305E9" w:rsidP="001923EC">
            <w:pPr>
              <w:jc w:val="right"/>
              <w:rPr>
                <w:rFonts w:ascii="Times New Roman" w:hAnsi="Times New Roman"/>
              </w:rPr>
            </w:pPr>
            <w:r>
              <w:rPr>
                <w:rFonts w:ascii="Times New Roman" w:hAnsi="Times New Roman"/>
              </w:rPr>
              <w:t>1,0</w:t>
            </w:r>
            <w:r w:rsidR="001923EC">
              <w:rPr>
                <w:rFonts w:ascii="Times New Roman" w:hAnsi="Times New Roman"/>
              </w:rPr>
              <w:t>67</w:t>
            </w:r>
          </w:p>
        </w:tc>
      </w:tr>
      <w:tr w:rsidR="0050634C" w:rsidRPr="00F260E8" w14:paraId="3D05D4C1" w14:textId="77777777" w:rsidTr="008903A1">
        <w:tc>
          <w:tcPr>
            <w:tcW w:w="4225" w:type="dxa"/>
          </w:tcPr>
          <w:p w14:paraId="6992A03D" w14:textId="72809A1C" w:rsidR="0050634C" w:rsidRDefault="001866C2" w:rsidP="008903A1">
            <w:pPr>
              <w:jc w:val="both"/>
              <w:rPr>
                <w:rFonts w:ascii="Times New Roman" w:hAnsi="Times New Roman"/>
              </w:rPr>
            </w:pPr>
            <w:r>
              <w:rPr>
                <w:rFonts w:ascii="Times New Roman" w:hAnsi="Times New Roman"/>
              </w:rPr>
              <w:t xml:space="preserve">Conversions </w:t>
            </w:r>
            <w:r w:rsidR="0050634C">
              <w:rPr>
                <w:rFonts w:ascii="Times New Roman" w:hAnsi="Times New Roman"/>
              </w:rPr>
              <w:t>From Non-Avista Customer</w:t>
            </w:r>
            <w:r>
              <w:rPr>
                <w:rFonts w:ascii="Times New Roman" w:hAnsi="Times New Roman"/>
              </w:rPr>
              <w:t>s</w:t>
            </w:r>
          </w:p>
        </w:tc>
        <w:tc>
          <w:tcPr>
            <w:tcW w:w="1568" w:type="dxa"/>
          </w:tcPr>
          <w:p w14:paraId="391A323B" w14:textId="37C950E8" w:rsidR="0050634C" w:rsidRPr="00F260E8" w:rsidRDefault="00A305E9" w:rsidP="008903A1">
            <w:pPr>
              <w:jc w:val="right"/>
              <w:rPr>
                <w:rFonts w:ascii="Times New Roman" w:hAnsi="Times New Roman"/>
              </w:rPr>
            </w:pPr>
            <w:r>
              <w:rPr>
                <w:rFonts w:ascii="Times New Roman" w:hAnsi="Times New Roman"/>
              </w:rPr>
              <w:t>155</w:t>
            </w:r>
          </w:p>
        </w:tc>
      </w:tr>
      <w:tr w:rsidR="0050634C" w:rsidRPr="00F260E8" w14:paraId="7E5BF253" w14:textId="77777777" w:rsidTr="008903A1">
        <w:tc>
          <w:tcPr>
            <w:tcW w:w="4225" w:type="dxa"/>
          </w:tcPr>
          <w:p w14:paraId="23BFC95B" w14:textId="77777777" w:rsidR="0050634C" w:rsidRDefault="0050634C" w:rsidP="008903A1">
            <w:pPr>
              <w:jc w:val="both"/>
              <w:rPr>
                <w:rFonts w:ascii="Times New Roman" w:hAnsi="Times New Roman"/>
              </w:rPr>
            </w:pPr>
            <w:r>
              <w:rPr>
                <w:rFonts w:ascii="Times New Roman" w:hAnsi="Times New Roman"/>
              </w:rPr>
              <w:t>Total Conversions</w:t>
            </w:r>
          </w:p>
        </w:tc>
        <w:tc>
          <w:tcPr>
            <w:tcW w:w="1568" w:type="dxa"/>
          </w:tcPr>
          <w:p w14:paraId="0F9C685A" w14:textId="764EE2F7" w:rsidR="0050634C" w:rsidRPr="001A2417" w:rsidRDefault="001923EC" w:rsidP="001923EC">
            <w:pPr>
              <w:jc w:val="right"/>
              <w:rPr>
                <w:rFonts w:ascii="Times New Roman" w:hAnsi="Times New Roman"/>
              </w:rPr>
            </w:pPr>
            <w:r>
              <w:rPr>
                <w:rFonts w:ascii="Times New Roman" w:hAnsi="Times New Roman"/>
              </w:rPr>
              <w:t>1,222</w:t>
            </w:r>
          </w:p>
        </w:tc>
      </w:tr>
    </w:tbl>
    <w:p w14:paraId="3546F372" w14:textId="77777777" w:rsidR="00954C28" w:rsidRDefault="00954C28" w:rsidP="005E7BAC">
      <w:pPr>
        <w:pStyle w:val="ListParagraph"/>
        <w:tabs>
          <w:tab w:val="left" w:pos="630"/>
        </w:tabs>
        <w:ind w:left="0"/>
        <w:contextualSpacing w:val="0"/>
        <w:jc w:val="both"/>
      </w:pPr>
    </w:p>
    <w:p w14:paraId="286C4BBF" w14:textId="77777777" w:rsidR="0050634C" w:rsidRDefault="0050634C" w:rsidP="005E7BAC">
      <w:pPr>
        <w:pStyle w:val="ListParagraph"/>
        <w:tabs>
          <w:tab w:val="left" w:pos="630"/>
        </w:tabs>
        <w:ind w:left="0"/>
        <w:contextualSpacing w:val="0"/>
        <w:jc w:val="both"/>
      </w:pPr>
    </w:p>
    <w:p w14:paraId="5DA29FF3" w14:textId="77777777" w:rsidR="0050634C" w:rsidRDefault="0050634C" w:rsidP="005E7BAC">
      <w:pPr>
        <w:pStyle w:val="ListParagraph"/>
        <w:tabs>
          <w:tab w:val="left" w:pos="630"/>
        </w:tabs>
        <w:ind w:left="0"/>
        <w:contextualSpacing w:val="0"/>
        <w:jc w:val="both"/>
      </w:pPr>
    </w:p>
    <w:p w14:paraId="00C1FFD8" w14:textId="77777777" w:rsidR="0050634C" w:rsidRPr="00D85CAD" w:rsidRDefault="0050634C" w:rsidP="005E7BAC">
      <w:pPr>
        <w:pStyle w:val="ListParagraph"/>
        <w:tabs>
          <w:tab w:val="left" w:pos="630"/>
        </w:tabs>
        <w:ind w:left="0"/>
        <w:contextualSpacing w:val="0"/>
        <w:jc w:val="both"/>
      </w:pPr>
    </w:p>
    <w:p w14:paraId="67BB2F87" w14:textId="77777777" w:rsidR="001866C2" w:rsidRDefault="001866C2" w:rsidP="001866C2">
      <w:pPr>
        <w:tabs>
          <w:tab w:val="left" w:pos="720"/>
        </w:tabs>
        <w:ind w:left="360"/>
        <w:jc w:val="both"/>
      </w:pPr>
    </w:p>
    <w:p w14:paraId="770FDBAE" w14:textId="5D9E7013" w:rsidR="00C066D6" w:rsidRPr="001866C2" w:rsidRDefault="00C066D6" w:rsidP="00F03519">
      <w:pPr>
        <w:pStyle w:val="ListParagraph"/>
        <w:numPr>
          <w:ilvl w:val="0"/>
          <w:numId w:val="25"/>
        </w:numPr>
        <w:tabs>
          <w:tab w:val="left" w:pos="720"/>
        </w:tabs>
        <w:ind w:left="0" w:firstLine="0"/>
        <w:contextualSpacing w:val="0"/>
        <w:jc w:val="both"/>
        <w:rPr>
          <w:b/>
        </w:rPr>
      </w:pPr>
      <w:r w:rsidRPr="001866C2">
        <w:rPr>
          <w:b/>
        </w:rPr>
        <w:t xml:space="preserve">Average </w:t>
      </w:r>
      <w:r w:rsidR="001866C2">
        <w:rPr>
          <w:b/>
        </w:rPr>
        <w:t>Am</w:t>
      </w:r>
      <w:r w:rsidRPr="001866C2">
        <w:rPr>
          <w:b/>
        </w:rPr>
        <w:t xml:space="preserve">ount of </w:t>
      </w:r>
      <w:r w:rsidR="001866C2">
        <w:rPr>
          <w:b/>
        </w:rPr>
        <w:t>E</w:t>
      </w:r>
      <w:r w:rsidRPr="001866C2">
        <w:rPr>
          <w:b/>
        </w:rPr>
        <w:t xml:space="preserve">stimated </w:t>
      </w:r>
      <w:r w:rsidR="001866C2">
        <w:rPr>
          <w:b/>
        </w:rPr>
        <w:t>L</w:t>
      </w:r>
      <w:r w:rsidRPr="001866C2">
        <w:rPr>
          <w:b/>
        </w:rPr>
        <w:t xml:space="preserve">ine </w:t>
      </w:r>
      <w:r w:rsidR="001866C2">
        <w:rPr>
          <w:b/>
        </w:rPr>
        <w:t>E</w:t>
      </w:r>
      <w:r w:rsidRPr="001866C2">
        <w:rPr>
          <w:b/>
        </w:rPr>
        <w:t xml:space="preserve">xtension </w:t>
      </w:r>
      <w:r w:rsidR="001866C2">
        <w:rPr>
          <w:b/>
        </w:rPr>
        <w:t>C</w:t>
      </w:r>
      <w:r w:rsidRPr="001866C2">
        <w:rPr>
          <w:b/>
        </w:rPr>
        <w:t xml:space="preserve">ost </w:t>
      </w:r>
      <w:r w:rsidR="00492FFD" w:rsidRPr="001866C2">
        <w:rPr>
          <w:b/>
        </w:rPr>
        <w:t xml:space="preserve"> </w:t>
      </w:r>
      <w:r w:rsidR="00954C28" w:rsidRPr="001866C2">
        <w:rPr>
          <w:b/>
        </w:rPr>
        <w:t xml:space="preserve"> </w:t>
      </w:r>
    </w:p>
    <w:p w14:paraId="18BD25D7" w14:textId="77777777" w:rsidR="002142D5" w:rsidRDefault="002142D5" w:rsidP="00497269">
      <w:pPr>
        <w:jc w:val="both"/>
        <w:rPr>
          <w:rFonts w:ascii="Times New Roman" w:hAnsi="Times New Roman"/>
        </w:rPr>
      </w:pPr>
    </w:p>
    <w:p w14:paraId="223E64C4" w14:textId="5F8DF560" w:rsidR="001866C2" w:rsidRDefault="001866C2" w:rsidP="00AB31F2">
      <w:pPr>
        <w:jc w:val="both"/>
        <w:rPr>
          <w:rFonts w:ascii="Times New Roman" w:hAnsi="Times New Roman"/>
        </w:rPr>
      </w:pPr>
      <w:r>
        <w:rPr>
          <w:rFonts w:ascii="Times New Roman" w:hAnsi="Times New Roman"/>
        </w:rPr>
        <w:t>The average amount of the estimated construction costs for line extensions of new construction (excluding new developments) and conversions is as follows:</w:t>
      </w:r>
    </w:p>
    <w:p w14:paraId="4EAC8134" w14:textId="77777777" w:rsidR="001866C2" w:rsidRDefault="001866C2" w:rsidP="00497269">
      <w:pPr>
        <w:jc w:val="both"/>
        <w:rPr>
          <w:rFonts w:ascii="Times New Roman" w:hAnsi="Times New Roman"/>
        </w:rPr>
      </w:pPr>
    </w:p>
    <w:p w14:paraId="01C4C2E8" w14:textId="75AB3220" w:rsidR="00F32ACB" w:rsidRPr="005E7BAC" w:rsidRDefault="00F32ACB" w:rsidP="005E7BAC">
      <w:pPr>
        <w:ind w:firstLine="720"/>
        <w:jc w:val="both"/>
        <w:rPr>
          <w:rFonts w:ascii="Times New Roman" w:hAnsi="Times New Roman"/>
          <w:b/>
          <w:u w:val="single"/>
        </w:rPr>
      </w:pPr>
      <w:r w:rsidRPr="005E7BAC">
        <w:rPr>
          <w:rFonts w:ascii="Times New Roman" w:hAnsi="Times New Roman"/>
          <w:b/>
          <w:u w:val="single"/>
        </w:rPr>
        <w:t xml:space="preserve">Table No. </w:t>
      </w:r>
      <w:r w:rsidR="00492FFD">
        <w:rPr>
          <w:rFonts w:ascii="Times New Roman" w:hAnsi="Times New Roman"/>
          <w:b/>
          <w:u w:val="single"/>
        </w:rPr>
        <w:t>4</w:t>
      </w:r>
    </w:p>
    <w:p w14:paraId="2F1A3650" w14:textId="77777777" w:rsidR="001144CF" w:rsidRPr="00D85CAD" w:rsidRDefault="001144CF" w:rsidP="00497269">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F03519" w14:paraId="24C106AA" w14:textId="77777777" w:rsidTr="00804B8C">
        <w:tc>
          <w:tcPr>
            <w:tcW w:w="4225" w:type="dxa"/>
          </w:tcPr>
          <w:p w14:paraId="1DBB6739" w14:textId="77777777" w:rsidR="00F03519" w:rsidRDefault="00F03519" w:rsidP="00F03519">
            <w:pPr>
              <w:rPr>
                <w:rFonts w:ascii="Times New Roman" w:hAnsi="Times New Roman"/>
              </w:rPr>
            </w:pPr>
            <w:r>
              <w:rPr>
                <w:rFonts w:ascii="Times New Roman" w:hAnsi="Times New Roman"/>
              </w:rPr>
              <w:t>Average Amount of Estimated Construction Costs for New Construction and Conversions</w:t>
            </w:r>
            <w:r>
              <w:rPr>
                <w:rStyle w:val="FootnoteReference"/>
                <w:rFonts w:ascii="Times New Roman" w:hAnsi="Times New Roman"/>
              </w:rPr>
              <w:footnoteReference w:id="2"/>
            </w:r>
          </w:p>
        </w:tc>
        <w:tc>
          <w:tcPr>
            <w:tcW w:w="1568" w:type="dxa"/>
            <w:vAlign w:val="center"/>
          </w:tcPr>
          <w:p w14:paraId="3973A656" w14:textId="23BA5810" w:rsidR="00F03519" w:rsidRPr="00F260E8" w:rsidRDefault="00A305E9" w:rsidP="001923EC">
            <w:pPr>
              <w:jc w:val="center"/>
              <w:rPr>
                <w:rFonts w:ascii="Times New Roman" w:hAnsi="Times New Roman"/>
              </w:rPr>
            </w:pPr>
            <w:r>
              <w:rPr>
                <w:rFonts w:ascii="Times New Roman" w:hAnsi="Times New Roman"/>
              </w:rPr>
              <w:t>$1,6</w:t>
            </w:r>
            <w:r w:rsidR="001923EC">
              <w:rPr>
                <w:rFonts w:ascii="Times New Roman" w:hAnsi="Times New Roman"/>
              </w:rPr>
              <w:t>59</w:t>
            </w:r>
          </w:p>
        </w:tc>
      </w:tr>
    </w:tbl>
    <w:p w14:paraId="131B7A78" w14:textId="77777777" w:rsidR="00787496" w:rsidRDefault="00787496" w:rsidP="00497269">
      <w:pPr>
        <w:jc w:val="both"/>
        <w:rPr>
          <w:rFonts w:ascii="Times New Roman" w:hAnsi="Times New Roman"/>
        </w:rPr>
      </w:pPr>
    </w:p>
    <w:p w14:paraId="267D9025" w14:textId="77777777" w:rsidR="00787496" w:rsidRDefault="00787496" w:rsidP="00497269">
      <w:pPr>
        <w:jc w:val="both"/>
        <w:rPr>
          <w:rFonts w:ascii="Times New Roman" w:hAnsi="Times New Roman"/>
        </w:rPr>
      </w:pPr>
    </w:p>
    <w:p w14:paraId="3A0FA279" w14:textId="77777777" w:rsidR="00787496" w:rsidRDefault="00787496" w:rsidP="00497269">
      <w:pPr>
        <w:jc w:val="both"/>
        <w:rPr>
          <w:rFonts w:ascii="Times New Roman" w:hAnsi="Times New Roman"/>
        </w:rPr>
      </w:pPr>
    </w:p>
    <w:p w14:paraId="04D8DD4B" w14:textId="77777777" w:rsidR="00787496" w:rsidRDefault="00787496" w:rsidP="00497269">
      <w:pPr>
        <w:jc w:val="both"/>
        <w:rPr>
          <w:rFonts w:ascii="Times New Roman" w:hAnsi="Times New Roman"/>
        </w:rPr>
      </w:pPr>
    </w:p>
    <w:p w14:paraId="572FAEC5" w14:textId="622421D6" w:rsidR="00592BCB" w:rsidRDefault="00592BCB" w:rsidP="00497269">
      <w:pPr>
        <w:jc w:val="both"/>
        <w:rPr>
          <w:rFonts w:ascii="Times New Roman" w:hAnsi="Times New Roman"/>
        </w:rPr>
      </w:pPr>
      <w:r>
        <w:rPr>
          <w:rFonts w:ascii="Times New Roman" w:hAnsi="Times New Roman"/>
        </w:rPr>
        <w:t>The average estimated construction cost decreased from the prior report due to the high number of conversions with low construction costs, such as mobile home parks.</w:t>
      </w:r>
    </w:p>
    <w:p w14:paraId="5B50AD02" w14:textId="77777777" w:rsidR="00592BCB" w:rsidRDefault="00592BCB" w:rsidP="00497269">
      <w:pPr>
        <w:jc w:val="both"/>
        <w:rPr>
          <w:rFonts w:ascii="Times New Roman" w:hAnsi="Times New Roman"/>
        </w:rPr>
      </w:pPr>
    </w:p>
    <w:p w14:paraId="78AA5C89" w14:textId="77777777" w:rsidR="00FA02C5" w:rsidRDefault="00FA02C5" w:rsidP="00497269">
      <w:pPr>
        <w:jc w:val="both"/>
        <w:rPr>
          <w:rFonts w:ascii="Times New Roman" w:hAnsi="Times New Roman"/>
        </w:rPr>
      </w:pPr>
    </w:p>
    <w:p w14:paraId="3AACDAF2" w14:textId="77777777" w:rsidR="00FA02C5" w:rsidRDefault="00FA02C5" w:rsidP="00497269">
      <w:pPr>
        <w:jc w:val="both"/>
        <w:rPr>
          <w:rFonts w:ascii="Times New Roman" w:hAnsi="Times New Roman"/>
        </w:rPr>
      </w:pPr>
    </w:p>
    <w:p w14:paraId="640B50F8" w14:textId="52830A5F" w:rsidR="001866C2" w:rsidRPr="001866C2" w:rsidRDefault="001866C2" w:rsidP="002F10C5">
      <w:pPr>
        <w:pStyle w:val="ListParagraph"/>
        <w:numPr>
          <w:ilvl w:val="0"/>
          <w:numId w:val="25"/>
        </w:numPr>
        <w:ind w:left="0" w:firstLine="0"/>
        <w:contextualSpacing w:val="0"/>
        <w:jc w:val="both"/>
        <w:rPr>
          <w:b/>
        </w:rPr>
      </w:pPr>
      <w:r w:rsidRPr="001866C2">
        <w:rPr>
          <w:b/>
        </w:rPr>
        <w:lastRenderedPageBreak/>
        <w:t xml:space="preserve">Number of Customers that Received Equipment </w:t>
      </w:r>
      <w:r w:rsidR="00CE4B5B">
        <w:rPr>
          <w:b/>
        </w:rPr>
        <w:t>Rebate</w:t>
      </w:r>
      <w:r w:rsidRPr="001866C2">
        <w:rPr>
          <w:b/>
        </w:rPr>
        <w:t xml:space="preserve"> and Average </w:t>
      </w:r>
      <w:r w:rsidR="00CE4B5B">
        <w:rPr>
          <w:b/>
        </w:rPr>
        <w:t>Rebate</w:t>
      </w:r>
      <w:r w:rsidRPr="001866C2">
        <w:rPr>
          <w:b/>
        </w:rPr>
        <w:t xml:space="preserve"> Amount</w:t>
      </w:r>
    </w:p>
    <w:p w14:paraId="212E25EB" w14:textId="77777777" w:rsidR="001866C2" w:rsidRDefault="001866C2" w:rsidP="001866C2">
      <w:pPr>
        <w:pStyle w:val="ListParagraph"/>
        <w:ind w:left="0"/>
        <w:contextualSpacing w:val="0"/>
        <w:jc w:val="both"/>
      </w:pPr>
    </w:p>
    <w:p w14:paraId="35C9C70F" w14:textId="7996628A" w:rsidR="008858E9" w:rsidRDefault="001866C2" w:rsidP="001866C2">
      <w:pPr>
        <w:pStyle w:val="ListParagraph"/>
        <w:ind w:left="0"/>
        <w:contextualSpacing w:val="0"/>
        <w:jc w:val="both"/>
      </w:pPr>
      <w:r>
        <w:t xml:space="preserve">887 </w:t>
      </w:r>
      <w:r w:rsidR="002142D5" w:rsidRPr="00D85CAD">
        <w:t xml:space="preserve">customers received </w:t>
      </w:r>
      <w:r>
        <w:t xml:space="preserve">an </w:t>
      </w:r>
      <w:r w:rsidR="002142D5" w:rsidRPr="00D85CAD">
        <w:t xml:space="preserve">excess allowance </w:t>
      </w:r>
      <w:r>
        <w:t xml:space="preserve">equipment </w:t>
      </w:r>
      <w:r w:rsidR="00CE4B5B">
        <w:t>rebate</w:t>
      </w:r>
      <w:r w:rsidR="00497269">
        <w:t xml:space="preserve"> </w:t>
      </w:r>
      <w:r>
        <w:t>f</w:t>
      </w:r>
      <w:r w:rsidR="00492FFD">
        <w:t xml:space="preserve">rom March 1, 2016 through </w:t>
      </w:r>
      <w:r w:rsidR="004754CD">
        <w:t>February 28</w:t>
      </w:r>
      <w:r w:rsidR="00492FFD">
        <w:t>, 201</w:t>
      </w:r>
      <w:r w:rsidR="004754CD">
        <w:t>7</w:t>
      </w:r>
      <w:r>
        <w:t>,</w:t>
      </w:r>
      <w:r w:rsidR="00492FFD" w:rsidRPr="00D85CAD">
        <w:t xml:space="preserve"> totaling $</w:t>
      </w:r>
      <w:r w:rsidR="00137CD3" w:rsidRPr="00137CD3">
        <w:t>2,487,911.41</w:t>
      </w:r>
      <w:r w:rsidR="00492FFD" w:rsidRPr="00137CD3">
        <w:t xml:space="preserve"> or $2,</w:t>
      </w:r>
      <w:r w:rsidR="00137CD3" w:rsidRPr="00137CD3">
        <w:t>804</w:t>
      </w:r>
      <w:r w:rsidR="00137CD3">
        <w:t>.86</w:t>
      </w:r>
      <w:r w:rsidR="00492FFD" w:rsidRPr="00D85CAD">
        <w:t xml:space="preserve"> on average.</w:t>
      </w:r>
      <w:r w:rsidR="00492FFD">
        <w:t xml:space="preserve">  </w:t>
      </w:r>
    </w:p>
    <w:p w14:paraId="57B0F2ED" w14:textId="77777777" w:rsidR="008858E9" w:rsidRDefault="008858E9" w:rsidP="002F10C5">
      <w:pPr>
        <w:jc w:val="both"/>
        <w:rPr>
          <w:rFonts w:ascii="Times New Roman" w:hAnsi="Times New Roman"/>
        </w:rPr>
      </w:pPr>
    </w:p>
    <w:p w14:paraId="1D55B618" w14:textId="10A44CFE" w:rsidR="00492FFD" w:rsidRDefault="008858E9" w:rsidP="002F10C5">
      <w:pPr>
        <w:jc w:val="both"/>
        <w:rPr>
          <w:rFonts w:ascii="Times New Roman" w:hAnsi="Times New Roman"/>
        </w:rPr>
      </w:pPr>
      <w:r>
        <w:rPr>
          <w:rFonts w:ascii="Times New Roman" w:hAnsi="Times New Roman"/>
        </w:rPr>
        <w:t xml:space="preserve">The average amount </w:t>
      </w:r>
      <w:r w:rsidR="00651247">
        <w:rPr>
          <w:rFonts w:ascii="Times New Roman" w:hAnsi="Times New Roman"/>
        </w:rPr>
        <w:t>of the</w:t>
      </w:r>
      <w:r w:rsidR="001866C2">
        <w:rPr>
          <w:rFonts w:ascii="Times New Roman" w:hAnsi="Times New Roman"/>
        </w:rPr>
        <w:t xml:space="preserve"> excess allowance equipment </w:t>
      </w:r>
      <w:r w:rsidR="00CE4B5B">
        <w:rPr>
          <w:rFonts w:ascii="Times New Roman" w:hAnsi="Times New Roman"/>
        </w:rPr>
        <w:t>rebate</w:t>
      </w:r>
      <w:r w:rsidR="001866C2">
        <w:rPr>
          <w:rFonts w:ascii="Times New Roman" w:hAnsi="Times New Roman"/>
        </w:rPr>
        <w:t xml:space="preserve"> </w:t>
      </w:r>
      <w:r w:rsidR="00651247">
        <w:rPr>
          <w:rFonts w:ascii="Times New Roman" w:hAnsi="Times New Roman"/>
        </w:rPr>
        <w:t xml:space="preserve">that customers received </w:t>
      </w:r>
      <w:r>
        <w:rPr>
          <w:rFonts w:ascii="Times New Roman" w:hAnsi="Times New Roman"/>
        </w:rPr>
        <w:t xml:space="preserve">through the first 12 months of the program is higher than original expectations.  The Company did expect to see conversions with lower construction costs convert first as the customer cost in </w:t>
      </w:r>
      <w:r w:rsidR="001866C2">
        <w:rPr>
          <w:rFonts w:ascii="Times New Roman" w:hAnsi="Times New Roman"/>
        </w:rPr>
        <w:t>some</w:t>
      </w:r>
      <w:r>
        <w:rPr>
          <w:rFonts w:ascii="Times New Roman" w:hAnsi="Times New Roman"/>
        </w:rPr>
        <w:t xml:space="preserve"> situations for the conversion was $0.  Between the energy efficiency rebates and availability of the excess allowance</w:t>
      </w:r>
      <w:r w:rsidR="001866C2">
        <w:rPr>
          <w:rFonts w:ascii="Times New Roman" w:hAnsi="Times New Roman"/>
        </w:rPr>
        <w:t xml:space="preserve"> equipment </w:t>
      </w:r>
      <w:r w:rsidR="00CE4B5B">
        <w:rPr>
          <w:rFonts w:ascii="Times New Roman" w:hAnsi="Times New Roman"/>
        </w:rPr>
        <w:t>rebate</w:t>
      </w:r>
      <w:r>
        <w:rPr>
          <w:rFonts w:ascii="Times New Roman" w:hAnsi="Times New Roman"/>
        </w:rPr>
        <w:t xml:space="preserve">, the cost of both the construction and appliances, including installation, was </w:t>
      </w:r>
      <w:r w:rsidR="00D95B1F">
        <w:rPr>
          <w:rFonts w:ascii="Times New Roman" w:hAnsi="Times New Roman"/>
        </w:rPr>
        <w:t xml:space="preserve">completely </w:t>
      </w:r>
      <w:r w:rsidR="00520B48">
        <w:rPr>
          <w:rFonts w:ascii="Times New Roman" w:hAnsi="Times New Roman"/>
        </w:rPr>
        <w:t xml:space="preserve">covered for </w:t>
      </w:r>
      <w:r w:rsidR="001866C2">
        <w:rPr>
          <w:rFonts w:ascii="Times New Roman" w:hAnsi="Times New Roman"/>
        </w:rPr>
        <w:t>some</w:t>
      </w:r>
      <w:r w:rsidR="00520B48">
        <w:rPr>
          <w:rFonts w:ascii="Times New Roman" w:hAnsi="Times New Roman"/>
        </w:rPr>
        <w:t xml:space="preserve"> customers.  </w:t>
      </w:r>
      <w:r w:rsidR="001866C2">
        <w:rPr>
          <w:rFonts w:ascii="Times New Roman" w:hAnsi="Times New Roman"/>
        </w:rPr>
        <w:t>M</w:t>
      </w:r>
      <w:r w:rsidR="00520B48">
        <w:rPr>
          <w:rFonts w:ascii="Times New Roman" w:hAnsi="Times New Roman"/>
        </w:rPr>
        <w:t xml:space="preserve">any of the conversions were Avista electric customers living in mobile homes.  In many instances the gas main was already ran throughout the mobile home park, but several homes had not hooked up to natural gas.  </w:t>
      </w:r>
    </w:p>
    <w:p w14:paraId="5E19ADC0" w14:textId="77777777" w:rsidR="00F05D3E" w:rsidRDefault="00F05D3E" w:rsidP="002F10C5">
      <w:pPr>
        <w:jc w:val="both"/>
        <w:rPr>
          <w:rFonts w:ascii="Times New Roman" w:hAnsi="Times New Roman"/>
        </w:rPr>
      </w:pPr>
    </w:p>
    <w:p w14:paraId="1A2B7B84" w14:textId="3A1FDD3A" w:rsidR="00F05D3E" w:rsidRDefault="00510437" w:rsidP="002F10C5">
      <w:pPr>
        <w:jc w:val="both"/>
        <w:rPr>
          <w:rFonts w:ascii="Times New Roman" w:hAnsi="Times New Roman"/>
        </w:rPr>
      </w:pPr>
      <w:r>
        <w:rPr>
          <w:rFonts w:ascii="Times New Roman" w:hAnsi="Times New Roman"/>
        </w:rPr>
        <w:t>The number of customers that received an excess allowance</w:t>
      </w:r>
      <w:r w:rsidR="001866C2">
        <w:rPr>
          <w:rFonts w:ascii="Times New Roman" w:hAnsi="Times New Roman"/>
        </w:rPr>
        <w:t xml:space="preserve"> equipment</w:t>
      </w:r>
      <w:r>
        <w:rPr>
          <w:rFonts w:ascii="Times New Roman" w:hAnsi="Times New Roman"/>
        </w:rPr>
        <w:t xml:space="preserve"> </w:t>
      </w:r>
      <w:r w:rsidR="00CE4B5B">
        <w:rPr>
          <w:rFonts w:ascii="Times New Roman" w:hAnsi="Times New Roman"/>
        </w:rPr>
        <w:t>rebate</w:t>
      </w:r>
      <w:r>
        <w:rPr>
          <w:rFonts w:ascii="Times New Roman" w:hAnsi="Times New Roman"/>
        </w:rPr>
        <w:t xml:space="preserve"> is lower than the number of conve</w:t>
      </w:r>
      <w:r w:rsidR="008A64EB">
        <w:rPr>
          <w:rFonts w:ascii="Times New Roman" w:hAnsi="Times New Roman"/>
        </w:rPr>
        <w:t>rsions for many reasons, such as</w:t>
      </w:r>
      <w:r w:rsidR="001866C2">
        <w:rPr>
          <w:rFonts w:ascii="Times New Roman" w:hAnsi="Times New Roman"/>
        </w:rPr>
        <w:t>:</w:t>
      </w:r>
    </w:p>
    <w:p w14:paraId="02AF500A" w14:textId="77777777" w:rsidR="00774400" w:rsidRDefault="00774400" w:rsidP="002F10C5">
      <w:pPr>
        <w:jc w:val="both"/>
        <w:rPr>
          <w:rFonts w:ascii="Times New Roman" w:hAnsi="Times New Roman"/>
        </w:rPr>
      </w:pPr>
    </w:p>
    <w:p w14:paraId="7CC70580" w14:textId="024C03F9" w:rsidR="00510437" w:rsidRDefault="00510437" w:rsidP="00510437">
      <w:pPr>
        <w:pStyle w:val="ListParagraph"/>
        <w:numPr>
          <w:ilvl w:val="0"/>
          <w:numId w:val="28"/>
        </w:numPr>
        <w:jc w:val="both"/>
      </w:pPr>
      <w:r>
        <w:t>Cost of construction was higher than the line extension allowance;</w:t>
      </w:r>
    </w:p>
    <w:p w14:paraId="155894AA" w14:textId="3036889F" w:rsidR="00510437" w:rsidRDefault="008A64EB" w:rsidP="00510437">
      <w:pPr>
        <w:pStyle w:val="ListParagraph"/>
        <w:numPr>
          <w:ilvl w:val="0"/>
          <w:numId w:val="28"/>
        </w:numPr>
        <w:jc w:val="both"/>
      </w:pPr>
      <w:r>
        <w:t xml:space="preserve">Timing delay of customer applying for </w:t>
      </w:r>
      <w:r w:rsidR="00CE4B5B">
        <w:t>rebate</w:t>
      </w:r>
      <w:r>
        <w:t xml:space="preserve"> after completion of construction;</w:t>
      </w:r>
    </w:p>
    <w:p w14:paraId="365B2049" w14:textId="7AE26EB4" w:rsidR="008A64EB" w:rsidRDefault="008A64EB" w:rsidP="00510437">
      <w:pPr>
        <w:pStyle w:val="ListParagraph"/>
        <w:numPr>
          <w:ilvl w:val="0"/>
          <w:numId w:val="28"/>
        </w:numPr>
        <w:jc w:val="both"/>
      </w:pPr>
      <w:r>
        <w:t xml:space="preserve">Customer was unaware or did not apply for </w:t>
      </w:r>
      <w:r w:rsidR="00CE4B5B">
        <w:t>rebate</w:t>
      </w:r>
      <w:r>
        <w:t>;</w:t>
      </w:r>
    </w:p>
    <w:p w14:paraId="60F2712D" w14:textId="7BCA3EB8" w:rsidR="008A64EB" w:rsidRDefault="008A64EB" w:rsidP="00510437">
      <w:pPr>
        <w:pStyle w:val="ListParagraph"/>
        <w:numPr>
          <w:ilvl w:val="0"/>
          <w:numId w:val="28"/>
        </w:numPr>
        <w:jc w:val="both"/>
      </w:pPr>
      <w:r>
        <w:t>Customer did not install high efficiency appliances; or,</w:t>
      </w:r>
    </w:p>
    <w:p w14:paraId="032D4C06" w14:textId="18D5100F" w:rsidR="008A64EB" w:rsidRDefault="008A64EB" w:rsidP="00510437">
      <w:pPr>
        <w:pStyle w:val="ListParagraph"/>
        <w:numPr>
          <w:ilvl w:val="0"/>
          <w:numId w:val="28"/>
        </w:numPr>
        <w:jc w:val="both"/>
      </w:pPr>
      <w:r>
        <w:t>Customer did not install qualifying equipment (e.g., gas fireplace).</w:t>
      </w:r>
    </w:p>
    <w:p w14:paraId="1A9E4CB4" w14:textId="77777777" w:rsidR="00774400" w:rsidRPr="00510437" w:rsidRDefault="00774400" w:rsidP="00774400">
      <w:pPr>
        <w:pStyle w:val="ListParagraph"/>
        <w:jc w:val="both"/>
      </w:pPr>
    </w:p>
    <w:p w14:paraId="40F84DBA" w14:textId="008D56B6" w:rsidR="002142D5" w:rsidRPr="00651247" w:rsidRDefault="00651247" w:rsidP="002F10C5">
      <w:pPr>
        <w:pStyle w:val="ListParagraph"/>
        <w:numPr>
          <w:ilvl w:val="0"/>
          <w:numId w:val="25"/>
        </w:numPr>
        <w:ind w:left="0" w:firstLine="0"/>
        <w:contextualSpacing w:val="0"/>
        <w:jc w:val="both"/>
        <w:rPr>
          <w:b/>
        </w:rPr>
      </w:pPr>
      <w:r>
        <w:rPr>
          <w:b/>
        </w:rPr>
        <w:t>Evaluation of H</w:t>
      </w:r>
      <w:r w:rsidR="002142D5" w:rsidRPr="00651247">
        <w:rPr>
          <w:b/>
        </w:rPr>
        <w:t>eating-</w:t>
      </w:r>
      <w:r>
        <w:rPr>
          <w:b/>
        </w:rPr>
        <w:t>S</w:t>
      </w:r>
      <w:r w:rsidR="002142D5" w:rsidRPr="00651247">
        <w:rPr>
          <w:b/>
        </w:rPr>
        <w:t xml:space="preserve">eason kWh </w:t>
      </w:r>
      <w:r>
        <w:rPr>
          <w:b/>
        </w:rPr>
        <w:t>U</w:t>
      </w:r>
      <w:r w:rsidR="002142D5" w:rsidRPr="00651247">
        <w:rPr>
          <w:b/>
        </w:rPr>
        <w:t xml:space="preserve">sage of Avista </w:t>
      </w:r>
      <w:r>
        <w:rPr>
          <w:b/>
        </w:rPr>
        <w:t>E</w:t>
      </w:r>
      <w:r w:rsidR="002142D5" w:rsidRPr="00651247">
        <w:rPr>
          <w:b/>
        </w:rPr>
        <w:t xml:space="preserve">lectric </w:t>
      </w:r>
      <w:r>
        <w:rPr>
          <w:b/>
        </w:rPr>
        <w:t>C</w:t>
      </w:r>
      <w:r w:rsidR="002142D5" w:rsidRPr="00651247">
        <w:rPr>
          <w:b/>
        </w:rPr>
        <w:t xml:space="preserve">onversion </w:t>
      </w:r>
      <w:r>
        <w:rPr>
          <w:b/>
        </w:rPr>
        <w:t>C</w:t>
      </w:r>
      <w:r w:rsidR="002142D5" w:rsidRPr="00651247">
        <w:rPr>
          <w:b/>
        </w:rPr>
        <w:t xml:space="preserve">ustomers </w:t>
      </w:r>
    </w:p>
    <w:p w14:paraId="10CAACA5" w14:textId="77777777" w:rsidR="002142D5" w:rsidRPr="00D85CAD" w:rsidRDefault="002142D5" w:rsidP="002F10C5">
      <w:pPr>
        <w:pStyle w:val="ListParagraph"/>
        <w:ind w:left="0"/>
        <w:jc w:val="both"/>
      </w:pPr>
    </w:p>
    <w:p w14:paraId="4A4DE1C6" w14:textId="7CB46B9D" w:rsidR="002142D5" w:rsidRPr="00D85CAD" w:rsidRDefault="00583095" w:rsidP="002F10C5">
      <w:pPr>
        <w:pStyle w:val="ListParagraph"/>
        <w:ind w:left="0"/>
        <w:jc w:val="both"/>
      </w:pPr>
      <w:r>
        <w:t xml:space="preserve">This information is not </w:t>
      </w:r>
      <w:r w:rsidR="002142D5" w:rsidRPr="00D85CAD">
        <w:t xml:space="preserve">available for this report as </w:t>
      </w:r>
      <w:r>
        <w:t xml:space="preserve">the Company has not experienced a </w:t>
      </w:r>
      <w:r w:rsidR="004754CD">
        <w:t xml:space="preserve">complete </w:t>
      </w:r>
      <w:r>
        <w:t>heating season since the modifications to Schedule 151 were approved.</w:t>
      </w:r>
      <w:r w:rsidR="00AC67CE">
        <w:t xml:space="preserve">  The Company will include an evaluation of heating-season (November – March) </w:t>
      </w:r>
      <w:r w:rsidR="00444D60">
        <w:t>kWh usage with its next semi-annual report.</w:t>
      </w:r>
    </w:p>
    <w:p w14:paraId="28DB4CBC" w14:textId="77777777" w:rsidR="002142D5" w:rsidRDefault="002142D5" w:rsidP="00A74B62">
      <w:pPr>
        <w:pStyle w:val="ListParagraph"/>
        <w:ind w:left="0"/>
        <w:jc w:val="both"/>
      </w:pPr>
    </w:p>
    <w:p w14:paraId="001BA00B" w14:textId="65019C24" w:rsidR="002142D5" w:rsidRPr="00651247" w:rsidRDefault="00651247" w:rsidP="00A74B62">
      <w:pPr>
        <w:pStyle w:val="ListParagraph"/>
        <w:numPr>
          <w:ilvl w:val="0"/>
          <w:numId w:val="25"/>
        </w:numPr>
        <w:ind w:left="0" w:firstLine="0"/>
        <w:contextualSpacing w:val="0"/>
        <w:jc w:val="both"/>
        <w:rPr>
          <w:b/>
        </w:rPr>
      </w:pPr>
      <w:r>
        <w:rPr>
          <w:b/>
        </w:rPr>
        <w:t>Customer S</w:t>
      </w:r>
      <w:r w:rsidR="00DA1E7B" w:rsidRPr="00651247">
        <w:rPr>
          <w:b/>
        </w:rPr>
        <w:t xml:space="preserve">urvey </w:t>
      </w:r>
      <w:r>
        <w:rPr>
          <w:b/>
        </w:rPr>
        <w:t>D</w:t>
      </w:r>
      <w:r w:rsidR="00DA1E7B" w:rsidRPr="00651247">
        <w:rPr>
          <w:b/>
        </w:rPr>
        <w:t xml:space="preserve">ata </w:t>
      </w:r>
    </w:p>
    <w:p w14:paraId="3ED76E02" w14:textId="77777777" w:rsidR="002142D5" w:rsidRPr="00D85CAD" w:rsidRDefault="002142D5" w:rsidP="00A74B62">
      <w:pPr>
        <w:jc w:val="both"/>
        <w:rPr>
          <w:rFonts w:ascii="Times New Roman" w:hAnsi="Times New Roman"/>
        </w:rPr>
      </w:pPr>
    </w:p>
    <w:p w14:paraId="322DA630" w14:textId="2B001071" w:rsidR="00651247" w:rsidRDefault="007F2ED7" w:rsidP="00651247">
      <w:pPr>
        <w:jc w:val="both"/>
        <w:rPr>
          <w:rFonts w:ascii="Times New Roman" w:eastAsia="Times New Roman" w:hAnsi="Times New Roman" w:cs="Times New Roman"/>
        </w:rPr>
      </w:pPr>
      <w:r>
        <w:rPr>
          <w:rFonts w:ascii="Times New Roman" w:hAnsi="Times New Roman"/>
        </w:rPr>
        <w:t>As part of the customer application for receiving a natural gas line extension allowance</w:t>
      </w:r>
      <w:r w:rsidR="00651247">
        <w:rPr>
          <w:rFonts w:ascii="Times New Roman" w:hAnsi="Times New Roman"/>
        </w:rPr>
        <w:t xml:space="preserve"> equipment</w:t>
      </w:r>
      <w:r>
        <w:rPr>
          <w:rFonts w:ascii="Times New Roman" w:hAnsi="Times New Roman"/>
        </w:rPr>
        <w:t xml:space="preserve"> </w:t>
      </w:r>
      <w:r w:rsidR="00BC3872">
        <w:rPr>
          <w:rFonts w:ascii="Times New Roman" w:hAnsi="Times New Roman"/>
        </w:rPr>
        <w:t>rebate, customers are</w:t>
      </w:r>
      <w:r>
        <w:rPr>
          <w:rFonts w:ascii="Times New Roman" w:hAnsi="Times New Roman"/>
        </w:rPr>
        <w:t xml:space="preserve"> asked to fill out a </w:t>
      </w:r>
      <w:r w:rsidR="003F3923">
        <w:rPr>
          <w:rFonts w:ascii="Times New Roman" w:hAnsi="Times New Roman"/>
        </w:rPr>
        <w:t xml:space="preserve">voluntary </w:t>
      </w:r>
      <w:r>
        <w:rPr>
          <w:rFonts w:ascii="Times New Roman" w:hAnsi="Times New Roman"/>
        </w:rPr>
        <w:t xml:space="preserve">survey regarding their conversion to natural gas.  The questions </w:t>
      </w:r>
      <w:r w:rsidR="00651247">
        <w:rPr>
          <w:rFonts w:ascii="Times New Roman" w:hAnsi="Times New Roman"/>
        </w:rPr>
        <w:t xml:space="preserve">below </w:t>
      </w:r>
      <w:r>
        <w:rPr>
          <w:rFonts w:ascii="Times New Roman" w:hAnsi="Times New Roman"/>
        </w:rPr>
        <w:t xml:space="preserve">are asked as part </w:t>
      </w:r>
      <w:r w:rsidR="00651247">
        <w:rPr>
          <w:rFonts w:ascii="Times New Roman" w:hAnsi="Times New Roman"/>
        </w:rPr>
        <w:t xml:space="preserve">of the survey.  </w:t>
      </w:r>
      <w:r w:rsidR="00651247">
        <w:rPr>
          <w:rFonts w:ascii="Times New Roman" w:eastAsia="Times New Roman" w:hAnsi="Times New Roman" w:cs="Times New Roman"/>
        </w:rPr>
        <w:t>As of the time of preparing this report, the Company had received 258 completed surveys.  Of the surveys responses received thus far, the following are the general responses to the questions listed above in the same order.</w:t>
      </w:r>
    </w:p>
    <w:p w14:paraId="17F1884A" w14:textId="1AD32B37" w:rsidR="002142D5" w:rsidRDefault="002142D5" w:rsidP="00A74B62">
      <w:pPr>
        <w:jc w:val="both"/>
        <w:rPr>
          <w:rFonts w:ascii="Times New Roman" w:hAnsi="Times New Roman"/>
        </w:rPr>
      </w:pPr>
    </w:p>
    <w:p w14:paraId="55962C22" w14:textId="24C7593A" w:rsidR="007F2ED7" w:rsidRDefault="00651247" w:rsidP="00651247">
      <w:pPr>
        <w:jc w:val="both"/>
        <w:rPr>
          <w:rFonts w:ascii="Times New Roman" w:hAnsi="Times New Roman"/>
        </w:rPr>
      </w:pPr>
      <w:r w:rsidRPr="00651247">
        <w:rPr>
          <w:rFonts w:ascii="Times New Roman" w:hAnsi="Times New Roman"/>
        </w:rPr>
        <w:t xml:space="preserve">Question 1 - </w:t>
      </w:r>
      <w:r w:rsidR="007F2ED7" w:rsidRPr="00651247">
        <w:rPr>
          <w:rFonts w:ascii="Times New Roman" w:hAnsi="Times New Roman"/>
        </w:rPr>
        <w:t>Why were you interested in converting to natural gas? (</w:t>
      </w:r>
      <w:proofErr w:type="gramStart"/>
      <w:r w:rsidR="007F2ED7" w:rsidRPr="00651247">
        <w:rPr>
          <w:rFonts w:ascii="Times New Roman" w:hAnsi="Times New Roman"/>
        </w:rPr>
        <w:t>check</w:t>
      </w:r>
      <w:proofErr w:type="gramEnd"/>
      <w:r w:rsidR="007F2ED7" w:rsidRPr="00651247">
        <w:rPr>
          <w:rFonts w:ascii="Times New Roman" w:hAnsi="Times New Roman"/>
        </w:rPr>
        <w:t xml:space="preserve"> all that apply: Cost Savings, Appliance Choices, Environmental Benefits, Other)</w:t>
      </w:r>
    </w:p>
    <w:p w14:paraId="4A91FABA" w14:textId="77777777" w:rsidR="00651247" w:rsidRDefault="00651247" w:rsidP="00651247">
      <w:pPr>
        <w:jc w:val="both"/>
        <w:rPr>
          <w:rFonts w:ascii="Times New Roman" w:hAnsi="Times New Roman"/>
        </w:rPr>
      </w:pPr>
    </w:p>
    <w:p w14:paraId="5B1A3D80" w14:textId="18803D8B"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 xml:space="preserve">99% of respondents chose cost savings as the primary reason they were interested in converting.  In addition, a few customers selected all three options as the reason they chose to convert. </w:t>
      </w:r>
    </w:p>
    <w:p w14:paraId="5D4C81BE" w14:textId="77777777" w:rsidR="00651247" w:rsidRPr="00651247" w:rsidRDefault="00651247" w:rsidP="00651247">
      <w:pPr>
        <w:jc w:val="both"/>
        <w:rPr>
          <w:rFonts w:ascii="Times New Roman" w:hAnsi="Times New Roman"/>
        </w:rPr>
      </w:pPr>
    </w:p>
    <w:p w14:paraId="33B580A2" w14:textId="77777777" w:rsidR="00651247" w:rsidRPr="00651247" w:rsidRDefault="00651247" w:rsidP="00651247">
      <w:pPr>
        <w:jc w:val="both"/>
        <w:rPr>
          <w:rFonts w:ascii="Times New Roman" w:hAnsi="Times New Roman"/>
        </w:rPr>
      </w:pPr>
    </w:p>
    <w:p w14:paraId="002AE443" w14:textId="551484BE" w:rsidR="007F2ED7" w:rsidRPr="00651247" w:rsidRDefault="00651247" w:rsidP="00651247">
      <w:pPr>
        <w:jc w:val="both"/>
        <w:rPr>
          <w:rFonts w:ascii="Times New Roman" w:hAnsi="Times New Roman"/>
        </w:rPr>
      </w:pPr>
      <w:r w:rsidRPr="00651247">
        <w:rPr>
          <w:rFonts w:ascii="Times New Roman" w:hAnsi="Times New Roman"/>
        </w:rPr>
        <w:lastRenderedPageBreak/>
        <w:t xml:space="preserve">Question 2 - </w:t>
      </w:r>
      <w:r w:rsidR="007F2ED7" w:rsidRPr="00651247">
        <w:rPr>
          <w:rFonts w:ascii="Times New Roman" w:hAnsi="Times New Roman"/>
        </w:rPr>
        <w:t>What natural gas appliances did you install? (</w:t>
      </w:r>
      <w:proofErr w:type="gramStart"/>
      <w:r w:rsidR="007F2ED7" w:rsidRPr="00651247">
        <w:rPr>
          <w:rFonts w:ascii="Times New Roman" w:hAnsi="Times New Roman"/>
        </w:rPr>
        <w:t>check</w:t>
      </w:r>
      <w:proofErr w:type="gramEnd"/>
      <w:r w:rsidR="007F2ED7" w:rsidRPr="00651247">
        <w:rPr>
          <w:rFonts w:ascii="Times New Roman" w:hAnsi="Times New Roman"/>
        </w:rPr>
        <w:t xml:space="preserve"> all that apply: Furnace, Hot Water Heater, Stove, Fireplace, Barbeque)</w:t>
      </w:r>
    </w:p>
    <w:p w14:paraId="0A201BA2" w14:textId="77777777" w:rsidR="00651247" w:rsidRDefault="00651247" w:rsidP="00651247">
      <w:pPr>
        <w:jc w:val="both"/>
        <w:rPr>
          <w:rFonts w:ascii="Times New Roman" w:hAnsi="Times New Roman"/>
        </w:rPr>
      </w:pPr>
    </w:p>
    <w:p w14:paraId="5DD54A1C"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38% of survey respondents installed only a furnace, 48% installed a furnace and hot water heater, 3% installed a furnace, hot water heater, and stove, and 1% installed a furnace and stove.</w:t>
      </w:r>
    </w:p>
    <w:p w14:paraId="3A7CD7D2" w14:textId="0AC5B59F" w:rsidR="00651247" w:rsidRDefault="00651247" w:rsidP="00651247">
      <w:pPr>
        <w:jc w:val="both"/>
        <w:rPr>
          <w:rFonts w:ascii="Times New Roman" w:hAnsi="Times New Roman"/>
        </w:rPr>
      </w:pPr>
    </w:p>
    <w:p w14:paraId="38198C25" w14:textId="0CD0CB6E" w:rsidR="007F2ED7" w:rsidRDefault="00651247" w:rsidP="00651247">
      <w:pPr>
        <w:jc w:val="both"/>
        <w:rPr>
          <w:rFonts w:ascii="Times New Roman" w:hAnsi="Times New Roman"/>
        </w:rPr>
      </w:pPr>
      <w:r w:rsidRPr="00651247">
        <w:rPr>
          <w:rFonts w:ascii="Times New Roman" w:hAnsi="Times New Roman"/>
        </w:rPr>
        <w:t xml:space="preserve">Question 3 - </w:t>
      </w:r>
      <w:r w:rsidR="007F2ED7" w:rsidRPr="00651247">
        <w:rPr>
          <w:rFonts w:ascii="Times New Roman" w:hAnsi="Times New Roman"/>
        </w:rPr>
        <w:t>Had you previously considered converting to natural gas? (</w:t>
      </w:r>
      <w:proofErr w:type="gramStart"/>
      <w:r w:rsidR="007F2ED7" w:rsidRPr="00651247">
        <w:rPr>
          <w:rFonts w:ascii="Times New Roman" w:hAnsi="Times New Roman"/>
        </w:rPr>
        <w:t>yes</w:t>
      </w:r>
      <w:proofErr w:type="gramEnd"/>
      <w:r w:rsidR="007F2ED7" w:rsidRPr="00651247">
        <w:rPr>
          <w:rFonts w:ascii="Times New Roman" w:hAnsi="Times New Roman"/>
        </w:rPr>
        <w:t xml:space="preserve"> or no)</w:t>
      </w:r>
    </w:p>
    <w:p w14:paraId="054F2A24" w14:textId="77777777" w:rsidR="00651247" w:rsidRDefault="00651247" w:rsidP="00651247">
      <w:pPr>
        <w:jc w:val="both"/>
        <w:rPr>
          <w:rFonts w:ascii="Times New Roman" w:hAnsi="Times New Roman"/>
        </w:rPr>
      </w:pPr>
    </w:p>
    <w:p w14:paraId="18C24CF8"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Approximately 69% of customers had previously considered converting to natural gas, but chose not to.</w:t>
      </w:r>
    </w:p>
    <w:p w14:paraId="048221DD" w14:textId="77777777" w:rsidR="00651247" w:rsidRPr="00651247" w:rsidRDefault="00651247" w:rsidP="00651247">
      <w:pPr>
        <w:jc w:val="both"/>
        <w:rPr>
          <w:rFonts w:ascii="Times New Roman" w:hAnsi="Times New Roman"/>
        </w:rPr>
      </w:pPr>
    </w:p>
    <w:p w14:paraId="1558D6D8" w14:textId="4118E991" w:rsidR="007F2ED7" w:rsidRPr="00651247" w:rsidRDefault="00651247" w:rsidP="00651247">
      <w:pPr>
        <w:jc w:val="both"/>
        <w:rPr>
          <w:rFonts w:ascii="Times New Roman" w:hAnsi="Times New Roman"/>
        </w:rPr>
      </w:pPr>
      <w:r w:rsidRPr="00651247">
        <w:rPr>
          <w:rFonts w:ascii="Times New Roman" w:hAnsi="Times New Roman"/>
        </w:rPr>
        <w:t xml:space="preserve">Question 4 - </w:t>
      </w:r>
      <w:r w:rsidR="007F2ED7" w:rsidRPr="00651247">
        <w:rPr>
          <w:rFonts w:ascii="Times New Roman" w:hAnsi="Times New Roman"/>
        </w:rPr>
        <w:t>What prevented you from previously converting to natural gas? (</w:t>
      </w:r>
      <w:proofErr w:type="gramStart"/>
      <w:r w:rsidR="007F2ED7" w:rsidRPr="00651247">
        <w:rPr>
          <w:rFonts w:ascii="Times New Roman" w:hAnsi="Times New Roman"/>
        </w:rPr>
        <w:t>check</w:t>
      </w:r>
      <w:proofErr w:type="gramEnd"/>
      <w:r w:rsidR="007F2ED7" w:rsidRPr="00651247">
        <w:rPr>
          <w:rFonts w:ascii="Times New Roman" w:hAnsi="Times New Roman"/>
        </w:rPr>
        <w:t xml:space="preserve"> all that apply: Cost of equipment, Cost of construction, Cost of natural gas, Other)</w:t>
      </w:r>
    </w:p>
    <w:p w14:paraId="7EE1B4CA" w14:textId="77777777" w:rsidR="00651247" w:rsidRDefault="00651247" w:rsidP="00651247">
      <w:pPr>
        <w:jc w:val="both"/>
        <w:rPr>
          <w:rFonts w:ascii="Times New Roman" w:hAnsi="Times New Roman"/>
        </w:rPr>
      </w:pPr>
    </w:p>
    <w:p w14:paraId="67DA5E4B"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83% of respondents claimed the cost of conversion and/or equipment was the reason they had not previously converted to natural gas.</w:t>
      </w:r>
    </w:p>
    <w:p w14:paraId="15C1D07D" w14:textId="77777777" w:rsidR="00651247" w:rsidRDefault="00651247" w:rsidP="00651247">
      <w:pPr>
        <w:jc w:val="both"/>
        <w:rPr>
          <w:rFonts w:ascii="Times New Roman" w:hAnsi="Times New Roman"/>
        </w:rPr>
      </w:pPr>
    </w:p>
    <w:p w14:paraId="70C1DEB3" w14:textId="33E1B75F" w:rsidR="007F2ED7" w:rsidRPr="00651247" w:rsidRDefault="00651247" w:rsidP="00651247">
      <w:pPr>
        <w:jc w:val="both"/>
        <w:rPr>
          <w:rFonts w:ascii="Times New Roman" w:hAnsi="Times New Roman"/>
        </w:rPr>
      </w:pPr>
      <w:r>
        <w:rPr>
          <w:rFonts w:ascii="Times New Roman" w:hAnsi="Times New Roman"/>
        </w:rPr>
        <w:t xml:space="preserve">Question 5 - </w:t>
      </w:r>
      <w:r w:rsidR="007F2ED7" w:rsidRPr="00651247">
        <w:rPr>
          <w:rFonts w:ascii="Times New Roman" w:hAnsi="Times New Roman"/>
        </w:rPr>
        <w:t>Did the amount of Avista’s natural gas line extension allowance influence your decision to convert to natural gas? (</w:t>
      </w:r>
      <w:proofErr w:type="gramStart"/>
      <w:r w:rsidR="007F2ED7" w:rsidRPr="00651247">
        <w:rPr>
          <w:rFonts w:ascii="Times New Roman" w:hAnsi="Times New Roman"/>
        </w:rPr>
        <w:t>yes</w:t>
      </w:r>
      <w:proofErr w:type="gramEnd"/>
      <w:r w:rsidR="007F2ED7" w:rsidRPr="00651247">
        <w:rPr>
          <w:rFonts w:ascii="Times New Roman" w:hAnsi="Times New Roman"/>
        </w:rPr>
        <w:t xml:space="preserve"> or no)</w:t>
      </w:r>
    </w:p>
    <w:p w14:paraId="75449971" w14:textId="77777777" w:rsidR="00651247" w:rsidRDefault="00651247" w:rsidP="00651247">
      <w:pPr>
        <w:jc w:val="both"/>
        <w:rPr>
          <w:rFonts w:ascii="Times New Roman" w:hAnsi="Times New Roman"/>
        </w:rPr>
      </w:pPr>
    </w:p>
    <w:p w14:paraId="616BD858"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97% of respondents claimed the amount of Avista’s line extension allowance impacted their decision to convert to natural gas.</w:t>
      </w:r>
    </w:p>
    <w:p w14:paraId="29342C40" w14:textId="77777777" w:rsidR="00651247" w:rsidRDefault="00651247" w:rsidP="00651247">
      <w:pPr>
        <w:jc w:val="both"/>
        <w:rPr>
          <w:rFonts w:ascii="Times New Roman" w:hAnsi="Times New Roman"/>
        </w:rPr>
      </w:pPr>
    </w:p>
    <w:p w14:paraId="6806AC04" w14:textId="63BF6D66" w:rsidR="007F2ED7" w:rsidRPr="00651247" w:rsidRDefault="00651247" w:rsidP="00651247">
      <w:pPr>
        <w:jc w:val="both"/>
        <w:rPr>
          <w:rFonts w:ascii="Times New Roman" w:hAnsi="Times New Roman"/>
        </w:rPr>
      </w:pPr>
      <w:r>
        <w:rPr>
          <w:rFonts w:ascii="Times New Roman" w:hAnsi="Times New Roman"/>
        </w:rPr>
        <w:t xml:space="preserve">Question 6 - </w:t>
      </w:r>
      <w:r w:rsidR="007F2ED7" w:rsidRPr="00651247">
        <w:rPr>
          <w:rFonts w:ascii="Times New Roman" w:hAnsi="Times New Roman"/>
        </w:rPr>
        <w:t>Did the availability of any excess allowance that could be applied towards the purchase and installation of a natural gas hot water heater or natural gas high efficiency furnace/boiler influence your decision to convert to natural gas? (</w:t>
      </w:r>
      <w:proofErr w:type="gramStart"/>
      <w:r w:rsidR="007F2ED7" w:rsidRPr="00651247">
        <w:rPr>
          <w:rFonts w:ascii="Times New Roman" w:hAnsi="Times New Roman"/>
        </w:rPr>
        <w:t>yes</w:t>
      </w:r>
      <w:proofErr w:type="gramEnd"/>
      <w:r w:rsidR="007F2ED7" w:rsidRPr="00651247">
        <w:rPr>
          <w:rFonts w:ascii="Times New Roman" w:hAnsi="Times New Roman"/>
        </w:rPr>
        <w:t xml:space="preserve"> or no)</w:t>
      </w:r>
    </w:p>
    <w:p w14:paraId="41D4CAE1" w14:textId="77777777" w:rsidR="00651247" w:rsidRDefault="00651247" w:rsidP="00651247">
      <w:pPr>
        <w:jc w:val="both"/>
        <w:rPr>
          <w:rFonts w:ascii="Times New Roman" w:hAnsi="Times New Roman"/>
        </w:rPr>
      </w:pPr>
    </w:p>
    <w:p w14:paraId="17617C33"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96% of respondents claimed that the availability of any excess allowance that could be applied towards their purchase of high efficiency equipment influenced their decision to convert to natural gas.</w:t>
      </w:r>
    </w:p>
    <w:p w14:paraId="63EEB729" w14:textId="77777777" w:rsidR="00651247" w:rsidRDefault="00651247" w:rsidP="00651247">
      <w:pPr>
        <w:jc w:val="both"/>
        <w:rPr>
          <w:rFonts w:ascii="Times New Roman" w:hAnsi="Times New Roman"/>
        </w:rPr>
      </w:pPr>
    </w:p>
    <w:p w14:paraId="5C965E4C" w14:textId="1B77F800" w:rsidR="007F2ED7" w:rsidRPr="00651247" w:rsidRDefault="00651247" w:rsidP="00651247">
      <w:pPr>
        <w:jc w:val="both"/>
        <w:rPr>
          <w:rFonts w:ascii="Times New Roman" w:hAnsi="Times New Roman"/>
        </w:rPr>
      </w:pPr>
      <w:r>
        <w:rPr>
          <w:rFonts w:ascii="Times New Roman" w:hAnsi="Times New Roman"/>
        </w:rPr>
        <w:t xml:space="preserve">Question 7 - </w:t>
      </w:r>
      <w:r w:rsidR="007F2ED7" w:rsidRPr="00651247">
        <w:rPr>
          <w:rFonts w:ascii="Times New Roman" w:hAnsi="Times New Roman"/>
        </w:rPr>
        <w:t>Prior to learning of the excess allowance program, had you planned on installing high efficiency natural gas space heating equipment? (</w:t>
      </w:r>
      <w:proofErr w:type="gramStart"/>
      <w:r w:rsidR="007F2ED7" w:rsidRPr="00651247">
        <w:rPr>
          <w:rFonts w:ascii="Times New Roman" w:hAnsi="Times New Roman"/>
        </w:rPr>
        <w:t>yes</w:t>
      </w:r>
      <w:proofErr w:type="gramEnd"/>
      <w:r w:rsidR="007F2ED7" w:rsidRPr="00651247">
        <w:rPr>
          <w:rFonts w:ascii="Times New Roman" w:hAnsi="Times New Roman"/>
        </w:rPr>
        <w:t xml:space="preserve"> or no)</w:t>
      </w:r>
    </w:p>
    <w:p w14:paraId="6471DECE" w14:textId="77777777" w:rsidR="00651247" w:rsidRDefault="00651247" w:rsidP="00651247">
      <w:pPr>
        <w:jc w:val="both"/>
        <w:rPr>
          <w:rFonts w:ascii="Times New Roman" w:hAnsi="Times New Roman"/>
        </w:rPr>
      </w:pPr>
    </w:p>
    <w:p w14:paraId="583DCBBB"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69% of respondents claimed that prior to learning about the excess allowance program they had not considered installing high efficiency equipment.</w:t>
      </w:r>
    </w:p>
    <w:p w14:paraId="48A7E0C2" w14:textId="77777777" w:rsidR="00651247" w:rsidRDefault="00651247" w:rsidP="00651247">
      <w:pPr>
        <w:jc w:val="both"/>
        <w:rPr>
          <w:rFonts w:ascii="Times New Roman" w:hAnsi="Times New Roman"/>
        </w:rPr>
      </w:pPr>
    </w:p>
    <w:p w14:paraId="7F34FF33" w14:textId="7F7D779F" w:rsidR="007F2ED7" w:rsidRPr="00651247" w:rsidRDefault="00651247" w:rsidP="00651247">
      <w:pPr>
        <w:jc w:val="both"/>
        <w:rPr>
          <w:rFonts w:ascii="Times New Roman" w:hAnsi="Times New Roman"/>
        </w:rPr>
      </w:pPr>
      <w:r>
        <w:rPr>
          <w:rFonts w:ascii="Times New Roman" w:hAnsi="Times New Roman"/>
        </w:rPr>
        <w:t xml:space="preserve">Question 8 - </w:t>
      </w:r>
      <w:r w:rsidR="007F2ED7" w:rsidRPr="00651247">
        <w:rPr>
          <w:rFonts w:ascii="Times New Roman" w:hAnsi="Times New Roman"/>
        </w:rPr>
        <w:t>How much was your excess allowance rebate? ($0-$500, $500-$1,000, $1,000-$1,500, $1,500-$2,000, $2,000+)</w:t>
      </w:r>
    </w:p>
    <w:p w14:paraId="5797C786" w14:textId="77777777" w:rsidR="00651247" w:rsidRDefault="00651247" w:rsidP="00651247">
      <w:pPr>
        <w:jc w:val="both"/>
        <w:rPr>
          <w:rFonts w:ascii="Times New Roman" w:hAnsi="Times New Roman"/>
        </w:rPr>
      </w:pPr>
    </w:p>
    <w:p w14:paraId="249803B4" w14:textId="2246D8D4"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 xml:space="preserve">21% of customers received an excess allowance </w:t>
      </w:r>
      <w:r w:rsidR="00CE4B5B">
        <w:rPr>
          <w:rFonts w:ascii="Times New Roman" w:hAnsi="Times New Roman"/>
        </w:rPr>
        <w:t>rebate</w:t>
      </w:r>
      <w:r w:rsidRPr="00651247">
        <w:rPr>
          <w:rFonts w:ascii="Times New Roman" w:hAnsi="Times New Roman"/>
        </w:rPr>
        <w:t xml:space="preserve"> exceeding $2,000.</w:t>
      </w:r>
    </w:p>
    <w:p w14:paraId="0B631975" w14:textId="68D3E8D4" w:rsidR="00651247" w:rsidRDefault="00651247" w:rsidP="00651247">
      <w:pPr>
        <w:jc w:val="both"/>
        <w:rPr>
          <w:rFonts w:ascii="Times New Roman" w:hAnsi="Times New Roman"/>
        </w:rPr>
      </w:pPr>
    </w:p>
    <w:p w14:paraId="67DEC657" w14:textId="77777777" w:rsidR="00651247" w:rsidRDefault="00651247" w:rsidP="00651247">
      <w:pPr>
        <w:jc w:val="both"/>
        <w:rPr>
          <w:rFonts w:ascii="Times New Roman" w:hAnsi="Times New Roman"/>
        </w:rPr>
      </w:pPr>
    </w:p>
    <w:p w14:paraId="75AC5AE4" w14:textId="73D4595E" w:rsidR="007F2ED7" w:rsidRPr="00651247" w:rsidRDefault="00651247" w:rsidP="00651247">
      <w:pPr>
        <w:jc w:val="both"/>
        <w:rPr>
          <w:rFonts w:ascii="Times New Roman" w:hAnsi="Times New Roman"/>
        </w:rPr>
      </w:pPr>
      <w:r>
        <w:rPr>
          <w:rFonts w:ascii="Times New Roman" w:hAnsi="Times New Roman"/>
        </w:rPr>
        <w:lastRenderedPageBreak/>
        <w:t xml:space="preserve">Question 9 - </w:t>
      </w:r>
      <w:r w:rsidR="007F2ED7" w:rsidRPr="00651247">
        <w:rPr>
          <w:rFonts w:ascii="Times New Roman" w:hAnsi="Times New Roman"/>
        </w:rPr>
        <w:t>How did you learn about this program? (From Avista directly, Advertisement, Referral, Other)</w:t>
      </w:r>
    </w:p>
    <w:p w14:paraId="3475705F" w14:textId="77777777" w:rsidR="00651247" w:rsidRDefault="00651247" w:rsidP="00651247">
      <w:pPr>
        <w:jc w:val="both"/>
        <w:rPr>
          <w:rFonts w:ascii="Times New Roman" w:hAnsi="Times New Roman"/>
        </w:rPr>
      </w:pPr>
    </w:p>
    <w:p w14:paraId="39C57418"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 xml:space="preserve">Results were mixed on how customers heard of the excess allowance program. Responses included from Avista directly, referrals, and equipment companies.  </w:t>
      </w:r>
    </w:p>
    <w:p w14:paraId="7A9FC0F4" w14:textId="77777777" w:rsidR="00651247" w:rsidRDefault="00651247" w:rsidP="00651247">
      <w:pPr>
        <w:jc w:val="both"/>
        <w:rPr>
          <w:rFonts w:ascii="Times New Roman" w:hAnsi="Times New Roman"/>
        </w:rPr>
      </w:pPr>
    </w:p>
    <w:p w14:paraId="4465ACEE" w14:textId="1864C4DB" w:rsidR="007F2ED7" w:rsidRPr="00651247" w:rsidRDefault="00651247" w:rsidP="00651247">
      <w:pPr>
        <w:jc w:val="both"/>
        <w:rPr>
          <w:rFonts w:ascii="Times New Roman" w:hAnsi="Times New Roman"/>
        </w:rPr>
      </w:pPr>
      <w:r>
        <w:rPr>
          <w:rFonts w:ascii="Times New Roman" w:hAnsi="Times New Roman"/>
        </w:rPr>
        <w:t xml:space="preserve">Question 10 - </w:t>
      </w:r>
      <w:r w:rsidR="007F2ED7" w:rsidRPr="00651247">
        <w:rPr>
          <w:rFonts w:ascii="Times New Roman" w:hAnsi="Times New Roman"/>
        </w:rPr>
        <w:t>Have you or will you recommend that others participate in this program or converting to natural gas? (</w:t>
      </w:r>
      <w:proofErr w:type="gramStart"/>
      <w:r w:rsidR="007F2ED7" w:rsidRPr="00651247">
        <w:rPr>
          <w:rFonts w:ascii="Times New Roman" w:hAnsi="Times New Roman"/>
        </w:rPr>
        <w:t>yes</w:t>
      </w:r>
      <w:proofErr w:type="gramEnd"/>
      <w:r w:rsidR="007F2ED7" w:rsidRPr="00651247">
        <w:rPr>
          <w:rFonts w:ascii="Times New Roman" w:hAnsi="Times New Roman"/>
        </w:rPr>
        <w:t xml:space="preserve"> or no)</w:t>
      </w:r>
    </w:p>
    <w:p w14:paraId="0308D58F" w14:textId="77777777" w:rsidR="00730991" w:rsidRDefault="00730991" w:rsidP="00730991">
      <w:pPr>
        <w:jc w:val="both"/>
      </w:pPr>
    </w:p>
    <w:p w14:paraId="3ECF1F81" w14:textId="77777777" w:rsidR="00651247" w:rsidRPr="00651247" w:rsidRDefault="00651247" w:rsidP="00651247">
      <w:pPr>
        <w:jc w:val="both"/>
        <w:rPr>
          <w:rFonts w:ascii="Times New Roman" w:hAnsi="Times New Roman"/>
        </w:rPr>
      </w:pPr>
      <w:r>
        <w:rPr>
          <w:rFonts w:ascii="Times New Roman" w:hAnsi="Times New Roman"/>
        </w:rPr>
        <w:t xml:space="preserve">Summary of responses - </w:t>
      </w:r>
      <w:r w:rsidRPr="00651247">
        <w:rPr>
          <w:rFonts w:ascii="Times New Roman" w:hAnsi="Times New Roman"/>
        </w:rPr>
        <w:t>All customers stated they had or would recommend others participate in the program.</w:t>
      </w:r>
    </w:p>
    <w:p w14:paraId="19FF10E0" w14:textId="0DB6F484" w:rsidR="00651247" w:rsidRDefault="00651247" w:rsidP="00730991">
      <w:pPr>
        <w:jc w:val="both"/>
      </w:pPr>
    </w:p>
    <w:p w14:paraId="48B2E3BC" w14:textId="34CABD6A" w:rsidR="00FC7268" w:rsidRDefault="008271D1" w:rsidP="005E7BAC">
      <w:pPr>
        <w:jc w:val="both"/>
        <w:rPr>
          <w:rFonts w:ascii="Times New Roman" w:eastAsia="Times New Roman" w:hAnsi="Times New Roman" w:cs="Times New Roman"/>
        </w:rPr>
      </w:pPr>
      <w:r>
        <w:rPr>
          <w:rFonts w:ascii="Times New Roman" w:eastAsia="Times New Roman" w:hAnsi="Times New Roman" w:cs="Times New Roman"/>
        </w:rPr>
        <w:t>Survey results continue to show that</w:t>
      </w:r>
      <w:r w:rsidR="00BD762E">
        <w:rPr>
          <w:rFonts w:ascii="Times New Roman" w:eastAsia="Times New Roman" w:hAnsi="Times New Roman" w:cs="Times New Roman"/>
        </w:rPr>
        <w:t xml:space="preserve"> the </w:t>
      </w:r>
      <w:r w:rsidR="00BC3872">
        <w:rPr>
          <w:rFonts w:ascii="Times New Roman" w:eastAsia="Times New Roman" w:hAnsi="Times New Roman" w:cs="Times New Roman"/>
        </w:rPr>
        <w:t>availability of the excess allowance equipment rebate</w:t>
      </w:r>
      <w:r w:rsidR="00BD762E">
        <w:rPr>
          <w:rFonts w:ascii="Times New Roman" w:eastAsia="Times New Roman" w:hAnsi="Times New Roman" w:cs="Times New Roman"/>
        </w:rPr>
        <w:t xml:space="preserve"> is impacting customers’ decision </w:t>
      </w:r>
      <w:r w:rsidR="00BC3872">
        <w:rPr>
          <w:rFonts w:ascii="Times New Roman" w:eastAsia="Times New Roman" w:hAnsi="Times New Roman" w:cs="Times New Roman"/>
        </w:rPr>
        <w:t xml:space="preserve">to convert </w:t>
      </w:r>
      <w:r w:rsidR="00BD762E">
        <w:rPr>
          <w:rFonts w:ascii="Times New Roman" w:eastAsia="Times New Roman" w:hAnsi="Times New Roman" w:cs="Times New Roman"/>
        </w:rPr>
        <w:t xml:space="preserve">to natural gas.  Out of those that provided a response to the survey, nearly 70% said that they previously considered converting to natural gas, but chose not to.  Additionally, nearly 70% of the survey respondents said that prior to learning about the program they had not considered installing high efficiency equipment. The associated therm savings from the installation of their high efficiency equipment would have </w:t>
      </w:r>
      <w:r w:rsidR="00BC3872">
        <w:rPr>
          <w:rFonts w:ascii="Times New Roman" w:eastAsia="Times New Roman" w:hAnsi="Times New Roman" w:cs="Times New Roman"/>
        </w:rPr>
        <w:t>been a lost opportunity, absent the availability of the excess allowance equipment rebate</w:t>
      </w:r>
      <w:r w:rsidR="00BD762E">
        <w:rPr>
          <w:rFonts w:ascii="Times New Roman" w:eastAsia="Times New Roman" w:hAnsi="Times New Roman" w:cs="Times New Roman"/>
        </w:rPr>
        <w:t>.</w:t>
      </w:r>
    </w:p>
    <w:p w14:paraId="20DAC13A" w14:textId="77777777" w:rsidR="00AC67CE" w:rsidRDefault="00AC67CE" w:rsidP="005E7BAC">
      <w:pPr>
        <w:jc w:val="both"/>
        <w:rPr>
          <w:rFonts w:ascii="Times New Roman" w:eastAsia="Times New Roman" w:hAnsi="Times New Roman" w:cs="Times New Roman"/>
        </w:rPr>
      </w:pPr>
    </w:p>
    <w:p w14:paraId="03338E5D" w14:textId="1A31CA36" w:rsidR="00AC67CE" w:rsidRDefault="007A6E9E" w:rsidP="005E7BAC">
      <w:pPr>
        <w:jc w:val="both"/>
        <w:rPr>
          <w:rFonts w:ascii="Times New Roman" w:eastAsia="Times New Roman" w:hAnsi="Times New Roman" w:cs="Times New Roman"/>
        </w:rPr>
      </w:pPr>
      <w:r>
        <w:rPr>
          <w:rFonts w:ascii="Times New Roman" w:eastAsia="Times New Roman" w:hAnsi="Times New Roman" w:cs="Times New Roman"/>
        </w:rPr>
        <w:t xml:space="preserve">The following chart shows the </w:t>
      </w:r>
      <w:r w:rsidR="002C3680">
        <w:rPr>
          <w:rFonts w:ascii="Times New Roman" w:eastAsia="Times New Roman" w:hAnsi="Times New Roman" w:cs="Times New Roman"/>
        </w:rPr>
        <w:t xml:space="preserve">monthly </w:t>
      </w:r>
      <w:r>
        <w:rPr>
          <w:rFonts w:ascii="Times New Roman" w:eastAsia="Times New Roman" w:hAnsi="Times New Roman" w:cs="Times New Roman"/>
        </w:rPr>
        <w:t xml:space="preserve">number of </w:t>
      </w:r>
      <w:r w:rsidR="002C3680">
        <w:rPr>
          <w:rFonts w:ascii="Times New Roman" w:eastAsia="Times New Roman" w:hAnsi="Times New Roman" w:cs="Times New Roman"/>
        </w:rPr>
        <w:t>customers</w:t>
      </w:r>
      <w:r>
        <w:rPr>
          <w:rFonts w:ascii="Times New Roman" w:eastAsia="Times New Roman" w:hAnsi="Times New Roman" w:cs="Times New Roman"/>
        </w:rPr>
        <w:t xml:space="preserve"> </w:t>
      </w:r>
      <w:r w:rsidR="00BC3872">
        <w:rPr>
          <w:rFonts w:ascii="Times New Roman" w:eastAsia="Times New Roman" w:hAnsi="Times New Roman" w:cs="Times New Roman"/>
        </w:rPr>
        <w:t>that converted to natural gas and received an excess allowance equipment rebate</w:t>
      </w:r>
      <w:r>
        <w:rPr>
          <w:rFonts w:ascii="Times New Roman" w:eastAsia="Times New Roman" w:hAnsi="Times New Roman" w:cs="Times New Roman"/>
        </w:rPr>
        <w:t>:</w:t>
      </w:r>
    </w:p>
    <w:p w14:paraId="638B7B40" w14:textId="77777777" w:rsidR="00A0753C" w:rsidRDefault="00A0753C" w:rsidP="005E7BAC">
      <w:pPr>
        <w:jc w:val="both"/>
        <w:rPr>
          <w:rFonts w:ascii="Times New Roman" w:eastAsia="Times New Roman" w:hAnsi="Times New Roman" w:cs="Times New Roman"/>
        </w:rPr>
      </w:pPr>
    </w:p>
    <w:p w14:paraId="3399C71E" w14:textId="04B3436D" w:rsidR="00A0753C" w:rsidRPr="005E7BAC" w:rsidRDefault="00A0753C" w:rsidP="00AB31F2">
      <w:pPr>
        <w:ind w:firstLine="720"/>
        <w:jc w:val="both"/>
        <w:rPr>
          <w:rFonts w:ascii="Times New Roman" w:hAnsi="Times New Roman"/>
          <w:b/>
          <w:u w:val="single"/>
        </w:rPr>
      </w:pPr>
      <w:r w:rsidRPr="005E7BAC">
        <w:rPr>
          <w:rFonts w:ascii="Times New Roman" w:hAnsi="Times New Roman"/>
          <w:b/>
          <w:u w:val="single"/>
        </w:rPr>
        <w:t xml:space="preserve">Table No. </w:t>
      </w:r>
      <w:r>
        <w:rPr>
          <w:rFonts w:ascii="Times New Roman" w:hAnsi="Times New Roman"/>
          <w:b/>
          <w:u w:val="single"/>
        </w:rPr>
        <w:t>5</w:t>
      </w:r>
    </w:p>
    <w:p w14:paraId="71206428" w14:textId="77777777" w:rsidR="00774400" w:rsidRDefault="00774400" w:rsidP="005E7BAC">
      <w:pPr>
        <w:jc w:val="both"/>
        <w:rPr>
          <w:rFonts w:ascii="Times New Roman" w:eastAsia="Times New Roman" w:hAnsi="Times New Roman" w:cs="Times New Roman"/>
        </w:rPr>
      </w:pPr>
    </w:p>
    <w:p w14:paraId="02397078" w14:textId="432EC017" w:rsidR="00C60849" w:rsidRDefault="002C3680" w:rsidP="002C3680">
      <w:pPr>
        <w:jc w:val="center"/>
        <w:rPr>
          <w:rFonts w:ascii="Times New Roman" w:eastAsia="Times New Roman" w:hAnsi="Times New Roman" w:cs="Times New Roman"/>
        </w:rPr>
      </w:pPr>
      <w:r w:rsidRPr="002C3680">
        <w:rPr>
          <w:noProof/>
        </w:rPr>
        <w:drawing>
          <wp:inline distT="0" distB="0" distL="0" distR="0" wp14:anchorId="644FA372" wp14:editId="7AE01CAD">
            <wp:extent cx="5721531" cy="3467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9085" cy="3508345"/>
                    </a:xfrm>
                    <a:prstGeom prst="rect">
                      <a:avLst/>
                    </a:prstGeom>
                    <a:noFill/>
                    <a:ln>
                      <a:noFill/>
                    </a:ln>
                  </pic:spPr>
                </pic:pic>
              </a:graphicData>
            </a:graphic>
          </wp:inline>
        </w:drawing>
      </w:r>
    </w:p>
    <w:p w14:paraId="3800DFEB" w14:textId="77777777" w:rsidR="008271D1" w:rsidRPr="00B01703" w:rsidRDefault="008271D1" w:rsidP="005E7BAC">
      <w:pPr>
        <w:jc w:val="both"/>
        <w:rPr>
          <w:rFonts w:ascii="Times New Roman" w:eastAsia="Times New Roman" w:hAnsi="Times New Roman" w:cs="Times New Roman"/>
        </w:rPr>
      </w:pPr>
    </w:p>
    <w:p w14:paraId="4AA438F0" w14:textId="33B565C1" w:rsidR="007A6E9E" w:rsidRDefault="007A6E9E" w:rsidP="005E7BAC">
      <w:pPr>
        <w:jc w:val="both"/>
        <w:rPr>
          <w:rFonts w:ascii="Times New Roman" w:eastAsia="Times New Roman" w:hAnsi="Times New Roman" w:cs="Times New Roman"/>
        </w:rPr>
      </w:pPr>
      <w:r>
        <w:rPr>
          <w:rFonts w:ascii="Times New Roman" w:eastAsia="Times New Roman" w:hAnsi="Times New Roman" w:cs="Times New Roman"/>
        </w:rPr>
        <w:t>The Company expects</w:t>
      </w:r>
      <w:r w:rsidR="00B528C1">
        <w:rPr>
          <w:rFonts w:ascii="Times New Roman" w:eastAsia="Times New Roman" w:hAnsi="Times New Roman" w:cs="Times New Roman"/>
        </w:rPr>
        <w:t xml:space="preserve"> the upward trend of conversions that result in customers receiving an excess allowance equipment rebate</w:t>
      </w:r>
      <w:r>
        <w:rPr>
          <w:rFonts w:ascii="Times New Roman" w:eastAsia="Times New Roman" w:hAnsi="Times New Roman" w:cs="Times New Roman"/>
        </w:rPr>
        <w:t xml:space="preserve"> to continue</w:t>
      </w:r>
      <w:r w:rsidR="002C3680">
        <w:rPr>
          <w:rFonts w:ascii="Times New Roman" w:eastAsia="Times New Roman" w:hAnsi="Times New Roman" w:cs="Times New Roman"/>
        </w:rPr>
        <w:t>.</w:t>
      </w:r>
      <w:r>
        <w:rPr>
          <w:rFonts w:ascii="Times New Roman" w:eastAsia="Times New Roman" w:hAnsi="Times New Roman" w:cs="Times New Roman"/>
        </w:rPr>
        <w:t xml:space="preserve"> </w:t>
      </w:r>
      <w:r w:rsidR="002C3680">
        <w:rPr>
          <w:rFonts w:ascii="Times New Roman" w:eastAsia="Times New Roman" w:hAnsi="Times New Roman" w:cs="Times New Roman"/>
        </w:rPr>
        <w:t>T</w:t>
      </w:r>
      <w:r>
        <w:rPr>
          <w:rFonts w:ascii="Times New Roman" w:eastAsia="Times New Roman" w:hAnsi="Times New Roman" w:cs="Times New Roman"/>
        </w:rPr>
        <w:t xml:space="preserve">he program began slowly in the </w:t>
      </w:r>
      <w:r w:rsidR="00486725">
        <w:rPr>
          <w:rFonts w:ascii="Times New Roman" w:eastAsia="Times New Roman" w:hAnsi="Times New Roman" w:cs="Times New Roman"/>
        </w:rPr>
        <w:t>first few months after approval</w:t>
      </w:r>
      <w:r>
        <w:rPr>
          <w:rFonts w:ascii="Times New Roman" w:eastAsia="Times New Roman" w:hAnsi="Times New Roman" w:cs="Times New Roman"/>
        </w:rPr>
        <w:t xml:space="preserve"> as the Company worked through the business processes to implement the program</w:t>
      </w:r>
      <w:r w:rsidR="00486725">
        <w:rPr>
          <w:rFonts w:ascii="Times New Roman" w:eastAsia="Times New Roman" w:hAnsi="Times New Roman" w:cs="Times New Roman"/>
        </w:rPr>
        <w:t>,</w:t>
      </w:r>
      <w:r>
        <w:rPr>
          <w:rFonts w:ascii="Times New Roman" w:eastAsia="Times New Roman" w:hAnsi="Times New Roman" w:cs="Times New Roman"/>
        </w:rPr>
        <w:t xml:space="preserve"> and customers and vendors slowly learn</w:t>
      </w:r>
      <w:r w:rsidR="002C3680">
        <w:rPr>
          <w:rFonts w:ascii="Times New Roman" w:eastAsia="Times New Roman" w:hAnsi="Times New Roman" w:cs="Times New Roman"/>
        </w:rPr>
        <w:t>ed</w:t>
      </w:r>
      <w:r>
        <w:rPr>
          <w:rFonts w:ascii="Times New Roman" w:eastAsia="Times New Roman" w:hAnsi="Times New Roman" w:cs="Times New Roman"/>
        </w:rPr>
        <w:t xml:space="preserve"> about it.  The spike </w:t>
      </w:r>
      <w:r w:rsidR="00B528C1">
        <w:rPr>
          <w:rFonts w:ascii="Times New Roman" w:eastAsia="Times New Roman" w:hAnsi="Times New Roman" w:cs="Times New Roman"/>
        </w:rPr>
        <w:t>shown</w:t>
      </w:r>
      <w:r w:rsidR="004B487C">
        <w:rPr>
          <w:rFonts w:ascii="Times New Roman" w:eastAsia="Times New Roman" w:hAnsi="Times New Roman" w:cs="Times New Roman"/>
        </w:rPr>
        <w:t xml:space="preserve"> </w:t>
      </w:r>
      <w:r>
        <w:rPr>
          <w:rFonts w:ascii="Times New Roman" w:eastAsia="Times New Roman" w:hAnsi="Times New Roman" w:cs="Times New Roman"/>
        </w:rPr>
        <w:t>January 2017 was due to the decrease in the Company’s energy efficiency rebate</w:t>
      </w:r>
      <w:r w:rsidR="00B528C1">
        <w:rPr>
          <w:rFonts w:ascii="Times New Roman" w:eastAsia="Times New Roman" w:hAnsi="Times New Roman" w:cs="Times New Roman"/>
        </w:rPr>
        <w:t>s</w:t>
      </w:r>
      <w:r>
        <w:rPr>
          <w:rFonts w:ascii="Times New Roman" w:eastAsia="Times New Roman" w:hAnsi="Times New Roman" w:cs="Times New Roman"/>
        </w:rPr>
        <w:t xml:space="preserve"> for Avista electric customers converting to natural gas effective February 1</w:t>
      </w:r>
      <w:r w:rsidRPr="007A6E9E">
        <w:rPr>
          <w:rFonts w:ascii="Times New Roman" w:eastAsia="Times New Roman" w:hAnsi="Times New Roman" w:cs="Times New Roman"/>
          <w:vertAlign w:val="superscript"/>
        </w:rPr>
        <w:t>st</w:t>
      </w:r>
      <w:r>
        <w:rPr>
          <w:rFonts w:ascii="Times New Roman" w:eastAsia="Times New Roman" w:hAnsi="Times New Roman" w:cs="Times New Roman"/>
        </w:rPr>
        <w:t>.</w:t>
      </w:r>
      <w:r w:rsidR="00B528C1">
        <w:rPr>
          <w:rFonts w:ascii="Times New Roman" w:eastAsia="Times New Roman" w:hAnsi="Times New Roman" w:cs="Times New Roman"/>
        </w:rPr>
        <w:t xml:space="preserve">  On February 1</w:t>
      </w:r>
      <w:r w:rsidR="00B528C1" w:rsidRPr="00B528C1">
        <w:rPr>
          <w:rFonts w:ascii="Times New Roman" w:eastAsia="Times New Roman" w:hAnsi="Times New Roman" w:cs="Times New Roman"/>
          <w:vertAlign w:val="superscript"/>
        </w:rPr>
        <w:t>st</w:t>
      </w:r>
      <w:r w:rsidR="00B528C1">
        <w:rPr>
          <w:rFonts w:ascii="Times New Roman" w:eastAsia="Times New Roman" w:hAnsi="Times New Roman" w:cs="Times New Roman"/>
        </w:rPr>
        <w:t>, the energy efficiency rebates for customers converting from electric to natural gas furnaces decreased from $2,300 to $1,500, from electric to natural gas water heaters decreased from $900 to $750, and the rebate for converting both appliances together decreased from $3,200 to $2,250.</w:t>
      </w:r>
      <w:r>
        <w:rPr>
          <w:rFonts w:ascii="Times New Roman" w:eastAsia="Times New Roman" w:hAnsi="Times New Roman" w:cs="Times New Roman"/>
        </w:rPr>
        <w:t xml:space="preserve">  As a result </w:t>
      </w:r>
      <w:r w:rsidR="00B528C1">
        <w:rPr>
          <w:rFonts w:ascii="Times New Roman" w:eastAsia="Times New Roman" w:hAnsi="Times New Roman" w:cs="Times New Roman"/>
        </w:rPr>
        <w:t>the</w:t>
      </w:r>
      <w:r>
        <w:rPr>
          <w:rFonts w:ascii="Times New Roman" w:eastAsia="Times New Roman" w:hAnsi="Times New Roman" w:cs="Times New Roman"/>
        </w:rPr>
        <w:t xml:space="preserve"> change</w:t>
      </w:r>
      <w:r w:rsidR="00B528C1">
        <w:rPr>
          <w:rFonts w:ascii="Times New Roman" w:eastAsia="Times New Roman" w:hAnsi="Times New Roman" w:cs="Times New Roman"/>
        </w:rPr>
        <w:t>s</w:t>
      </w:r>
      <w:r>
        <w:rPr>
          <w:rFonts w:ascii="Times New Roman" w:eastAsia="Times New Roman" w:hAnsi="Times New Roman" w:cs="Times New Roman"/>
        </w:rPr>
        <w:t xml:space="preserve"> there were several customers and vendors pushing to get their jobs completed by the end of January.  </w:t>
      </w:r>
    </w:p>
    <w:p w14:paraId="74CB8703" w14:textId="77777777" w:rsidR="008B6150" w:rsidRDefault="008B6150" w:rsidP="005E7BAC">
      <w:pPr>
        <w:jc w:val="both"/>
        <w:rPr>
          <w:rFonts w:ascii="Times New Roman" w:eastAsia="Times New Roman" w:hAnsi="Times New Roman" w:cs="Times New Roman"/>
        </w:rPr>
      </w:pPr>
    </w:p>
    <w:p w14:paraId="3F076172" w14:textId="194ED737" w:rsidR="008B6150" w:rsidRDefault="008B6150" w:rsidP="005E7BAC">
      <w:pPr>
        <w:jc w:val="both"/>
        <w:rPr>
          <w:rFonts w:ascii="Times New Roman" w:eastAsia="Times New Roman" w:hAnsi="Times New Roman" w:cs="Times New Roman"/>
        </w:rPr>
      </w:pPr>
      <w:r>
        <w:rPr>
          <w:rFonts w:ascii="Times New Roman" w:eastAsia="Times New Roman" w:hAnsi="Times New Roman" w:cs="Times New Roman"/>
        </w:rPr>
        <w:t>In addition</w:t>
      </w:r>
      <w:r w:rsidR="009C6944">
        <w:rPr>
          <w:rFonts w:ascii="Times New Roman" w:eastAsia="Times New Roman" w:hAnsi="Times New Roman" w:cs="Times New Roman"/>
        </w:rPr>
        <w:t xml:space="preserve"> to</w:t>
      </w:r>
      <w:r>
        <w:rPr>
          <w:rFonts w:ascii="Times New Roman" w:eastAsia="Times New Roman" w:hAnsi="Times New Roman" w:cs="Times New Roman"/>
        </w:rPr>
        <w:t xml:space="preserve"> the kWh savings from customers converting from electric space and/or water heating to natural gas space and/or water heating, there is an associated environmental benefit.  For each home that converts from electric to natural gas there is an annual reduction </w:t>
      </w:r>
      <w:r w:rsidR="006A0D27">
        <w:rPr>
          <w:rFonts w:ascii="Times New Roman" w:eastAsia="Times New Roman" w:hAnsi="Times New Roman" w:cs="Times New Roman"/>
        </w:rPr>
        <w:t xml:space="preserve">of </w:t>
      </w:r>
      <w:r w:rsidR="00CC0C8B">
        <w:rPr>
          <w:rFonts w:ascii="Times New Roman" w:eastAsia="Times New Roman" w:hAnsi="Times New Roman" w:cs="Times New Roman"/>
        </w:rPr>
        <w:t>over</w:t>
      </w:r>
      <w:r w:rsidR="006A0D27">
        <w:rPr>
          <w:rFonts w:ascii="Times New Roman" w:eastAsia="Times New Roman" w:hAnsi="Times New Roman" w:cs="Times New Roman"/>
        </w:rPr>
        <w:t xml:space="preserve"> 4</w:t>
      </w:r>
      <w:r w:rsidR="00CC0C8B">
        <w:rPr>
          <w:rFonts w:ascii="Times New Roman" w:eastAsia="Times New Roman" w:hAnsi="Times New Roman" w:cs="Times New Roman"/>
        </w:rPr>
        <w:t>0</w:t>
      </w:r>
      <w:r w:rsidR="006A0D27">
        <w:rPr>
          <w:rFonts w:ascii="Times New Roman" w:eastAsia="Times New Roman" w:hAnsi="Times New Roman" w:cs="Times New Roman"/>
        </w:rPr>
        <w:t xml:space="preserve">% </w:t>
      </w:r>
      <w:r w:rsidR="009C6944">
        <w:rPr>
          <w:rFonts w:ascii="Times New Roman" w:eastAsia="Times New Roman" w:hAnsi="Times New Roman" w:cs="Times New Roman"/>
        </w:rPr>
        <w:t xml:space="preserve">of </w:t>
      </w:r>
      <w:r>
        <w:rPr>
          <w:rFonts w:ascii="Times New Roman" w:eastAsia="Times New Roman" w:hAnsi="Times New Roman" w:cs="Times New Roman"/>
        </w:rPr>
        <w:t>CO</w:t>
      </w:r>
      <w:r w:rsidRPr="006A0D27">
        <w:rPr>
          <w:rFonts w:ascii="Times New Roman" w:eastAsia="Times New Roman" w:hAnsi="Times New Roman" w:cs="Times New Roman"/>
          <w:vertAlign w:val="subscript"/>
        </w:rPr>
        <w:t>2</w:t>
      </w:r>
      <w:r w:rsidR="006A0D27">
        <w:rPr>
          <w:rFonts w:ascii="Times New Roman" w:eastAsia="Times New Roman" w:hAnsi="Times New Roman" w:cs="Times New Roman"/>
        </w:rPr>
        <w:t xml:space="preserve"> for every kWh saved</w:t>
      </w:r>
      <w:r>
        <w:rPr>
          <w:rFonts w:ascii="Times New Roman" w:eastAsia="Times New Roman" w:hAnsi="Times New Roman" w:cs="Times New Roman"/>
        </w:rPr>
        <w:t xml:space="preserve">.  </w:t>
      </w:r>
      <w:r w:rsidR="009311D3">
        <w:rPr>
          <w:rFonts w:ascii="Times New Roman" w:eastAsia="Times New Roman" w:hAnsi="Times New Roman" w:cs="Times New Roman"/>
        </w:rPr>
        <w:t xml:space="preserve">On average, customers who convert their space heat from electric to natural gas save 319 kWh per year, water heaters save 161 kWh per year, and for both pieces of equipment together they save 480 kWh per year.  </w:t>
      </w:r>
      <w:r w:rsidR="00CC0C8B">
        <w:rPr>
          <w:rFonts w:ascii="Times New Roman" w:eastAsia="Times New Roman" w:hAnsi="Times New Roman" w:cs="Times New Roman"/>
        </w:rPr>
        <w:t>This results in .02 - .07 metric tons of CO</w:t>
      </w:r>
      <w:r w:rsidR="00CC0C8B" w:rsidRPr="006A0D27">
        <w:rPr>
          <w:rFonts w:ascii="Times New Roman" w:eastAsia="Times New Roman" w:hAnsi="Times New Roman" w:cs="Times New Roman"/>
          <w:vertAlign w:val="subscript"/>
        </w:rPr>
        <w:t>2</w:t>
      </w:r>
      <w:r w:rsidR="00CC0C8B">
        <w:rPr>
          <w:rFonts w:ascii="Times New Roman" w:eastAsia="Times New Roman" w:hAnsi="Times New Roman" w:cs="Times New Roman"/>
          <w:vertAlign w:val="subscript"/>
        </w:rPr>
        <w:t xml:space="preserve"> </w:t>
      </w:r>
      <w:r w:rsidR="00CC0C8B">
        <w:rPr>
          <w:rFonts w:ascii="Times New Roman" w:eastAsia="Times New Roman" w:hAnsi="Times New Roman" w:cs="Times New Roman"/>
        </w:rPr>
        <w:t>saved annually for each home that converts natural gas.</w:t>
      </w:r>
    </w:p>
    <w:p w14:paraId="1929286E" w14:textId="77777777" w:rsidR="007A6E9E" w:rsidRDefault="007A6E9E" w:rsidP="005E7BAC">
      <w:pPr>
        <w:jc w:val="both"/>
        <w:rPr>
          <w:rFonts w:ascii="Times New Roman" w:eastAsia="Times New Roman" w:hAnsi="Times New Roman" w:cs="Times New Roman"/>
        </w:rPr>
      </w:pPr>
    </w:p>
    <w:p w14:paraId="4ACE7C43" w14:textId="557BBDD5" w:rsidR="00F45919" w:rsidRDefault="00FC7268" w:rsidP="005E7BAC">
      <w:pPr>
        <w:jc w:val="both"/>
        <w:rPr>
          <w:rFonts w:ascii="Times New Roman" w:hAnsi="Times New Roman" w:cs="Times New Roman"/>
        </w:rPr>
      </w:pPr>
      <w:r w:rsidRPr="00B01703">
        <w:rPr>
          <w:rFonts w:ascii="Times New Roman" w:eastAsia="Times New Roman" w:hAnsi="Times New Roman" w:cs="Times New Roman"/>
        </w:rPr>
        <w:t>I</w:t>
      </w:r>
      <w:r w:rsidR="00F45919" w:rsidRPr="00B01703">
        <w:rPr>
          <w:rFonts w:ascii="Times New Roman" w:hAnsi="Times New Roman" w:cs="Times New Roman"/>
        </w:rPr>
        <w:t xml:space="preserve">f you have any questions regarding </w:t>
      </w:r>
      <w:r w:rsidR="0065736B">
        <w:rPr>
          <w:rFonts w:ascii="Times New Roman" w:hAnsi="Times New Roman" w:cs="Times New Roman"/>
        </w:rPr>
        <w:t>this report</w:t>
      </w:r>
      <w:r w:rsidR="00F45919" w:rsidRPr="00B01703">
        <w:rPr>
          <w:rFonts w:ascii="Times New Roman" w:hAnsi="Times New Roman" w:cs="Times New Roman"/>
        </w:rPr>
        <w:t xml:space="preserve">, please contact </w:t>
      </w:r>
      <w:r w:rsidR="00F20848" w:rsidRPr="00B01703">
        <w:rPr>
          <w:rFonts w:ascii="Times New Roman" w:hAnsi="Times New Roman" w:cs="Times New Roman"/>
        </w:rPr>
        <w:t xml:space="preserve">me </w:t>
      </w:r>
      <w:r w:rsidR="00D42609" w:rsidRPr="00B01703">
        <w:rPr>
          <w:rFonts w:ascii="Times New Roman" w:hAnsi="Times New Roman" w:cs="Times New Roman"/>
        </w:rPr>
        <w:t>at 509-495-2782</w:t>
      </w:r>
      <w:r w:rsidR="00F20848" w:rsidRPr="00B01703">
        <w:rPr>
          <w:rFonts w:ascii="Times New Roman" w:hAnsi="Times New Roman" w:cs="Times New Roman"/>
        </w:rPr>
        <w:t xml:space="preserve"> or </w:t>
      </w:r>
      <w:hyperlink r:id="rId9" w:history="1">
        <w:r w:rsidR="0065736B" w:rsidRPr="004B5166">
          <w:rPr>
            <w:rStyle w:val="Hyperlink"/>
            <w:rFonts w:ascii="Times New Roman" w:hAnsi="Times New Roman" w:cs="Times New Roman"/>
          </w:rPr>
          <w:t>shawn.bonfield@avistacorpcom</w:t>
        </w:r>
      </w:hyperlink>
      <w:r w:rsidR="0065736B">
        <w:rPr>
          <w:rFonts w:ascii="Times New Roman" w:hAnsi="Times New Roman" w:cs="Times New Roman"/>
        </w:rPr>
        <w:t>.</w:t>
      </w:r>
    </w:p>
    <w:p w14:paraId="6E81E5FC" w14:textId="77777777" w:rsidR="001B29A5" w:rsidRPr="0067498C" w:rsidRDefault="001B29A5" w:rsidP="00F45919">
      <w:pPr>
        <w:pStyle w:val="NoSpacing"/>
        <w:spacing w:line="360" w:lineRule="auto"/>
        <w:ind w:right="-270" w:firstLine="720"/>
        <w:jc w:val="both"/>
        <w:rPr>
          <w:rFonts w:ascii="Times New Roman" w:hAnsi="Times New Roman"/>
          <w:sz w:val="24"/>
          <w:szCs w:val="24"/>
        </w:rPr>
      </w:pPr>
    </w:p>
    <w:p w14:paraId="0860F7FA"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0B15D604" w14:textId="77777777" w:rsidR="00337F64" w:rsidRPr="000D15BF" w:rsidRDefault="00337F64" w:rsidP="00337F64">
      <w:pPr>
        <w:jc w:val="both"/>
        <w:rPr>
          <w:rFonts w:ascii="Times New Roman" w:hAnsi="Times New Roman" w:cs="Times New Roman"/>
        </w:rPr>
      </w:pPr>
    </w:p>
    <w:p w14:paraId="5FC000A9" w14:textId="77777777" w:rsidR="00337F64" w:rsidRPr="00F20848" w:rsidRDefault="00F20848" w:rsidP="00337F64">
      <w:pPr>
        <w:jc w:val="both"/>
        <w:rPr>
          <w:rFonts w:ascii="Brush Script MT" w:hAnsi="Brush Script MT" w:cs="Times New Roman"/>
          <w:noProof/>
          <w:sz w:val="32"/>
        </w:rPr>
      </w:pPr>
      <w:r w:rsidRPr="00F20848">
        <w:rPr>
          <w:rFonts w:ascii="Brush Script MT" w:hAnsi="Brush Script MT" w:cs="Times New Roman"/>
          <w:noProof/>
          <w:sz w:val="32"/>
        </w:rPr>
        <w:t>Shawn Bonfield</w:t>
      </w:r>
    </w:p>
    <w:p w14:paraId="63E64FD9" w14:textId="77777777" w:rsidR="00337F64" w:rsidRPr="000D15BF" w:rsidRDefault="00337F64" w:rsidP="00337F64">
      <w:pPr>
        <w:jc w:val="both"/>
        <w:rPr>
          <w:rFonts w:ascii="Times New Roman" w:hAnsi="Times New Roman" w:cs="Times New Roman"/>
        </w:rPr>
      </w:pPr>
    </w:p>
    <w:p w14:paraId="15922CB9" w14:textId="77777777" w:rsidR="00337F64" w:rsidRPr="000D15BF" w:rsidRDefault="00F20848" w:rsidP="00337F64">
      <w:pPr>
        <w:jc w:val="both"/>
        <w:rPr>
          <w:rFonts w:ascii="Times New Roman" w:hAnsi="Times New Roman" w:cs="Times New Roman"/>
        </w:rPr>
      </w:pPr>
      <w:r>
        <w:rPr>
          <w:rFonts w:ascii="Times New Roman" w:hAnsi="Times New Roman" w:cs="Times New Roman"/>
        </w:rPr>
        <w:t>Sr. Regulatory Policy Analyst</w:t>
      </w:r>
    </w:p>
    <w:p w14:paraId="23CA7679"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sectPr w:rsidR="00337F64" w:rsidRPr="00FF70D0"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5F331" w14:textId="77777777" w:rsidR="00001105" w:rsidRDefault="00001105" w:rsidP="002A1126">
      <w:r>
        <w:separator/>
      </w:r>
    </w:p>
  </w:endnote>
  <w:endnote w:type="continuationSeparator" w:id="0">
    <w:p w14:paraId="508C0587" w14:textId="77777777" w:rsidR="00001105" w:rsidRDefault="00001105"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5AD2" w14:textId="77777777" w:rsidR="00A62CE4" w:rsidRDefault="00584C89"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7</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7</w:t>
        </w:r>
        <w:r w:rsidR="00A62CE4" w:rsidRPr="00F54081">
          <w:rPr>
            <w:rFonts w:ascii="Times New Roman" w:hAnsi="Times New Roman" w:cs="Times New Roman"/>
          </w:rPr>
          <w:fldChar w:fldCharType="end"/>
        </w:r>
      </w:sdtContent>
    </w:sdt>
  </w:p>
  <w:p w14:paraId="4E4F0686" w14:textId="77777777" w:rsidR="00A62CE4" w:rsidRDefault="00A62CE4">
    <w:pPr>
      <w:pStyle w:val="Footer"/>
      <w:pBdr>
        <w:top w:val="single" w:sz="4" w:space="1" w:color="D9D9D9" w:themeColor="background1" w:themeShade="D9"/>
      </w:pBdr>
      <w:jc w:val="right"/>
    </w:pPr>
  </w:p>
  <w:p w14:paraId="48BA3386"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A2CE" w14:textId="77777777" w:rsidR="00001105" w:rsidRDefault="00001105" w:rsidP="002A1126">
      <w:r>
        <w:separator/>
      </w:r>
    </w:p>
  </w:footnote>
  <w:footnote w:type="continuationSeparator" w:id="0">
    <w:p w14:paraId="11B95151" w14:textId="77777777" w:rsidR="00001105" w:rsidRDefault="00001105" w:rsidP="002A1126">
      <w:r>
        <w:continuationSeparator/>
      </w:r>
    </w:p>
  </w:footnote>
  <w:footnote w:id="1">
    <w:p w14:paraId="26A2AEDB" w14:textId="6C6F0773" w:rsidR="00F03519" w:rsidRDefault="00F03519" w:rsidP="00F03519">
      <w:pPr>
        <w:pStyle w:val="FootnoteText"/>
        <w:jc w:val="both"/>
      </w:pPr>
      <w:r>
        <w:rPr>
          <w:rStyle w:val="FootnoteReference"/>
        </w:rPr>
        <w:footnoteRef/>
      </w:r>
      <w:r>
        <w:t xml:space="preserve"> </w:t>
      </w:r>
      <w:r w:rsidRPr="00CD3A61">
        <w:t>The Company experienced a</w:t>
      </w:r>
      <w:r>
        <w:t>n increase</w:t>
      </w:r>
      <w:r w:rsidRPr="00CD3A61">
        <w:t xml:space="preserve"> in conversions in 2014 due</w:t>
      </w:r>
      <w:r>
        <w:t>, in part,</w:t>
      </w:r>
      <w:r w:rsidRPr="00CD3A61">
        <w:t xml:space="preserve"> to the privatization of housing at Fairchild Air Force Base (“FAFB”). As a part of the privatization effort, each residential unit was required by FAFB to be individually metered</w:t>
      </w:r>
      <w:r>
        <w:t xml:space="preserve">.  Prior to 2014, FAFB housing was </w:t>
      </w:r>
      <w:r w:rsidRPr="00CD3A61">
        <w:t>master-metered</w:t>
      </w:r>
      <w:r>
        <w:t xml:space="preserve"> (i.e</w:t>
      </w:r>
      <w:r w:rsidR="00B719CC">
        <w:t xml:space="preserve">., </w:t>
      </w:r>
      <w:r>
        <w:t>a few natural gas meters served hundreds of homes</w:t>
      </w:r>
      <w:r w:rsidRPr="00CD3A61">
        <w:t>.</w:t>
      </w:r>
    </w:p>
  </w:footnote>
  <w:footnote w:id="2">
    <w:p w14:paraId="1C295DEF" w14:textId="77777777" w:rsidR="00F03519" w:rsidRDefault="00F03519" w:rsidP="00F03519">
      <w:pPr>
        <w:pStyle w:val="FootnoteText"/>
      </w:pPr>
      <w:r>
        <w:rPr>
          <w:rStyle w:val="FootnoteReference"/>
        </w:rPr>
        <w:footnoteRef/>
      </w:r>
      <w:r>
        <w:t xml:space="preserve"> New development hookups are not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A9D4"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EBB" w14:textId="77777777" w:rsidR="00A62CE4" w:rsidRDefault="00A62CE4" w:rsidP="003D0502">
    <w:pPr>
      <w:pStyle w:val="Header"/>
      <w:spacing w:after="480"/>
      <w:ind w:left="-1166" w:right="-1166"/>
    </w:pPr>
    <w:r w:rsidRPr="0071027A">
      <w:rPr>
        <w:noProof/>
      </w:rPr>
      <w:drawing>
        <wp:inline distT="0" distB="0" distL="0" distR="0" wp14:anchorId="58A52448" wp14:editId="526DBA8B">
          <wp:extent cx="7397115" cy="1158881"/>
          <wp:effectExtent l="25400" t="0" r="0" b="0"/>
          <wp:docPr id="6" name="Picture 6"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A7F50"/>
    <w:multiLevelType w:val="hybridMultilevel"/>
    <w:tmpl w:val="AA7E2B06"/>
    <w:lvl w:ilvl="0" w:tplc="F0B25F5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2D1995"/>
    <w:multiLevelType w:val="hybridMultilevel"/>
    <w:tmpl w:val="1DE2EAC0"/>
    <w:lvl w:ilvl="0" w:tplc="F76A32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75C77"/>
    <w:multiLevelType w:val="hybridMultilevel"/>
    <w:tmpl w:val="888E34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872EE"/>
    <w:multiLevelType w:val="hybridMultilevel"/>
    <w:tmpl w:val="AE9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2"/>
  </w:num>
  <w:num w:numId="4">
    <w:abstractNumId w:val="17"/>
  </w:num>
  <w:num w:numId="5">
    <w:abstractNumId w:val="5"/>
  </w:num>
  <w:num w:numId="6">
    <w:abstractNumId w:val="21"/>
  </w:num>
  <w:num w:numId="7">
    <w:abstractNumId w:val="18"/>
  </w:num>
  <w:num w:numId="8">
    <w:abstractNumId w:val="26"/>
  </w:num>
  <w:num w:numId="9">
    <w:abstractNumId w:val="25"/>
  </w:num>
  <w:num w:numId="10">
    <w:abstractNumId w:val="24"/>
  </w:num>
  <w:num w:numId="11">
    <w:abstractNumId w:val="19"/>
  </w:num>
  <w:num w:numId="12">
    <w:abstractNumId w:val="7"/>
  </w:num>
  <w:num w:numId="13">
    <w:abstractNumId w:val="3"/>
  </w:num>
  <w:num w:numId="14">
    <w:abstractNumId w:val="0"/>
  </w:num>
  <w:num w:numId="15">
    <w:abstractNumId w:val="2"/>
  </w:num>
  <w:num w:numId="16">
    <w:abstractNumId w:val="14"/>
  </w:num>
  <w:num w:numId="17">
    <w:abstractNumId w:val="8"/>
  </w:num>
  <w:num w:numId="18">
    <w:abstractNumId w:val="15"/>
  </w:num>
  <w:num w:numId="19">
    <w:abstractNumId w:val="9"/>
  </w:num>
  <w:num w:numId="20">
    <w:abstractNumId w:val="6"/>
  </w:num>
  <w:num w:numId="21">
    <w:abstractNumId w:val="4"/>
  </w:num>
  <w:num w:numId="22">
    <w:abstractNumId w:val="16"/>
  </w:num>
  <w:num w:numId="23">
    <w:abstractNumId w:val="13"/>
  </w:num>
  <w:num w:numId="24">
    <w:abstractNumId w:val="10"/>
  </w:num>
  <w:num w:numId="25">
    <w:abstractNumId w:val="11"/>
  </w:num>
  <w:num w:numId="26">
    <w:abstractNumId w:val="20"/>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4D7"/>
    <w:rsid w:val="000248C6"/>
    <w:rsid w:val="00027FB7"/>
    <w:rsid w:val="000369B1"/>
    <w:rsid w:val="00047C30"/>
    <w:rsid w:val="000515D1"/>
    <w:rsid w:val="00070446"/>
    <w:rsid w:val="000749BD"/>
    <w:rsid w:val="00075F09"/>
    <w:rsid w:val="00076944"/>
    <w:rsid w:val="00077661"/>
    <w:rsid w:val="000829EC"/>
    <w:rsid w:val="00096744"/>
    <w:rsid w:val="000A610C"/>
    <w:rsid w:val="000A6C6F"/>
    <w:rsid w:val="000A7D8E"/>
    <w:rsid w:val="000B6281"/>
    <w:rsid w:val="000C0B01"/>
    <w:rsid w:val="000C249F"/>
    <w:rsid w:val="000D34A0"/>
    <w:rsid w:val="000D7C31"/>
    <w:rsid w:val="000F350D"/>
    <w:rsid w:val="000F4873"/>
    <w:rsid w:val="00105BBC"/>
    <w:rsid w:val="001144CF"/>
    <w:rsid w:val="00114E77"/>
    <w:rsid w:val="00121FC9"/>
    <w:rsid w:val="001223C1"/>
    <w:rsid w:val="00122E57"/>
    <w:rsid w:val="001255C2"/>
    <w:rsid w:val="0013094D"/>
    <w:rsid w:val="00137CD3"/>
    <w:rsid w:val="00142E03"/>
    <w:rsid w:val="00161957"/>
    <w:rsid w:val="00165AB5"/>
    <w:rsid w:val="00183969"/>
    <w:rsid w:val="001856CB"/>
    <w:rsid w:val="001866C2"/>
    <w:rsid w:val="001923EC"/>
    <w:rsid w:val="001944EB"/>
    <w:rsid w:val="0019753A"/>
    <w:rsid w:val="001A2417"/>
    <w:rsid w:val="001A456C"/>
    <w:rsid w:val="001A7D8F"/>
    <w:rsid w:val="001B255F"/>
    <w:rsid w:val="001B29A5"/>
    <w:rsid w:val="001B4184"/>
    <w:rsid w:val="001B459E"/>
    <w:rsid w:val="001C3F7D"/>
    <w:rsid w:val="001D273A"/>
    <w:rsid w:val="001D2DB5"/>
    <w:rsid w:val="001D4E89"/>
    <w:rsid w:val="001D5E5E"/>
    <w:rsid w:val="001E2AB9"/>
    <w:rsid w:val="001E72F0"/>
    <w:rsid w:val="001E7D9B"/>
    <w:rsid w:val="001E7F7D"/>
    <w:rsid w:val="001F31B6"/>
    <w:rsid w:val="001F5FCA"/>
    <w:rsid w:val="001F60FF"/>
    <w:rsid w:val="002071FB"/>
    <w:rsid w:val="00207727"/>
    <w:rsid w:val="002142D5"/>
    <w:rsid w:val="0022116D"/>
    <w:rsid w:val="00223779"/>
    <w:rsid w:val="00236924"/>
    <w:rsid w:val="00236DDB"/>
    <w:rsid w:val="0023794F"/>
    <w:rsid w:val="002433D5"/>
    <w:rsid w:val="00247995"/>
    <w:rsid w:val="0026107E"/>
    <w:rsid w:val="002664BF"/>
    <w:rsid w:val="002671D5"/>
    <w:rsid w:val="0027135F"/>
    <w:rsid w:val="00273E68"/>
    <w:rsid w:val="002756FF"/>
    <w:rsid w:val="002800F4"/>
    <w:rsid w:val="00287463"/>
    <w:rsid w:val="00287DF2"/>
    <w:rsid w:val="002A1126"/>
    <w:rsid w:val="002A6494"/>
    <w:rsid w:val="002B7D0E"/>
    <w:rsid w:val="002C2722"/>
    <w:rsid w:val="002C3680"/>
    <w:rsid w:val="002C71B6"/>
    <w:rsid w:val="002D14D8"/>
    <w:rsid w:val="002D74BF"/>
    <w:rsid w:val="002E6643"/>
    <w:rsid w:val="002E6A69"/>
    <w:rsid w:val="002F10C5"/>
    <w:rsid w:val="002F218E"/>
    <w:rsid w:val="002F536E"/>
    <w:rsid w:val="00300C2A"/>
    <w:rsid w:val="00311F63"/>
    <w:rsid w:val="00313771"/>
    <w:rsid w:val="00314215"/>
    <w:rsid w:val="00320BBB"/>
    <w:rsid w:val="00321EEC"/>
    <w:rsid w:val="0032776A"/>
    <w:rsid w:val="00336A40"/>
    <w:rsid w:val="00337F64"/>
    <w:rsid w:val="00344DC2"/>
    <w:rsid w:val="0035206C"/>
    <w:rsid w:val="00355E5A"/>
    <w:rsid w:val="00355FE8"/>
    <w:rsid w:val="00357031"/>
    <w:rsid w:val="00367A25"/>
    <w:rsid w:val="00370922"/>
    <w:rsid w:val="00370CA6"/>
    <w:rsid w:val="00376A2F"/>
    <w:rsid w:val="003B16D1"/>
    <w:rsid w:val="003D0502"/>
    <w:rsid w:val="003D25E1"/>
    <w:rsid w:val="003D2B0E"/>
    <w:rsid w:val="003D3048"/>
    <w:rsid w:val="003D53A1"/>
    <w:rsid w:val="003F3678"/>
    <w:rsid w:val="003F3923"/>
    <w:rsid w:val="003F4623"/>
    <w:rsid w:val="003F7181"/>
    <w:rsid w:val="00404B92"/>
    <w:rsid w:val="00407476"/>
    <w:rsid w:val="00421E87"/>
    <w:rsid w:val="0042216E"/>
    <w:rsid w:val="00426917"/>
    <w:rsid w:val="00430C20"/>
    <w:rsid w:val="00441F4A"/>
    <w:rsid w:val="00443A3B"/>
    <w:rsid w:val="00444D60"/>
    <w:rsid w:val="00455EF8"/>
    <w:rsid w:val="004708AF"/>
    <w:rsid w:val="004712D1"/>
    <w:rsid w:val="004754CD"/>
    <w:rsid w:val="00477F3F"/>
    <w:rsid w:val="00485E4F"/>
    <w:rsid w:val="00486725"/>
    <w:rsid w:val="004913E4"/>
    <w:rsid w:val="00492FFD"/>
    <w:rsid w:val="00497269"/>
    <w:rsid w:val="004A2ECD"/>
    <w:rsid w:val="004A5DE1"/>
    <w:rsid w:val="004A6346"/>
    <w:rsid w:val="004B487C"/>
    <w:rsid w:val="004B5927"/>
    <w:rsid w:val="004B7AAF"/>
    <w:rsid w:val="004C0897"/>
    <w:rsid w:val="004D0542"/>
    <w:rsid w:val="004D1DBE"/>
    <w:rsid w:val="004E29CE"/>
    <w:rsid w:val="004E5D26"/>
    <w:rsid w:val="004F1B02"/>
    <w:rsid w:val="004F4A73"/>
    <w:rsid w:val="004F7450"/>
    <w:rsid w:val="004F7A19"/>
    <w:rsid w:val="005011E0"/>
    <w:rsid w:val="0050634C"/>
    <w:rsid w:val="00507690"/>
    <w:rsid w:val="00510437"/>
    <w:rsid w:val="00520B48"/>
    <w:rsid w:val="00525902"/>
    <w:rsid w:val="0053159B"/>
    <w:rsid w:val="005342EC"/>
    <w:rsid w:val="005343ED"/>
    <w:rsid w:val="00547E25"/>
    <w:rsid w:val="00550538"/>
    <w:rsid w:val="00552886"/>
    <w:rsid w:val="00554831"/>
    <w:rsid w:val="00561E47"/>
    <w:rsid w:val="00566AAE"/>
    <w:rsid w:val="00570699"/>
    <w:rsid w:val="00583095"/>
    <w:rsid w:val="00584C89"/>
    <w:rsid w:val="00592BCB"/>
    <w:rsid w:val="00593876"/>
    <w:rsid w:val="005A2764"/>
    <w:rsid w:val="005A3212"/>
    <w:rsid w:val="005B5CF9"/>
    <w:rsid w:val="005B6C02"/>
    <w:rsid w:val="005C689A"/>
    <w:rsid w:val="005D2CE5"/>
    <w:rsid w:val="005D5D8D"/>
    <w:rsid w:val="005D7985"/>
    <w:rsid w:val="005E44E7"/>
    <w:rsid w:val="005E7898"/>
    <w:rsid w:val="005E7BAC"/>
    <w:rsid w:val="005F39C5"/>
    <w:rsid w:val="005F73A4"/>
    <w:rsid w:val="005F774B"/>
    <w:rsid w:val="00604544"/>
    <w:rsid w:val="00604CE3"/>
    <w:rsid w:val="006071C6"/>
    <w:rsid w:val="006157BD"/>
    <w:rsid w:val="0062299D"/>
    <w:rsid w:val="00630F73"/>
    <w:rsid w:val="00634046"/>
    <w:rsid w:val="00646748"/>
    <w:rsid w:val="00646B6B"/>
    <w:rsid w:val="00651247"/>
    <w:rsid w:val="00651A83"/>
    <w:rsid w:val="0065236B"/>
    <w:rsid w:val="00655435"/>
    <w:rsid w:val="006568DF"/>
    <w:rsid w:val="0065736B"/>
    <w:rsid w:val="00663BBB"/>
    <w:rsid w:val="006651BF"/>
    <w:rsid w:val="006663EA"/>
    <w:rsid w:val="006722CD"/>
    <w:rsid w:val="00672EEE"/>
    <w:rsid w:val="0067498C"/>
    <w:rsid w:val="006761C1"/>
    <w:rsid w:val="00677B8B"/>
    <w:rsid w:val="00693682"/>
    <w:rsid w:val="00694FC3"/>
    <w:rsid w:val="006952D1"/>
    <w:rsid w:val="00695A31"/>
    <w:rsid w:val="00696A33"/>
    <w:rsid w:val="006A0D27"/>
    <w:rsid w:val="006A2183"/>
    <w:rsid w:val="006A4367"/>
    <w:rsid w:val="006A45A6"/>
    <w:rsid w:val="006B353D"/>
    <w:rsid w:val="006C4729"/>
    <w:rsid w:val="006C537E"/>
    <w:rsid w:val="006C6708"/>
    <w:rsid w:val="006C670C"/>
    <w:rsid w:val="006D47D8"/>
    <w:rsid w:val="006D6987"/>
    <w:rsid w:val="006E1080"/>
    <w:rsid w:val="006F7A91"/>
    <w:rsid w:val="00703BA5"/>
    <w:rsid w:val="00705398"/>
    <w:rsid w:val="00706C17"/>
    <w:rsid w:val="00714841"/>
    <w:rsid w:val="00717837"/>
    <w:rsid w:val="007212E1"/>
    <w:rsid w:val="00723985"/>
    <w:rsid w:val="00725F75"/>
    <w:rsid w:val="00726B3F"/>
    <w:rsid w:val="0072705C"/>
    <w:rsid w:val="00730991"/>
    <w:rsid w:val="007316BE"/>
    <w:rsid w:val="00732BD3"/>
    <w:rsid w:val="00734B77"/>
    <w:rsid w:val="00734C2B"/>
    <w:rsid w:val="00742D44"/>
    <w:rsid w:val="0074403E"/>
    <w:rsid w:val="00747B68"/>
    <w:rsid w:val="00756F8D"/>
    <w:rsid w:val="0075745A"/>
    <w:rsid w:val="00767B87"/>
    <w:rsid w:val="00771953"/>
    <w:rsid w:val="00774400"/>
    <w:rsid w:val="00781B75"/>
    <w:rsid w:val="00787496"/>
    <w:rsid w:val="007925C1"/>
    <w:rsid w:val="00797CBA"/>
    <w:rsid w:val="00797D29"/>
    <w:rsid w:val="007A6E9E"/>
    <w:rsid w:val="007B392C"/>
    <w:rsid w:val="007B42CD"/>
    <w:rsid w:val="007B5D52"/>
    <w:rsid w:val="007B73D2"/>
    <w:rsid w:val="007C035B"/>
    <w:rsid w:val="007C6D2C"/>
    <w:rsid w:val="007D0AB9"/>
    <w:rsid w:val="007E3FE5"/>
    <w:rsid w:val="007F2ED7"/>
    <w:rsid w:val="00801F8E"/>
    <w:rsid w:val="00804B8C"/>
    <w:rsid w:val="00804EA2"/>
    <w:rsid w:val="00807809"/>
    <w:rsid w:val="008271D1"/>
    <w:rsid w:val="008301C3"/>
    <w:rsid w:val="008310F5"/>
    <w:rsid w:val="00840B2A"/>
    <w:rsid w:val="0085158D"/>
    <w:rsid w:val="00852DF8"/>
    <w:rsid w:val="0085359E"/>
    <w:rsid w:val="00860818"/>
    <w:rsid w:val="00864A8A"/>
    <w:rsid w:val="00874769"/>
    <w:rsid w:val="00876BB7"/>
    <w:rsid w:val="008858E9"/>
    <w:rsid w:val="008914A2"/>
    <w:rsid w:val="00894A4C"/>
    <w:rsid w:val="008972A4"/>
    <w:rsid w:val="008A44E5"/>
    <w:rsid w:val="008A64EB"/>
    <w:rsid w:val="008A797C"/>
    <w:rsid w:val="008B6150"/>
    <w:rsid w:val="008C0266"/>
    <w:rsid w:val="008C1322"/>
    <w:rsid w:val="008C4B2D"/>
    <w:rsid w:val="008D35B9"/>
    <w:rsid w:val="008F226C"/>
    <w:rsid w:val="008F4868"/>
    <w:rsid w:val="008F6493"/>
    <w:rsid w:val="009035E2"/>
    <w:rsid w:val="0091640E"/>
    <w:rsid w:val="00923DE1"/>
    <w:rsid w:val="009311D3"/>
    <w:rsid w:val="009434FA"/>
    <w:rsid w:val="0095165B"/>
    <w:rsid w:val="00954C28"/>
    <w:rsid w:val="00971839"/>
    <w:rsid w:val="0098158F"/>
    <w:rsid w:val="00995742"/>
    <w:rsid w:val="009A0D5F"/>
    <w:rsid w:val="009A756B"/>
    <w:rsid w:val="009C033C"/>
    <w:rsid w:val="009C2491"/>
    <w:rsid w:val="009C6944"/>
    <w:rsid w:val="009C70E6"/>
    <w:rsid w:val="009F0C95"/>
    <w:rsid w:val="009F637B"/>
    <w:rsid w:val="00A04AC2"/>
    <w:rsid w:val="00A0631B"/>
    <w:rsid w:val="00A0753C"/>
    <w:rsid w:val="00A20A2E"/>
    <w:rsid w:val="00A305E9"/>
    <w:rsid w:val="00A30728"/>
    <w:rsid w:val="00A41F89"/>
    <w:rsid w:val="00A46051"/>
    <w:rsid w:val="00A56024"/>
    <w:rsid w:val="00A576A9"/>
    <w:rsid w:val="00A61203"/>
    <w:rsid w:val="00A618F4"/>
    <w:rsid w:val="00A62CE4"/>
    <w:rsid w:val="00A711C1"/>
    <w:rsid w:val="00A74B62"/>
    <w:rsid w:val="00A75F9C"/>
    <w:rsid w:val="00A87384"/>
    <w:rsid w:val="00A906F9"/>
    <w:rsid w:val="00A96FC3"/>
    <w:rsid w:val="00AA24C6"/>
    <w:rsid w:val="00AB0867"/>
    <w:rsid w:val="00AB31F2"/>
    <w:rsid w:val="00AB54DF"/>
    <w:rsid w:val="00AC2E91"/>
    <w:rsid w:val="00AC6759"/>
    <w:rsid w:val="00AC67CE"/>
    <w:rsid w:val="00AD03B9"/>
    <w:rsid w:val="00AD24DB"/>
    <w:rsid w:val="00AD55FD"/>
    <w:rsid w:val="00AD7A30"/>
    <w:rsid w:val="00AE1633"/>
    <w:rsid w:val="00AE5EB4"/>
    <w:rsid w:val="00AF0093"/>
    <w:rsid w:val="00AF347F"/>
    <w:rsid w:val="00AF3EBB"/>
    <w:rsid w:val="00B01703"/>
    <w:rsid w:val="00B11231"/>
    <w:rsid w:val="00B156C5"/>
    <w:rsid w:val="00B1620E"/>
    <w:rsid w:val="00B219F7"/>
    <w:rsid w:val="00B353BB"/>
    <w:rsid w:val="00B3771B"/>
    <w:rsid w:val="00B42145"/>
    <w:rsid w:val="00B528C1"/>
    <w:rsid w:val="00B55D6C"/>
    <w:rsid w:val="00B616B5"/>
    <w:rsid w:val="00B61A28"/>
    <w:rsid w:val="00B65377"/>
    <w:rsid w:val="00B715E8"/>
    <w:rsid w:val="00B719CC"/>
    <w:rsid w:val="00B872D4"/>
    <w:rsid w:val="00B91DAF"/>
    <w:rsid w:val="00B91E24"/>
    <w:rsid w:val="00B920CC"/>
    <w:rsid w:val="00BA7904"/>
    <w:rsid w:val="00BC3872"/>
    <w:rsid w:val="00BC4B5A"/>
    <w:rsid w:val="00BC5AAA"/>
    <w:rsid w:val="00BD2677"/>
    <w:rsid w:val="00BD762E"/>
    <w:rsid w:val="00BD7C3B"/>
    <w:rsid w:val="00BE0F0F"/>
    <w:rsid w:val="00BE7169"/>
    <w:rsid w:val="00C066D6"/>
    <w:rsid w:val="00C06B49"/>
    <w:rsid w:val="00C13F7D"/>
    <w:rsid w:val="00C150E6"/>
    <w:rsid w:val="00C15D7D"/>
    <w:rsid w:val="00C23D94"/>
    <w:rsid w:val="00C2501A"/>
    <w:rsid w:val="00C46768"/>
    <w:rsid w:val="00C51FB2"/>
    <w:rsid w:val="00C52CD3"/>
    <w:rsid w:val="00C60849"/>
    <w:rsid w:val="00C66688"/>
    <w:rsid w:val="00C84D23"/>
    <w:rsid w:val="00C920D7"/>
    <w:rsid w:val="00CA01B0"/>
    <w:rsid w:val="00CA0BE6"/>
    <w:rsid w:val="00CA3409"/>
    <w:rsid w:val="00CC0C8B"/>
    <w:rsid w:val="00CC2222"/>
    <w:rsid w:val="00CC5138"/>
    <w:rsid w:val="00CC5505"/>
    <w:rsid w:val="00CC7323"/>
    <w:rsid w:val="00CD09F0"/>
    <w:rsid w:val="00CD1EAD"/>
    <w:rsid w:val="00CD3A61"/>
    <w:rsid w:val="00CE0718"/>
    <w:rsid w:val="00CE384B"/>
    <w:rsid w:val="00CE4B5B"/>
    <w:rsid w:val="00CF1FAC"/>
    <w:rsid w:val="00CF262F"/>
    <w:rsid w:val="00CF414B"/>
    <w:rsid w:val="00D057E1"/>
    <w:rsid w:val="00D1293B"/>
    <w:rsid w:val="00D12F3E"/>
    <w:rsid w:val="00D1312E"/>
    <w:rsid w:val="00D1685E"/>
    <w:rsid w:val="00D17CED"/>
    <w:rsid w:val="00D21A6E"/>
    <w:rsid w:val="00D21F05"/>
    <w:rsid w:val="00D22D57"/>
    <w:rsid w:val="00D27283"/>
    <w:rsid w:val="00D31876"/>
    <w:rsid w:val="00D33AC5"/>
    <w:rsid w:val="00D3580E"/>
    <w:rsid w:val="00D3585F"/>
    <w:rsid w:val="00D419CE"/>
    <w:rsid w:val="00D42609"/>
    <w:rsid w:val="00D54BE6"/>
    <w:rsid w:val="00D64EBE"/>
    <w:rsid w:val="00D70AAA"/>
    <w:rsid w:val="00D8397E"/>
    <w:rsid w:val="00D86E50"/>
    <w:rsid w:val="00D8707E"/>
    <w:rsid w:val="00D92984"/>
    <w:rsid w:val="00D92B05"/>
    <w:rsid w:val="00D95B1F"/>
    <w:rsid w:val="00D967E7"/>
    <w:rsid w:val="00D96E8B"/>
    <w:rsid w:val="00DA1C41"/>
    <w:rsid w:val="00DA1E7B"/>
    <w:rsid w:val="00DB4255"/>
    <w:rsid w:val="00DC294F"/>
    <w:rsid w:val="00DD113A"/>
    <w:rsid w:val="00DD6584"/>
    <w:rsid w:val="00DD7835"/>
    <w:rsid w:val="00DD7D43"/>
    <w:rsid w:val="00DE020E"/>
    <w:rsid w:val="00E0217D"/>
    <w:rsid w:val="00E15441"/>
    <w:rsid w:val="00E22827"/>
    <w:rsid w:val="00E25158"/>
    <w:rsid w:val="00E260FE"/>
    <w:rsid w:val="00E313B2"/>
    <w:rsid w:val="00E32E5D"/>
    <w:rsid w:val="00E3352F"/>
    <w:rsid w:val="00E34836"/>
    <w:rsid w:val="00E361CE"/>
    <w:rsid w:val="00E3756F"/>
    <w:rsid w:val="00E4016E"/>
    <w:rsid w:val="00E4484A"/>
    <w:rsid w:val="00E51BCF"/>
    <w:rsid w:val="00E55815"/>
    <w:rsid w:val="00E55A2B"/>
    <w:rsid w:val="00E56E77"/>
    <w:rsid w:val="00E6063E"/>
    <w:rsid w:val="00E63013"/>
    <w:rsid w:val="00E66589"/>
    <w:rsid w:val="00E72C00"/>
    <w:rsid w:val="00E75691"/>
    <w:rsid w:val="00E76057"/>
    <w:rsid w:val="00E83AF0"/>
    <w:rsid w:val="00E83CFB"/>
    <w:rsid w:val="00E86E0F"/>
    <w:rsid w:val="00EA038A"/>
    <w:rsid w:val="00EA2723"/>
    <w:rsid w:val="00EA58F5"/>
    <w:rsid w:val="00EC514D"/>
    <w:rsid w:val="00ED4578"/>
    <w:rsid w:val="00EE6172"/>
    <w:rsid w:val="00EF335F"/>
    <w:rsid w:val="00F009A1"/>
    <w:rsid w:val="00F00B05"/>
    <w:rsid w:val="00F03519"/>
    <w:rsid w:val="00F05D3E"/>
    <w:rsid w:val="00F06262"/>
    <w:rsid w:val="00F12AD4"/>
    <w:rsid w:val="00F15690"/>
    <w:rsid w:val="00F1626C"/>
    <w:rsid w:val="00F204F8"/>
    <w:rsid w:val="00F20848"/>
    <w:rsid w:val="00F23345"/>
    <w:rsid w:val="00F260E8"/>
    <w:rsid w:val="00F3153E"/>
    <w:rsid w:val="00F31804"/>
    <w:rsid w:val="00F32ACB"/>
    <w:rsid w:val="00F3627B"/>
    <w:rsid w:val="00F45919"/>
    <w:rsid w:val="00F47613"/>
    <w:rsid w:val="00F53A7D"/>
    <w:rsid w:val="00F54081"/>
    <w:rsid w:val="00F606FB"/>
    <w:rsid w:val="00F60820"/>
    <w:rsid w:val="00F6459F"/>
    <w:rsid w:val="00F70323"/>
    <w:rsid w:val="00F8014E"/>
    <w:rsid w:val="00F80B03"/>
    <w:rsid w:val="00F86C06"/>
    <w:rsid w:val="00F9145C"/>
    <w:rsid w:val="00F973EF"/>
    <w:rsid w:val="00F978BA"/>
    <w:rsid w:val="00FA02C5"/>
    <w:rsid w:val="00FA15E0"/>
    <w:rsid w:val="00FA2FFF"/>
    <w:rsid w:val="00FB57E5"/>
    <w:rsid w:val="00FB5A32"/>
    <w:rsid w:val="00FC1D02"/>
    <w:rsid w:val="00FC2D89"/>
    <w:rsid w:val="00FC7268"/>
    <w:rsid w:val="00FD18DB"/>
    <w:rsid w:val="00FD44D5"/>
    <w:rsid w:val="00FE0CE5"/>
    <w:rsid w:val="00FE75BB"/>
    <w:rsid w:val="00FF18FE"/>
    <w:rsid w:val="00FF459A"/>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04AE2219"/>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wn.bonfield@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152394</DocketNumber>
    <DelegatedOrder xmlns="dc463f71-b30c-4ab2-9473-d307f9d35888">false</DelegatedOrder>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6EE3A-8D89-4C49-B93D-83DC8626160A}">
  <ds:schemaRefs>
    <ds:schemaRef ds:uri="http://schemas.openxmlformats.org/officeDocument/2006/bibliography"/>
  </ds:schemaRefs>
</ds:datastoreItem>
</file>

<file path=customXml/itemProps2.xml><?xml version="1.0" encoding="utf-8"?>
<ds:datastoreItem xmlns:ds="http://schemas.openxmlformats.org/officeDocument/2006/customXml" ds:itemID="{A87EF7B1-0B6E-40F9-996A-17C7B9776DBE}"/>
</file>

<file path=customXml/itemProps3.xml><?xml version="1.0" encoding="utf-8"?>
<ds:datastoreItem xmlns:ds="http://schemas.openxmlformats.org/officeDocument/2006/customXml" ds:itemID="{83E073CA-AC69-488D-B4DB-F42120D776E4}"/>
</file>

<file path=customXml/itemProps4.xml><?xml version="1.0" encoding="utf-8"?>
<ds:datastoreItem xmlns:ds="http://schemas.openxmlformats.org/officeDocument/2006/customXml" ds:itemID="{CAB962FB-E3EE-4442-93A0-E1F7655B0397}"/>
</file>

<file path=customXml/itemProps5.xml><?xml version="1.0" encoding="utf-8"?>
<ds:datastoreItem xmlns:ds="http://schemas.openxmlformats.org/officeDocument/2006/customXml" ds:itemID="{6A25B2A8-5DB4-427C-B7FC-21FFAC4382C3}"/>
</file>

<file path=docProps/app.xml><?xml version="1.0" encoding="utf-8"?>
<Properties xmlns="http://schemas.openxmlformats.org/officeDocument/2006/extended-properties" xmlns:vt="http://schemas.openxmlformats.org/officeDocument/2006/docPropsVTypes">
  <Template>Normal</Template>
  <TotalTime>754</TotalTime>
  <Pages>7</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108</cp:revision>
  <cp:lastPrinted>2017-03-29T20:07:00Z</cp:lastPrinted>
  <dcterms:created xsi:type="dcterms:W3CDTF">2016-09-06T15:08:00Z</dcterms:created>
  <dcterms:modified xsi:type="dcterms:W3CDTF">2017-03-29T20:07:00Z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y fmtid="{D5CDD505-2E9C-101B-9397-08002B2CF9AE}" pid="4" name="IsEFSEC">
    <vt:bool>false</vt:bool>
  </property>
</Properties>
</file>