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3CA4C" w14:textId="3D98C370" w:rsidR="00476360" w:rsidRPr="00AD7794" w:rsidRDefault="00476360" w:rsidP="00476360">
      <w:pPr>
        <w:rPr>
          <w:rFonts w:ascii="Times New Roman" w:hAnsi="Times New Roman"/>
        </w:rPr>
      </w:pPr>
      <w:r w:rsidRPr="00AD7794">
        <w:rPr>
          <w:rFonts w:ascii="Times New Roman" w:hAnsi="Times New Roman"/>
        </w:rPr>
        <w:t>Agenda Date:</w:t>
      </w:r>
      <w:r w:rsidRPr="00AD7794">
        <w:rPr>
          <w:rFonts w:ascii="Times New Roman" w:hAnsi="Times New Roman"/>
        </w:rPr>
        <w:tab/>
      </w:r>
      <w:r w:rsidRPr="00AD7794">
        <w:rPr>
          <w:rFonts w:ascii="Times New Roman" w:hAnsi="Times New Roman"/>
        </w:rPr>
        <w:tab/>
      </w:r>
      <w:r w:rsidR="006B103F">
        <w:rPr>
          <w:rFonts w:ascii="Times New Roman" w:hAnsi="Times New Roman"/>
        </w:rPr>
        <w:t xml:space="preserve">February </w:t>
      </w:r>
      <w:r w:rsidR="00564A4E">
        <w:rPr>
          <w:rFonts w:ascii="Times New Roman" w:hAnsi="Times New Roman"/>
        </w:rPr>
        <w:t>12</w:t>
      </w:r>
      <w:r>
        <w:rPr>
          <w:rFonts w:ascii="Times New Roman" w:hAnsi="Times New Roman"/>
        </w:rPr>
        <w:t>, 2015</w:t>
      </w:r>
    </w:p>
    <w:p w14:paraId="2D63CA4D" w14:textId="57170DB4" w:rsidR="00476360" w:rsidRPr="00AD7794" w:rsidRDefault="00476360" w:rsidP="00476360">
      <w:pPr>
        <w:ind w:left="2160" w:hanging="2160"/>
        <w:rPr>
          <w:rFonts w:ascii="Times New Roman" w:hAnsi="Times New Roman"/>
        </w:rPr>
      </w:pPr>
      <w:r w:rsidRPr="00AD7794">
        <w:rPr>
          <w:rFonts w:ascii="Times New Roman" w:hAnsi="Times New Roman"/>
        </w:rPr>
        <w:t>Item Number:</w:t>
      </w:r>
      <w:r w:rsidRPr="00AD7794">
        <w:rPr>
          <w:rFonts w:ascii="Times New Roman" w:hAnsi="Times New Roman"/>
        </w:rPr>
        <w:tab/>
      </w:r>
      <w:r>
        <w:rPr>
          <w:rFonts w:ascii="Times New Roman" w:hAnsi="Times New Roman"/>
        </w:rPr>
        <w:t>A</w:t>
      </w:r>
      <w:r w:rsidR="00A33D72">
        <w:rPr>
          <w:rFonts w:ascii="Times New Roman" w:hAnsi="Times New Roman"/>
        </w:rPr>
        <w:t>1</w:t>
      </w:r>
    </w:p>
    <w:p w14:paraId="2D63CA4E" w14:textId="77777777" w:rsidR="00476360" w:rsidRPr="00AD7794" w:rsidRDefault="00476360" w:rsidP="00476360">
      <w:pPr>
        <w:rPr>
          <w:rFonts w:ascii="Times New Roman" w:hAnsi="Times New Roman"/>
          <w:highlight w:val="yellow"/>
        </w:rPr>
      </w:pPr>
    </w:p>
    <w:p w14:paraId="2D63CA4F" w14:textId="77777777" w:rsidR="00476360" w:rsidRPr="00AD7794" w:rsidRDefault="00476360" w:rsidP="00476360">
      <w:pPr>
        <w:rPr>
          <w:rFonts w:ascii="Times New Roman" w:hAnsi="Times New Roman"/>
          <w:b/>
          <w:bCs/>
        </w:rPr>
      </w:pPr>
      <w:r w:rsidRPr="00AD7794">
        <w:rPr>
          <w:rFonts w:ascii="Times New Roman" w:hAnsi="Times New Roman"/>
          <w:b/>
          <w:bCs/>
        </w:rPr>
        <w:t>Docket:</w:t>
      </w:r>
      <w:r w:rsidRPr="00AD7794">
        <w:rPr>
          <w:rFonts w:ascii="Times New Roman" w:hAnsi="Times New Roman"/>
          <w:b/>
          <w:bCs/>
        </w:rPr>
        <w:tab/>
      </w:r>
      <w:r w:rsidRPr="00AD7794">
        <w:rPr>
          <w:rFonts w:ascii="Times New Roman" w:hAnsi="Times New Roman"/>
          <w:b/>
          <w:bCs/>
        </w:rPr>
        <w:tab/>
        <w:t>UE-1</w:t>
      </w:r>
      <w:r>
        <w:rPr>
          <w:rFonts w:ascii="Times New Roman" w:hAnsi="Times New Roman"/>
          <w:b/>
          <w:bCs/>
        </w:rPr>
        <w:t>44160</w:t>
      </w:r>
    </w:p>
    <w:p w14:paraId="2D63CA50" w14:textId="77777777" w:rsidR="00476360" w:rsidRPr="00AD7794" w:rsidRDefault="00476360" w:rsidP="00476360">
      <w:pPr>
        <w:ind w:left="2160" w:hanging="2160"/>
        <w:rPr>
          <w:rFonts w:ascii="Times New Roman" w:hAnsi="Times New Roman"/>
        </w:rPr>
      </w:pPr>
      <w:r w:rsidRPr="00AD7794">
        <w:rPr>
          <w:rFonts w:ascii="Times New Roman" w:hAnsi="Times New Roman"/>
        </w:rPr>
        <w:t>Compan</w:t>
      </w:r>
      <w:r>
        <w:rPr>
          <w:rFonts w:ascii="Times New Roman" w:hAnsi="Times New Roman"/>
        </w:rPr>
        <w:t>y:</w:t>
      </w:r>
      <w:r>
        <w:rPr>
          <w:rFonts w:ascii="Times New Roman" w:hAnsi="Times New Roman"/>
        </w:rPr>
        <w:tab/>
        <w:t>Pacific Power &amp; Light Company</w:t>
      </w:r>
    </w:p>
    <w:p w14:paraId="2D63CA51" w14:textId="77777777" w:rsidR="00476360" w:rsidRPr="00AD7794" w:rsidRDefault="00476360" w:rsidP="00476360">
      <w:pPr>
        <w:rPr>
          <w:rFonts w:ascii="Times New Roman" w:hAnsi="Times New Roman"/>
          <w:highlight w:val="yellow"/>
        </w:rPr>
      </w:pPr>
    </w:p>
    <w:p w14:paraId="2D63CA52" w14:textId="77777777" w:rsidR="00476360" w:rsidRDefault="00476360" w:rsidP="00476360">
      <w:pPr>
        <w:rPr>
          <w:rFonts w:ascii="Times New Roman" w:hAnsi="Times New Roman"/>
        </w:rPr>
      </w:pPr>
      <w:r w:rsidRPr="00AD7794">
        <w:rPr>
          <w:rFonts w:ascii="Times New Roman" w:hAnsi="Times New Roman"/>
        </w:rPr>
        <w:t>Staff:</w:t>
      </w:r>
      <w:r w:rsidRPr="00AD7794">
        <w:rPr>
          <w:rFonts w:ascii="Times New Roman" w:hAnsi="Times New Roman"/>
        </w:rPr>
        <w:tab/>
      </w:r>
      <w:r w:rsidRPr="00AD7794">
        <w:rPr>
          <w:rFonts w:ascii="Times New Roman" w:hAnsi="Times New Roman"/>
        </w:rPr>
        <w:tab/>
      </w:r>
      <w:r w:rsidRPr="00AD7794">
        <w:rPr>
          <w:rFonts w:ascii="Times New Roman" w:hAnsi="Times New Roman"/>
        </w:rPr>
        <w:tab/>
        <w:t>Jeremy Twitchell, Regulatory Analyst</w:t>
      </w:r>
    </w:p>
    <w:p w14:paraId="2D63CA53" w14:textId="77777777" w:rsidR="00564A4E" w:rsidRPr="00AD7794" w:rsidRDefault="00564A4E" w:rsidP="00476360">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Dave Gomez, </w:t>
      </w:r>
      <w:r w:rsidR="00940ED8">
        <w:rPr>
          <w:rFonts w:ascii="Times New Roman" w:hAnsi="Times New Roman"/>
        </w:rPr>
        <w:t>Assistant Power Supply Manager</w:t>
      </w:r>
    </w:p>
    <w:p w14:paraId="2D63CA54" w14:textId="77777777" w:rsidR="00476360" w:rsidRPr="00AD7794" w:rsidRDefault="00476360" w:rsidP="00476360">
      <w:pPr>
        <w:rPr>
          <w:rFonts w:ascii="Times New Roman" w:hAnsi="Times New Roman"/>
        </w:rPr>
      </w:pPr>
    </w:p>
    <w:p w14:paraId="2D63CA55" w14:textId="77777777" w:rsidR="00476360" w:rsidRPr="00AD7794" w:rsidRDefault="00476360" w:rsidP="00476360">
      <w:pPr>
        <w:rPr>
          <w:rFonts w:ascii="Times New Roman" w:hAnsi="Times New Roman"/>
          <w:b/>
          <w:bCs/>
          <w:u w:val="single"/>
        </w:rPr>
      </w:pPr>
      <w:r w:rsidRPr="00AD7794">
        <w:rPr>
          <w:rFonts w:ascii="Times New Roman" w:hAnsi="Times New Roman"/>
          <w:b/>
          <w:bCs/>
          <w:u w:val="single"/>
        </w:rPr>
        <w:t>Recommendation</w:t>
      </w:r>
    </w:p>
    <w:p w14:paraId="2D63CA56" w14:textId="77777777" w:rsidR="00476360" w:rsidRPr="00AD7794" w:rsidRDefault="00476360" w:rsidP="00476360">
      <w:pPr>
        <w:rPr>
          <w:rFonts w:ascii="Times New Roman" w:hAnsi="Times New Roman"/>
        </w:rPr>
      </w:pPr>
    </w:p>
    <w:p w14:paraId="2D63CA58" w14:textId="31A4008B" w:rsidR="00476360" w:rsidRDefault="00324826" w:rsidP="00476360">
      <w:pPr>
        <w:rPr>
          <w:rFonts w:ascii="Times New Roman" w:hAnsi="Times New Roman"/>
        </w:rPr>
      </w:pPr>
      <w:r>
        <w:rPr>
          <w:rFonts w:ascii="Times New Roman" w:hAnsi="Times New Roman"/>
        </w:rPr>
        <w:t>Issue a</w:t>
      </w:r>
      <w:r w:rsidRPr="00324826">
        <w:rPr>
          <w:rFonts w:ascii="Times New Roman" w:hAnsi="Times New Roman"/>
        </w:rPr>
        <w:t xml:space="preserve"> Complaint and Order Suspending the Tariff Revisions filed by </w:t>
      </w:r>
      <w:r>
        <w:rPr>
          <w:rFonts w:ascii="Times New Roman" w:hAnsi="Times New Roman"/>
        </w:rPr>
        <w:t>Pacific Power &amp; Light</w:t>
      </w:r>
      <w:r w:rsidRPr="00324826">
        <w:rPr>
          <w:rFonts w:ascii="Times New Roman" w:hAnsi="Times New Roman"/>
        </w:rPr>
        <w:t xml:space="preserve"> Company on </w:t>
      </w:r>
      <w:r>
        <w:rPr>
          <w:rFonts w:ascii="Times New Roman" w:hAnsi="Times New Roman"/>
        </w:rPr>
        <w:t>December</w:t>
      </w:r>
      <w:r w:rsidRPr="00324826">
        <w:rPr>
          <w:rFonts w:ascii="Times New Roman" w:hAnsi="Times New Roman"/>
        </w:rPr>
        <w:t xml:space="preserve"> </w:t>
      </w:r>
      <w:r>
        <w:rPr>
          <w:rFonts w:ascii="Times New Roman" w:hAnsi="Times New Roman"/>
        </w:rPr>
        <w:t>29</w:t>
      </w:r>
      <w:r w:rsidRPr="00324826">
        <w:rPr>
          <w:rFonts w:ascii="Times New Roman" w:hAnsi="Times New Roman"/>
        </w:rPr>
        <w:t>, 2014</w:t>
      </w:r>
      <w:r>
        <w:rPr>
          <w:rFonts w:ascii="Times New Roman" w:hAnsi="Times New Roman"/>
        </w:rPr>
        <w:t>.</w:t>
      </w:r>
    </w:p>
    <w:p w14:paraId="7BB596BB" w14:textId="77777777" w:rsidR="00324826" w:rsidRPr="00AD7794" w:rsidRDefault="00324826" w:rsidP="00476360">
      <w:pPr>
        <w:rPr>
          <w:rFonts w:ascii="Times New Roman" w:hAnsi="Times New Roman"/>
        </w:rPr>
      </w:pPr>
    </w:p>
    <w:p w14:paraId="2D63CA59" w14:textId="77777777" w:rsidR="00476360" w:rsidRPr="00AD7794" w:rsidRDefault="00476360" w:rsidP="00476360">
      <w:pPr>
        <w:rPr>
          <w:rFonts w:ascii="Times New Roman" w:hAnsi="Times New Roman"/>
          <w:b/>
          <w:u w:val="single"/>
        </w:rPr>
      </w:pPr>
      <w:r>
        <w:rPr>
          <w:rFonts w:ascii="Times New Roman" w:hAnsi="Times New Roman"/>
          <w:b/>
          <w:u w:val="single"/>
        </w:rPr>
        <w:t>Background</w:t>
      </w:r>
    </w:p>
    <w:p w14:paraId="2D63CA5A" w14:textId="77777777" w:rsidR="00476360" w:rsidRPr="00AD7794" w:rsidRDefault="00476360" w:rsidP="00476360">
      <w:pPr>
        <w:rPr>
          <w:rFonts w:ascii="Times New Roman" w:hAnsi="Times New Roman"/>
        </w:rPr>
      </w:pPr>
    </w:p>
    <w:p w14:paraId="2D63CA5B" w14:textId="1E179A3E" w:rsidR="00476360" w:rsidRDefault="00476360" w:rsidP="00476360">
      <w:pPr>
        <w:rPr>
          <w:rFonts w:ascii="Times New Roman" w:hAnsi="Times New Roman"/>
        </w:rPr>
      </w:pPr>
      <w:r>
        <w:rPr>
          <w:rFonts w:ascii="Times New Roman" w:hAnsi="Times New Roman"/>
        </w:rPr>
        <w:t xml:space="preserve">WAC 480-107-055(1) requires </w:t>
      </w:r>
      <w:r w:rsidR="00BF3D63">
        <w:rPr>
          <w:rFonts w:ascii="Times New Roman" w:hAnsi="Times New Roman"/>
        </w:rPr>
        <w:t xml:space="preserve">investor-owned </w:t>
      </w:r>
      <w:r>
        <w:rPr>
          <w:rFonts w:ascii="Times New Roman" w:hAnsi="Times New Roman"/>
        </w:rPr>
        <w:t>utilities to make an annual filing</w:t>
      </w:r>
      <w:r w:rsidR="009237F1">
        <w:rPr>
          <w:rFonts w:ascii="Times New Roman" w:hAnsi="Times New Roman"/>
        </w:rPr>
        <w:t xml:space="preserve"> of their avoided capacity and energy costs.</w:t>
      </w:r>
      <w:r w:rsidR="00AE5CDD">
        <w:rPr>
          <w:rFonts w:ascii="Times New Roman" w:hAnsi="Times New Roman"/>
        </w:rPr>
        <w:t xml:space="preserve"> On December</w:t>
      </w:r>
      <w:r>
        <w:rPr>
          <w:rFonts w:ascii="Times New Roman" w:hAnsi="Times New Roman"/>
        </w:rPr>
        <w:t xml:space="preserve"> 29, 2014, Pacific Power &amp; Light Company (Pacific Power or company) filed tariff sheets </w:t>
      </w:r>
      <w:r w:rsidR="009237F1">
        <w:rPr>
          <w:rFonts w:ascii="Times New Roman" w:hAnsi="Times New Roman"/>
        </w:rPr>
        <w:t xml:space="preserve">with the Washington Utilities and Transportation Commission (commission) to update its avoided cost tariff, </w:t>
      </w:r>
      <w:r w:rsidR="00270F92">
        <w:rPr>
          <w:rFonts w:ascii="Times New Roman" w:hAnsi="Times New Roman"/>
        </w:rPr>
        <w:t>Schedule 37</w:t>
      </w:r>
      <w:r w:rsidR="00AE5CDD">
        <w:rPr>
          <w:rFonts w:ascii="Times New Roman" w:hAnsi="Times New Roman"/>
        </w:rPr>
        <w:t>, with an effective date of January</w:t>
      </w:r>
      <w:r w:rsidR="009237F1">
        <w:rPr>
          <w:rFonts w:ascii="Times New Roman" w:hAnsi="Times New Roman"/>
        </w:rPr>
        <w:t xml:space="preserve"> 29, 2015. At the request of commission staff (staff), the company subsequently ext</w:t>
      </w:r>
      <w:r w:rsidR="00AE5CDD">
        <w:rPr>
          <w:rFonts w:ascii="Times New Roman" w:hAnsi="Times New Roman"/>
        </w:rPr>
        <w:t>ended the effective date to January</w:t>
      </w:r>
      <w:r w:rsidR="009237F1">
        <w:rPr>
          <w:rFonts w:ascii="Times New Roman" w:hAnsi="Times New Roman"/>
        </w:rPr>
        <w:t xml:space="preserve"> 30, 2015, </w:t>
      </w:r>
      <w:r w:rsidR="00AE5CDD">
        <w:rPr>
          <w:rFonts w:ascii="Times New Roman" w:hAnsi="Times New Roman"/>
        </w:rPr>
        <w:t>and then February</w:t>
      </w:r>
      <w:r w:rsidR="00564A4E">
        <w:rPr>
          <w:rFonts w:ascii="Times New Roman" w:hAnsi="Times New Roman"/>
        </w:rPr>
        <w:t xml:space="preserve"> 13, 2015, to allow staff and the company more time to discuss the issues raised by the filing</w:t>
      </w:r>
      <w:r w:rsidR="00BF3D63">
        <w:rPr>
          <w:rFonts w:ascii="Times New Roman" w:hAnsi="Times New Roman"/>
        </w:rPr>
        <w:t>.</w:t>
      </w:r>
      <w:r>
        <w:rPr>
          <w:rFonts w:ascii="Times New Roman" w:hAnsi="Times New Roman"/>
        </w:rPr>
        <w:t xml:space="preserve"> </w:t>
      </w:r>
    </w:p>
    <w:p w14:paraId="2D63CA5C" w14:textId="77777777" w:rsidR="00BF3D63" w:rsidRDefault="00BF3D63" w:rsidP="00476360">
      <w:pPr>
        <w:rPr>
          <w:rFonts w:ascii="Times New Roman" w:hAnsi="Times New Roman"/>
        </w:rPr>
      </w:pPr>
    </w:p>
    <w:p w14:paraId="2D63CA5D" w14:textId="77777777" w:rsidR="00BF3D63" w:rsidRDefault="00270F92" w:rsidP="00476360">
      <w:pPr>
        <w:rPr>
          <w:rFonts w:ascii="Times New Roman" w:hAnsi="Times New Roman"/>
        </w:rPr>
      </w:pPr>
      <w:r>
        <w:rPr>
          <w:rFonts w:ascii="Times New Roman" w:hAnsi="Times New Roman"/>
        </w:rPr>
        <w:t xml:space="preserve">The avoided costs set forth in Schedule 37 are the </w:t>
      </w:r>
      <w:r w:rsidR="00E97025">
        <w:rPr>
          <w:rFonts w:ascii="Times New Roman" w:hAnsi="Times New Roman"/>
        </w:rPr>
        <w:t xml:space="preserve">standard offer </w:t>
      </w:r>
      <w:r>
        <w:rPr>
          <w:rFonts w:ascii="Times New Roman" w:hAnsi="Times New Roman"/>
        </w:rPr>
        <w:t>rates that the company pays to small qualifying facilities</w:t>
      </w:r>
      <w:r w:rsidR="00E97025">
        <w:rPr>
          <w:rFonts w:ascii="Times New Roman" w:hAnsi="Times New Roman"/>
        </w:rPr>
        <w:t xml:space="preserve"> (two megawatts or fewer)</w:t>
      </w:r>
      <w:r>
        <w:rPr>
          <w:rFonts w:ascii="Times New Roman" w:hAnsi="Times New Roman"/>
        </w:rPr>
        <w:t xml:space="preserve"> pursuant to the Public Utilities Regulation and Policy Act (PURPA), which requires utilities to purchase the output of small generation facilities at the utility’s avoided cost – the </w:t>
      </w:r>
      <w:r w:rsidR="00C60672">
        <w:rPr>
          <w:rFonts w:ascii="Times New Roman" w:hAnsi="Times New Roman"/>
        </w:rPr>
        <w:t xml:space="preserve">amount the utility </w:t>
      </w:r>
      <w:r>
        <w:rPr>
          <w:rFonts w:ascii="Times New Roman" w:hAnsi="Times New Roman"/>
        </w:rPr>
        <w:t xml:space="preserve">would have paid to acquire the same amount of capacity and energy from </w:t>
      </w:r>
      <w:r w:rsidR="00CD4AC4">
        <w:rPr>
          <w:rFonts w:ascii="Times New Roman" w:hAnsi="Times New Roman"/>
        </w:rPr>
        <w:t xml:space="preserve">the resource it would have selected </w:t>
      </w:r>
      <w:r w:rsidR="00692695">
        <w:rPr>
          <w:rFonts w:ascii="Times New Roman" w:hAnsi="Times New Roman"/>
        </w:rPr>
        <w:t>in the absence of the qualifying facility</w:t>
      </w:r>
      <w:r>
        <w:rPr>
          <w:rFonts w:ascii="Times New Roman" w:hAnsi="Times New Roman"/>
        </w:rPr>
        <w:t>. WAC 480-107-055(2) states that a utility’s avoided cost should be based on the most recent proposals received pursuant to a request for proposals, cost estimates included in the utility’s current integrated resource plan, the results of the utility’s most recent bidding process, and current projections of market prices for power.</w:t>
      </w:r>
    </w:p>
    <w:p w14:paraId="2D63CA5E" w14:textId="77777777" w:rsidR="00476360" w:rsidRDefault="00476360" w:rsidP="00476360">
      <w:pPr>
        <w:rPr>
          <w:rFonts w:ascii="Times New Roman" w:hAnsi="Times New Roman"/>
        </w:rPr>
      </w:pPr>
    </w:p>
    <w:p w14:paraId="2D63CA5F" w14:textId="77777777" w:rsidR="00476360" w:rsidRPr="00276141" w:rsidRDefault="00476360" w:rsidP="00476360">
      <w:pPr>
        <w:rPr>
          <w:rFonts w:ascii="Times New Roman" w:hAnsi="Times New Roman"/>
          <w:b/>
          <w:u w:val="single"/>
        </w:rPr>
      </w:pPr>
      <w:r>
        <w:rPr>
          <w:rFonts w:ascii="Times New Roman" w:hAnsi="Times New Roman"/>
          <w:b/>
          <w:u w:val="single"/>
        </w:rPr>
        <w:t>Discussion</w:t>
      </w:r>
    </w:p>
    <w:p w14:paraId="2D63CA60" w14:textId="77777777" w:rsidR="00E97025" w:rsidRDefault="00E97025" w:rsidP="00476360">
      <w:pPr>
        <w:rPr>
          <w:rFonts w:ascii="Times New Roman" w:hAnsi="Times New Roman"/>
        </w:rPr>
      </w:pPr>
    </w:p>
    <w:p w14:paraId="2D63CA61" w14:textId="77777777" w:rsidR="00476360" w:rsidRDefault="00AE5BAA" w:rsidP="00476360">
      <w:pPr>
        <w:rPr>
          <w:rFonts w:ascii="Times New Roman" w:hAnsi="Times New Roman"/>
        </w:rPr>
      </w:pPr>
      <w:r>
        <w:rPr>
          <w:rFonts w:ascii="Times New Roman" w:hAnsi="Times New Roman"/>
        </w:rPr>
        <w:t xml:space="preserve">Pacific Power’s filing makes two </w:t>
      </w:r>
      <w:r w:rsidR="00167CFB">
        <w:rPr>
          <w:rFonts w:ascii="Times New Roman" w:hAnsi="Times New Roman"/>
        </w:rPr>
        <w:t>significant</w:t>
      </w:r>
      <w:r>
        <w:rPr>
          <w:rFonts w:ascii="Times New Roman" w:hAnsi="Times New Roman"/>
        </w:rPr>
        <w:t xml:space="preserve"> changes to Schedule 37. The fi</w:t>
      </w:r>
      <w:r w:rsidR="00167CFB">
        <w:rPr>
          <w:rFonts w:ascii="Times New Roman" w:hAnsi="Times New Roman"/>
        </w:rPr>
        <w:t xml:space="preserve">rst is to </w:t>
      </w:r>
      <w:r w:rsidR="00CD4AC4">
        <w:rPr>
          <w:rFonts w:ascii="Times New Roman" w:hAnsi="Times New Roman"/>
        </w:rPr>
        <w:t>change the way the company pays qualifying facilities for their capacity component</w:t>
      </w:r>
      <w:r w:rsidR="00167CFB">
        <w:rPr>
          <w:rFonts w:ascii="Times New Roman" w:hAnsi="Times New Roman"/>
        </w:rPr>
        <w:t xml:space="preserve"> and the second is to impose integration costs on wind and solar </w:t>
      </w:r>
      <w:r w:rsidR="00CD4AC4">
        <w:rPr>
          <w:rFonts w:ascii="Times New Roman" w:hAnsi="Times New Roman"/>
        </w:rPr>
        <w:t xml:space="preserve">qualifying </w:t>
      </w:r>
      <w:r w:rsidR="00167CFB">
        <w:rPr>
          <w:rFonts w:ascii="Times New Roman" w:hAnsi="Times New Roman"/>
        </w:rPr>
        <w:t xml:space="preserve">facilities. </w:t>
      </w:r>
      <w:r w:rsidR="00C70352">
        <w:rPr>
          <w:rFonts w:ascii="Times New Roman" w:hAnsi="Times New Roman"/>
        </w:rPr>
        <w:t>In reviewing this filing, staff also identified inconsistencies among the three investor-owned utilities in how they determine their avoided costs.</w:t>
      </w:r>
    </w:p>
    <w:p w14:paraId="2D63CA62" w14:textId="77777777" w:rsidR="004B6BAD" w:rsidRDefault="004B6BAD" w:rsidP="00476360">
      <w:pPr>
        <w:rPr>
          <w:rFonts w:ascii="Times New Roman" w:hAnsi="Times New Roman"/>
        </w:rPr>
      </w:pPr>
    </w:p>
    <w:p w14:paraId="1996C563" w14:textId="77777777" w:rsidR="00CF679F" w:rsidRDefault="00CF679F" w:rsidP="00476360">
      <w:pPr>
        <w:rPr>
          <w:rFonts w:ascii="Times New Roman" w:hAnsi="Times New Roman"/>
        </w:rPr>
      </w:pPr>
    </w:p>
    <w:p w14:paraId="481F1618" w14:textId="77777777" w:rsidR="00CF679F" w:rsidRDefault="00CF679F" w:rsidP="00476360">
      <w:pPr>
        <w:rPr>
          <w:rFonts w:ascii="Times New Roman" w:hAnsi="Times New Roman"/>
        </w:rPr>
      </w:pPr>
    </w:p>
    <w:p w14:paraId="6B9F7A39" w14:textId="77777777" w:rsidR="00CF679F" w:rsidRDefault="00CF679F" w:rsidP="00476360">
      <w:pPr>
        <w:rPr>
          <w:rFonts w:ascii="Times New Roman" w:hAnsi="Times New Roman"/>
        </w:rPr>
      </w:pPr>
    </w:p>
    <w:p w14:paraId="2D63CA63" w14:textId="77777777" w:rsidR="004B6BAD" w:rsidRPr="004B6BAD" w:rsidRDefault="004B6BAD" w:rsidP="00476360">
      <w:pPr>
        <w:rPr>
          <w:rFonts w:ascii="Times New Roman" w:hAnsi="Times New Roman"/>
          <w:i/>
        </w:rPr>
      </w:pPr>
      <w:r>
        <w:rPr>
          <w:rFonts w:ascii="Times New Roman" w:hAnsi="Times New Roman"/>
          <w:i/>
        </w:rPr>
        <w:lastRenderedPageBreak/>
        <w:t>Capacity Component</w:t>
      </w:r>
    </w:p>
    <w:p w14:paraId="2D63CA64" w14:textId="77777777" w:rsidR="00CD4AC4" w:rsidRDefault="00CD4AC4" w:rsidP="00476360">
      <w:pPr>
        <w:rPr>
          <w:rFonts w:ascii="Times New Roman" w:hAnsi="Times New Roman"/>
        </w:rPr>
      </w:pPr>
    </w:p>
    <w:p w14:paraId="2D63CA65" w14:textId="77777777" w:rsidR="00CD4AC4" w:rsidRDefault="00CD4AC4" w:rsidP="00476360">
      <w:pPr>
        <w:rPr>
          <w:rFonts w:ascii="Times New Roman" w:hAnsi="Times New Roman"/>
        </w:rPr>
      </w:pPr>
      <w:r>
        <w:rPr>
          <w:rFonts w:ascii="Times New Roman" w:hAnsi="Times New Roman"/>
        </w:rPr>
        <w:t>In previous avoided cost tariffs, Pacific Power</w:t>
      </w:r>
      <w:r w:rsidR="0005499D">
        <w:rPr>
          <w:rFonts w:ascii="Times New Roman" w:hAnsi="Times New Roman"/>
        </w:rPr>
        <w:t xml:space="preserve"> offered a two-part rate that paid for capacity and energy separately. The capacity component was based </w:t>
      </w:r>
      <w:r>
        <w:rPr>
          <w:rFonts w:ascii="Times New Roman" w:hAnsi="Times New Roman"/>
        </w:rPr>
        <w:t>on the cost of an equivalent amount of capacity provided by a com</w:t>
      </w:r>
      <w:r w:rsidR="004E2F52">
        <w:rPr>
          <w:rFonts w:ascii="Times New Roman" w:hAnsi="Times New Roman"/>
        </w:rPr>
        <w:t>bined cycle combustion turbine</w:t>
      </w:r>
      <w:r w:rsidR="00C31715">
        <w:rPr>
          <w:rFonts w:ascii="Times New Roman" w:hAnsi="Times New Roman"/>
        </w:rPr>
        <w:t xml:space="preserve"> (CCCT)</w:t>
      </w:r>
      <w:r w:rsidR="004E2F52">
        <w:rPr>
          <w:rFonts w:ascii="Times New Roman" w:hAnsi="Times New Roman"/>
        </w:rPr>
        <w:t xml:space="preserve">. The company offered </w:t>
      </w:r>
      <w:r w:rsidR="0005499D">
        <w:rPr>
          <w:rFonts w:ascii="Times New Roman" w:hAnsi="Times New Roman"/>
        </w:rPr>
        <w:t>capacity</w:t>
      </w:r>
      <w:r w:rsidR="004E2F52">
        <w:rPr>
          <w:rFonts w:ascii="Times New Roman" w:hAnsi="Times New Roman"/>
        </w:rPr>
        <w:t xml:space="preserve"> payments regardless of whether its integrated resource plan (IRP) in effect at the time called for </w:t>
      </w:r>
      <w:r w:rsidR="00C31715">
        <w:rPr>
          <w:rFonts w:ascii="Times New Roman" w:hAnsi="Times New Roman"/>
        </w:rPr>
        <w:t>a CCCT</w:t>
      </w:r>
      <w:r w:rsidR="004E2F52">
        <w:rPr>
          <w:rFonts w:ascii="Times New Roman" w:hAnsi="Times New Roman"/>
        </w:rPr>
        <w:t xml:space="preserve"> within the 10-yea</w:t>
      </w:r>
      <w:r w:rsidR="0005499D">
        <w:rPr>
          <w:rFonts w:ascii="Times New Roman" w:hAnsi="Times New Roman"/>
        </w:rPr>
        <w:t>r period covered by the tariff. F</w:t>
      </w:r>
      <w:r w:rsidR="004E2F52">
        <w:rPr>
          <w:rFonts w:ascii="Times New Roman" w:hAnsi="Times New Roman"/>
        </w:rPr>
        <w:t>or example, the company’s 2013 filing offered capacity payments for the period from 2014-2023 based on a combined cycle combustion turbine, even though the 2013 IRP did not project a need</w:t>
      </w:r>
      <w:r w:rsidR="00C31715">
        <w:rPr>
          <w:rFonts w:ascii="Times New Roman" w:hAnsi="Times New Roman"/>
        </w:rPr>
        <w:t xml:space="preserve"> for a CCCT until 2024.</w:t>
      </w:r>
    </w:p>
    <w:p w14:paraId="2D63CA66" w14:textId="77777777" w:rsidR="000C3388" w:rsidRDefault="000C3388" w:rsidP="00476360">
      <w:pPr>
        <w:rPr>
          <w:rFonts w:ascii="Times New Roman" w:hAnsi="Times New Roman"/>
        </w:rPr>
      </w:pPr>
    </w:p>
    <w:p w14:paraId="2D63CA67" w14:textId="77777777" w:rsidR="00C31715" w:rsidRDefault="00C31715" w:rsidP="00476360">
      <w:pPr>
        <w:rPr>
          <w:rFonts w:ascii="Times New Roman" w:hAnsi="Times New Roman"/>
        </w:rPr>
      </w:pPr>
      <w:r>
        <w:rPr>
          <w:rFonts w:ascii="Times New Roman" w:hAnsi="Times New Roman"/>
        </w:rPr>
        <w:t>In the current filing, Pacific Power proposes to cease paying capacity payments that are based on the cost of a CCCT because the company’s 2013 IRP Update does not project a need for a CCCT until 2027,</w:t>
      </w:r>
      <w:r>
        <w:rPr>
          <w:rStyle w:val="FootnoteReference"/>
          <w:rFonts w:ascii="Times New Roman" w:hAnsi="Times New Roman"/>
        </w:rPr>
        <w:footnoteReference w:id="1"/>
      </w:r>
      <w:r>
        <w:rPr>
          <w:rFonts w:ascii="Times New Roman" w:hAnsi="Times New Roman"/>
        </w:rPr>
        <w:t xml:space="preserve"> and the </w:t>
      </w:r>
      <w:r w:rsidR="0005499D">
        <w:rPr>
          <w:rFonts w:ascii="Times New Roman" w:hAnsi="Times New Roman"/>
        </w:rPr>
        <w:t>tariff</w:t>
      </w:r>
      <w:r>
        <w:rPr>
          <w:rFonts w:ascii="Times New Roman" w:hAnsi="Times New Roman"/>
        </w:rPr>
        <w:t xml:space="preserve"> only covers the period from 2015 to 2024. The 2013 IRP Update projects that the company’s load growth prior to 2027 can be met with energy efficiency, small solar, combined heat and power, and firm energy purchases from market resources</w:t>
      </w:r>
      <w:r w:rsidR="00692695">
        <w:rPr>
          <w:rFonts w:ascii="Times New Roman" w:hAnsi="Times New Roman"/>
        </w:rPr>
        <w:t>, which the company calls front-</w:t>
      </w:r>
      <w:r>
        <w:rPr>
          <w:rFonts w:ascii="Times New Roman" w:hAnsi="Times New Roman"/>
        </w:rPr>
        <w:t>office transactions. Front-office transactions account for the vast majority of the company’s forecasted acquisitions</w:t>
      </w:r>
      <w:r w:rsidR="00275E20">
        <w:rPr>
          <w:rFonts w:ascii="Times New Roman" w:hAnsi="Times New Roman"/>
        </w:rPr>
        <w:t>; in 2016</w:t>
      </w:r>
      <w:r>
        <w:rPr>
          <w:rFonts w:ascii="Times New Roman" w:hAnsi="Times New Roman"/>
        </w:rPr>
        <w:t>, for ex</w:t>
      </w:r>
      <w:r w:rsidR="00275E20">
        <w:rPr>
          <w:rFonts w:ascii="Times New Roman" w:hAnsi="Times New Roman"/>
        </w:rPr>
        <w:t xml:space="preserve">ample, the IRP Update projects that the company will acquire about 700 MW </w:t>
      </w:r>
      <w:r w:rsidR="00692695">
        <w:rPr>
          <w:rFonts w:ascii="Times New Roman" w:hAnsi="Times New Roman"/>
        </w:rPr>
        <w:t>in front-</w:t>
      </w:r>
      <w:r w:rsidR="00275E20">
        <w:rPr>
          <w:rFonts w:ascii="Times New Roman" w:hAnsi="Times New Roman"/>
        </w:rPr>
        <w:t>office transactions and about 110 MW from other resources.</w:t>
      </w:r>
      <w:r w:rsidR="00275E20">
        <w:rPr>
          <w:rStyle w:val="FootnoteReference"/>
          <w:rFonts w:ascii="Times New Roman" w:hAnsi="Times New Roman"/>
        </w:rPr>
        <w:footnoteReference w:id="2"/>
      </w:r>
    </w:p>
    <w:p w14:paraId="2D63CA68" w14:textId="77777777" w:rsidR="00275E20" w:rsidRDefault="00275E20" w:rsidP="00476360">
      <w:pPr>
        <w:rPr>
          <w:rFonts w:ascii="Times New Roman" w:hAnsi="Times New Roman"/>
        </w:rPr>
      </w:pPr>
    </w:p>
    <w:p w14:paraId="2D63CA69" w14:textId="77777777" w:rsidR="00275E20" w:rsidRDefault="00275E20" w:rsidP="00476360">
      <w:pPr>
        <w:rPr>
          <w:rFonts w:ascii="Times New Roman" w:hAnsi="Times New Roman"/>
        </w:rPr>
      </w:pPr>
      <w:r>
        <w:rPr>
          <w:rFonts w:ascii="Times New Roman" w:hAnsi="Times New Roman"/>
        </w:rPr>
        <w:t>Since market transactions are the company’s selected resource and the resource that it most recently acquired through a request for proposals, the company calculated its avoided cost solely based on the projected cost of the front office transactions that it plans to acquire</w:t>
      </w:r>
      <w:r w:rsidR="00692695">
        <w:rPr>
          <w:rFonts w:ascii="Times New Roman" w:hAnsi="Times New Roman"/>
        </w:rPr>
        <w:t xml:space="preserve"> and which would be reduced by the addition of a qualifying facility</w:t>
      </w:r>
      <w:r>
        <w:rPr>
          <w:rFonts w:ascii="Times New Roman" w:hAnsi="Times New Roman"/>
        </w:rPr>
        <w:t>. The company determined these costs in its GRID software program, which forecasts regional market prices. Since front office transactions are for firm energy, the company’s position is that GRID’s projected costs implicitly include a</w:t>
      </w:r>
      <w:r w:rsidR="0005499D">
        <w:rPr>
          <w:rFonts w:ascii="Times New Roman" w:hAnsi="Times New Roman"/>
        </w:rPr>
        <w:t xml:space="preserve"> capacity value, </w:t>
      </w:r>
      <w:r w:rsidR="00692695">
        <w:rPr>
          <w:rFonts w:ascii="Times New Roman" w:hAnsi="Times New Roman"/>
        </w:rPr>
        <w:t>and therefore the avoided cost rates that GRID determined reflect an implicit capacity payment</w:t>
      </w:r>
      <w:r w:rsidR="0005499D">
        <w:rPr>
          <w:rFonts w:ascii="Times New Roman" w:hAnsi="Times New Roman"/>
        </w:rPr>
        <w:t>. The proposed rates would be paid sole</w:t>
      </w:r>
      <w:r w:rsidR="00C60672">
        <w:rPr>
          <w:rFonts w:ascii="Times New Roman" w:hAnsi="Times New Roman"/>
        </w:rPr>
        <w:t xml:space="preserve">ly on an energy basis, with that implicit </w:t>
      </w:r>
      <w:r w:rsidR="0005499D">
        <w:rPr>
          <w:rFonts w:ascii="Times New Roman" w:hAnsi="Times New Roman"/>
        </w:rPr>
        <w:t>capacity</w:t>
      </w:r>
      <w:r w:rsidR="00C60672">
        <w:rPr>
          <w:rFonts w:ascii="Times New Roman" w:hAnsi="Times New Roman"/>
        </w:rPr>
        <w:t xml:space="preserve"> payment </w:t>
      </w:r>
      <w:r w:rsidR="0005499D">
        <w:rPr>
          <w:rFonts w:ascii="Times New Roman" w:hAnsi="Times New Roman"/>
        </w:rPr>
        <w:t>included in each megawatt-hour.</w:t>
      </w:r>
    </w:p>
    <w:p w14:paraId="2D63CA6A" w14:textId="77777777" w:rsidR="0005499D" w:rsidRDefault="0005499D" w:rsidP="00476360">
      <w:pPr>
        <w:rPr>
          <w:rFonts w:ascii="Times New Roman" w:hAnsi="Times New Roman"/>
        </w:rPr>
      </w:pPr>
    </w:p>
    <w:p w14:paraId="2D63CA6B" w14:textId="615B7488" w:rsidR="0005499D" w:rsidRDefault="0005499D" w:rsidP="00476360">
      <w:pPr>
        <w:rPr>
          <w:rFonts w:ascii="Times New Roman" w:hAnsi="Times New Roman"/>
        </w:rPr>
      </w:pPr>
      <w:r>
        <w:rPr>
          <w:rFonts w:ascii="Times New Roman" w:hAnsi="Times New Roman"/>
        </w:rPr>
        <w:t xml:space="preserve">Staff </w:t>
      </w:r>
      <w:r w:rsidR="00C60672">
        <w:rPr>
          <w:rFonts w:ascii="Times New Roman" w:hAnsi="Times New Roman"/>
        </w:rPr>
        <w:t xml:space="preserve">understands the company’s point, but </w:t>
      </w:r>
      <w:r>
        <w:rPr>
          <w:rFonts w:ascii="Times New Roman" w:hAnsi="Times New Roman"/>
        </w:rPr>
        <w:t>does not agre</w:t>
      </w:r>
      <w:r w:rsidR="0042028B">
        <w:rPr>
          <w:rFonts w:ascii="Times New Roman" w:hAnsi="Times New Roman"/>
        </w:rPr>
        <w:t>e that market rates provide an accurate proxy for capacity value. M</w:t>
      </w:r>
      <w:r w:rsidR="00692695">
        <w:rPr>
          <w:rFonts w:ascii="Times New Roman" w:hAnsi="Times New Roman"/>
        </w:rPr>
        <w:t xml:space="preserve">arket rates </w:t>
      </w:r>
      <w:r w:rsidR="003341FD">
        <w:rPr>
          <w:rFonts w:ascii="Times New Roman" w:hAnsi="Times New Roman"/>
        </w:rPr>
        <w:t>reflect</w:t>
      </w:r>
      <w:r w:rsidR="0042028B">
        <w:rPr>
          <w:rFonts w:ascii="Times New Roman" w:hAnsi="Times New Roman"/>
        </w:rPr>
        <w:t xml:space="preserve"> a plant’s marginal cost of production, which by definition does not include the fixed costs associated with the plant’s </w:t>
      </w:r>
      <w:r w:rsidR="00C60672">
        <w:rPr>
          <w:rFonts w:ascii="Times New Roman" w:hAnsi="Times New Roman"/>
        </w:rPr>
        <w:t xml:space="preserve">ability to provide </w:t>
      </w:r>
      <w:r w:rsidR="0042028B">
        <w:rPr>
          <w:rFonts w:ascii="Times New Roman" w:hAnsi="Times New Roman"/>
        </w:rPr>
        <w:t xml:space="preserve">capacity. An avoided cost rate that is based on projected market prices, therefore, would </w:t>
      </w:r>
      <w:r w:rsidR="00242915">
        <w:rPr>
          <w:rFonts w:ascii="Times New Roman" w:hAnsi="Times New Roman"/>
        </w:rPr>
        <w:t xml:space="preserve">only capture the energy component of the avoided cost, and would </w:t>
      </w:r>
      <w:r w:rsidR="0042028B">
        <w:rPr>
          <w:rFonts w:ascii="Times New Roman" w:hAnsi="Times New Roman"/>
        </w:rPr>
        <w:t xml:space="preserve">not </w:t>
      </w:r>
      <w:r w:rsidR="003341FD">
        <w:rPr>
          <w:rFonts w:ascii="Times New Roman" w:hAnsi="Times New Roman"/>
        </w:rPr>
        <w:t xml:space="preserve">include </w:t>
      </w:r>
      <w:r w:rsidR="0042028B">
        <w:rPr>
          <w:rFonts w:ascii="Times New Roman" w:hAnsi="Times New Roman"/>
        </w:rPr>
        <w:t>the value of the capacity that a qualifying facility provides to Pacific Power’s system</w:t>
      </w:r>
      <w:r w:rsidR="00242915">
        <w:rPr>
          <w:rFonts w:ascii="Times New Roman" w:hAnsi="Times New Roman"/>
        </w:rPr>
        <w:t>. This would</w:t>
      </w:r>
      <w:r w:rsidR="0042028B">
        <w:rPr>
          <w:rFonts w:ascii="Times New Roman" w:hAnsi="Times New Roman"/>
        </w:rPr>
        <w:t xml:space="preserve"> result in an understated avoided cost rate that would be discriminatory to qualifying facilities.</w:t>
      </w:r>
      <w:r w:rsidR="004B6BAD">
        <w:rPr>
          <w:rFonts w:ascii="Times New Roman" w:hAnsi="Times New Roman"/>
        </w:rPr>
        <w:t xml:space="preserve"> While PURPA allows for energy and capacity avoided costs to be expressed on an energy (cents per kilowatt-hour) basis, it </w:t>
      </w:r>
      <w:r w:rsidR="004B6BAD">
        <w:rPr>
          <w:rFonts w:ascii="Times New Roman" w:hAnsi="Times New Roman"/>
        </w:rPr>
        <w:lastRenderedPageBreak/>
        <w:t>explicitly requires that they be calculated separately.</w:t>
      </w:r>
      <w:r w:rsidR="004B6BAD">
        <w:rPr>
          <w:rStyle w:val="FootnoteReference"/>
          <w:rFonts w:ascii="Times New Roman" w:hAnsi="Times New Roman"/>
        </w:rPr>
        <w:footnoteReference w:id="3"/>
      </w:r>
      <w:r w:rsidR="004B6BAD">
        <w:rPr>
          <w:rFonts w:ascii="Times New Roman" w:hAnsi="Times New Roman"/>
        </w:rPr>
        <w:t xml:space="preserve"> An avoided cost rate calculated on energy costs and an assumed, implicit capacity cost does not, in staff’s opinion, provide sufficie</w:t>
      </w:r>
      <w:r w:rsidR="00C60672">
        <w:rPr>
          <w:rFonts w:ascii="Times New Roman" w:hAnsi="Times New Roman"/>
        </w:rPr>
        <w:t>nt transparency or accuracy in</w:t>
      </w:r>
      <w:r w:rsidR="004B6BAD">
        <w:rPr>
          <w:rFonts w:ascii="Times New Roman" w:hAnsi="Times New Roman"/>
        </w:rPr>
        <w:t xml:space="preserve"> the capacity component of the avoided cost.</w:t>
      </w:r>
    </w:p>
    <w:p w14:paraId="2D63CA6C" w14:textId="77777777" w:rsidR="00692695" w:rsidRDefault="00692695" w:rsidP="00476360">
      <w:pPr>
        <w:rPr>
          <w:rFonts w:ascii="Times New Roman" w:hAnsi="Times New Roman"/>
        </w:rPr>
      </w:pPr>
    </w:p>
    <w:p w14:paraId="2D63CA6E" w14:textId="5DF59B4B" w:rsidR="00247C48" w:rsidRDefault="00692695" w:rsidP="00476360">
      <w:pPr>
        <w:rPr>
          <w:rFonts w:ascii="Times New Roman" w:hAnsi="Times New Roman"/>
        </w:rPr>
      </w:pPr>
      <w:r>
        <w:rPr>
          <w:rFonts w:ascii="Times New Roman" w:hAnsi="Times New Roman"/>
        </w:rPr>
        <w:t xml:space="preserve">This is consistent with </w:t>
      </w:r>
      <w:r w:rsidR="00EF0FB0">
        <w:rPr>
          <w:rFonts w:ascii="Times New Roman" w:hAnsi="Times New Roman"/>
        </w:rPr>
        <w:t>the commission’s proposed rule</w:t>
      </w:r>
      <w:r>
        <w:rPr>
          <w:rFonts w:ascii="Times New Roman" w:hAnsi="Times New Roman"/>
        </w:rPr>
        <w:t xml:space="preserve"> in the Energy Independence Act </w:t>
      </w:r>
      <w:r w:rsidR="00EF0FB0">
        <w:rPr>
          <w:rFonts w:ascii="Times New Roman" w:hAnsi="Times New Roman"/>
        </w:rPr>
        <w:t xml:space="preserve">rulemaking </w:t>
      </w:r>
      <w:r>
        <w:rPr>
          <w:rFonts w:ascii="Times New Roman" w:hAnsi="Times New Roman"/>
        </w:rPr>
        <w:t xml:space="preserve">(UE-131723). </w:t>
      </w:r>
      <w:r w:rsidR="00EF0FB0">
        <w:rPr>
          <w:rFonts w:ascii="Times New Roman" w:hAnsi="Times New Roman"/>
        </w:rPr>
        <w:t>S</w:t>
      </w:r>
      <w:r w:rsidR="00C60672">
        <w:rPr>
          <w:rFonts w:ascii="Times New Roman" w:hAnsi="Times New Roman"/>
        </w:rPr>
        <w:t>taff has</w:t>
      </w:r>
      <w:r w:rsidR="00EF0FB0">
        <w:rPr>
          <w:rFonts w:ascii="Times New Roman" w:hAnsi="Times New Roman"/>
        </w:rPr>
        <w:t xml:space="preserve"> previously argued that the utilities’ practice of using market energy prices as the baseline against which they calculated the incremental cost of their renewable resources failed to account for the capacity value of the </w:t>
      </w:r>
      <w:r w:rsidR="006B103F">
        <w:rPr>
          <w:rFonts w:ascii="Times New Roman" w:hAnsi="Times New Roman"/>
        </w:rPr>
        <w:t xml:space="preserve">renewable </w:t>
      </w:r>
      <w:r w:rsidR="00EF0FB0">
        <w:rPr>
          <w:rFonts w:ascii="Times New Roman" w:hAnsi="Times New Roman"/>
        </w:rPr>
        <w:t xml:space="preserve">resource, which </w:t>
      </w:r>
      <w:r w:rsidR="008460D0">
        <w:rPr>
          <w:rFonts w:ascii="Times New Roman" w:hAnsi="Times New Roman"/>
        </w:rPr>
        <w:t>resulted in incomplete calculations.</w:t>
      </w:r>
      <w:r w:rsidR="00C60672">
        <w:rPr>
          <w:rStyle w:val="FootnoteReference"/>
          <w:rFonts w:ascii="Times New Roman" w:hAnsi="Times New Roman"/>
        </w:rPr>
        <w:footnoteReference w:id="4"/>
      </w:r>
      <w:r w:rsidR="008460D0">
        <w:rPr>
          <w:rFonts w:ascii="Times New Roman" w:hAnsi="Times New Roman"/>
        </w:rPr>
        <w:t xml:space="preserve"> </w:t>
      </w:r>
      <w:r w:rsidR="00EF0FB0">
        <w:rPr>
          <w:rFonts w:ascii="Times New Roman" w:hAnsi="Times New Roman"/>
        </w:rPr>
        <w:t>The commission’s proposed rule addressed this concern by instituting a uniform methodology fo</w:t>
      </w:r>
      <w:r w:rsidR="008460D0">
        <w:rPr>
          <w:rFonts w:ascii="Times New Roman" w:hAnsi="Times New Roman"/>
        </w:rPr>
        <w:t>r incremental cost calculations that,</w:t>
      </w:r>
      <w:r w:rsidR="00EF0FB0">
        <w:rPr>
          <w:rFonts w:ascii="Times New Roman" w:hAnsi="Times New Roman"/>
        </w:rPr>
        <w:t xml:space="preserve"> if adopted, would require utilities to </w:t>
      </w:r>
      <w:r w:rsidR="00C60672">
        <w:rPr>
          <w:rFonts w:ascii="Times New Roman" w:hAnsi="Times New Roman"/>
        </w:rPr>
        <w:t>calculate</w:t>
      </w:r>
      <w:r w:rsidR="00EF0FB0">
        <w:rPr>
          <w:rFonts w:ascii="Times New Roman" w:hAnsi="Times New Roman"/>
        </w:rPr>
        <w:t xml:space="preserve"> energy and capacity costs separately and include them in the total. Staff believes that the incremental cost calculation, which asks a utility to compare the </w:t>
      </w:r>
      <w:r w:rsidR="008E34E6">
        <w:rPr>
          <w:rFonts w:ascii="Times New Roman" w:hAnsi="Times New Roman"/>
        </w:rPr>
        <w:t>renewable resource purchase</w:t>
      </w:r>
      <w:r w:rsidR="00EF0FB0">
        <w:rPr>
          <w:rFonts w:ascii="Times New Roman" w:hAnsi="Times New Roman"/>
        </w:rPr>
        <w:t xml:space="preserve"> to what it would have otherwise acquired, is fundamentally the same as the avoided cost calculation, which asks a utility to compare </w:t>
      </w:r>
      <w:r w:rsidR="008E34E6">
        <w:rPr>
          <w:rFonts w:ascii="Times New Roman" w:hAnsi="Times New Roman"/>
        </w:rPr>
        <w:t xml:space="preserve">the qualified facility purchase to what it would have otherwise acquired. </w:t>
      </w:r>
      <w:r w:rsidR="002B3B9D">
        <w:rPr>
          <w:rFonts w:ascii="Times New Roman" w:hAnsi="Times New Roman"/>
        </w:rPr>
        <w:t>The logic applied in the proposed rule grew out of the commission’s avoided cost rule, whi</w:t>
      </w:r>
      <w:r w:rsidR="007F707E">
        <w:rPr>
          <w:rFonts w:ascii="Times New Roman" w:hAnsi="Times New Roman"/>
        </w:rPr>
        <w:t>ch individually</w:t>
      </w:r>
      <w:r w:rsidR="002B3B9D">
        <w:rPr>
          <w:rFonts w:ascii="Times New Roman" w:hAnsi="Times New Roman"/>
        </w:rPr>
        <w:t xml:space="preserve"> identifies energy and capacity as </w:t>
      </w:r>
      <w:r w:rsidR="007F707E">
        <w:rPr>
          <w:rFonts w:ascii="Times New Roman" w:hAnsi="Times New Roman"/>
        </w:rPr>
        <w:t>necessary components of the avoided cost.</w:t>
      </w:r>
      <w:r w:rsidR="007F707E">
        <w:rPr>
          <w:rStyle w:val="FootnoteReference"/>
          <w:rFonts w:ascii="Times New Roman" w:hAnsi="Times New Roman"/>
        </w:rPr>
        <w:footnoteReference w:id="5"/>
      </w:r>
      <w:r w:rsidR="002B3B9D">
        <w:rPr>
          <w:rFonts w:ascii="Times New Roman" w:hAnsi="Times New Roman"/>
        </w:rPr>
        <w:t xml:space="preserve"> </w:t>
      </w:r>
    </w:p>
    <w:p w14:paraId="45856F05" w14:textId="77777777" w:rsidR="00242915" w:rsidRDefault="00242915" w:rsidP="00476360">
      <w:pPr>
        <w:rPr>
          <w:rFonts w:ascii="Times New Roman" w:hAnsi="Times New Roman"/>
          <w:i/>
        </w:rPr>
      </w:pPr>
    </w:p>
    <w:p w14:paraId="2D63CA6F" w14:textId="77777777" w:rsidR="00247C48" w:rsidRPr="00247C48" w:rsidRDefault="00247C48" w:rsidP="00476360">
      <w:pPr>
        <w:rPr>
          <w:rFonts w:ascii="Times New Roman" w:hAnsi="Times New Roman"/>
          <w:i/>
        </w:rPr>
      </w:pPr>
      <w:r>
        <w:rPr>
          <w:rFonts w:ascii="Times New Roman" w:hAnsi="Times New Roman"/>
          <w:i/>
        </w:rPr>
        <w:t>Integration charge</w:t>
      </w:r>
    </w:p>
    <w:p w14:paraId="2D63CA70" w14:textId="77777777" w:rsidR="004B6BAD" w:rsidRDefault="004B6BAD" w:rsidP="00476360">
      <w:pPr>
        <w:rPr>
          <w:rFonts w:ascii="Times New Roman" w:hAnsi="Times New Roman"/>
        </w:rPr>
      </w:pPr>
    </w:p>
    <w:p w14:paraId="2D63CA71" w14:textId="3A9F3CE1" w:rsidR="00DF4629" w:rsidRDefault="00B35255" w:rsidP="00F41FB5">
      <w:pPr>
        <w:rPr>
          <w:rFonts w:ascii="Times New Roman" w:hAnsi="Times New Roman"/>
        </w:rPr>
      </w:pPr>
      <w:r>
        <w:rPr>
          <w:rFonts w:ascii="Times New Roman" w:hAnsi="Times New Roman"/>
        </w:rPr>
        <w:t xml:space="preserve">The company’s filing also would, for the first time, reduce the payment </w:t>
      </w:r>
      <w:r w:rsidR="00AF19BA">
        <w:rPr>
          <w:rFonts w:ascii="Times New Roman" w:hAnsi="Times New Roman"/>
        </w:rPr>
        <w:t xml:space="preserve">that it makes to wind and solar qualifying facilities based on the </w:t>
      </w:r>
      <w:r w:rsidR="00E47902">
        <w:rPr>
          <w:rFonts w:ascii="Times New Roman" w:hAnsi="Times New Roman"/>
        </w:rPr>
        <w:t xml:space="preserve">company’s modeling of the </w:t>
      </w:r>
      <w:r w:rsidR="00AF19BA">
        <w:rPr>
          <w:rFonts w:ascii="Times New Roman" w:hAnsi="Times New Roman"/>
        </w:rPr>
        <w:t xml:space="preserve">costs that </w:t>
      </w:r>
      <w:r w:rsidR="00E47902">
        <w:rPr>
          <w:rFonts w:ascii="Times New Roman" w:hAnsi="Times New Roman"/>
        </w:rPr>
        <w:t xml:space="preserve">it </w:t>
      </w:r>
      <w:r w:rsidR="00AF19BA">
        <w:rPr>
          <w:rFonts w:ascii="Times New Roman" w:hAnsi="Times New Roman"/>
        </w:rPr>
        <w:t xml:space="preserve">incurs to integrate </w:t>
      </w:r>
      <w:r w:rsidR="00757D86">
        <w:rPr>
          <w:rFonts w:ascii="Times New Roman" w:hAnsi="Times New Roman"/>
        </w:rPr>
        <w:t xml:space="preserve">wind </w:t>
      </w:r>
      <w:r w:rsidR="00AF19BA">
        <w:rPr>
          <w:rFonts w:ascii="Times New Roman" w:hAnsi="Times New Roman"/>
        </w:rPr>
        <w:t>resources into its system. The company propose</w:t>
      </w:r>
      <w:r w:rsidR="007F707E">
        <w:rPr>
          <w:rFonts w:ascii="Times New Roman" w:hAnsi="Times New Roman"/>
        </w:rPr>
        <w:t>s</w:t>
      </w:r>
      <w:r w:rsidR="00AF19BA">
        <w:rPr>
          <w:rFonts w:ascii="Times New Roman" w:hAnsi="Times New Roman"/>
        </w:rPr>
        <w:t xml:space="preserve"> to reduce the payment that it makes to wind facilities by $3.06 per megawatt-hour (MWh) and the payment to solar facilities by $0.77 per MWh. These amounts are based on the company’s 2014 Wind Integration Study. </w:t>
      </w:r>
    </w:p>
    <w:p w14:paraId="2D63CA72" w14:textId="77777777" w:rsidR="005B3AAE" w:rsidRDefault="005B3AAE" w:rsidP="00F41FB5">
      <w:pPr>
        <w:rPr>
          <w:rFonts w:ascii="Times New Roman" w:hAnsi="Times New Roman"/>
        </w:rPr>
      </w:pPr>
    </w:p>
    <w:p w14:paraId="2D63CA73" w14:textId="7460B61F" w:rsidR="005E6FBB" w:rsidRDefault="00C60672" w:rsidP="00F41FB5">
      <w:pPr>
        <w:rPr>
          <w:rFonts w:ascii="Times New Roman" w:hAnsi="Times New Roman"/>
        </w:rPr>
      </w:pPr>
      <w:r>
        <w:rPr>
          <w:rFonts w:ascii="Times New Roman" w:hAnsi="Times New Roman"/>
        </w:rPr>
        <w:t>Staff</w:t>
      </w:r>
      <w:r w:rsidR="008460D0">
        <w:rPr>
          <w:rFonts w:ascii="Times New Roman" w:hAnsi="Times New Roman"/>
        </w:rPr>
        <w:t xml:space="preserve"> questions whether a study that evaluated the cost of integrating hundreds of megawatts of wind across the company’s six-state service territory can reasonably be applied to a two-megawatt facility. </w:t>
      </w:r>
      <w:r w:rsidR="005E6FBB">
        <w:rPr>
          <w:rFonts w:ascii="Times New Roman" w:hAnsi="Times New Roman"/>
        </w:rPr>
        <w:t xml:space="preserve">Staff is not convinced that a facility of two megawatts or fewer would have a noticeable impact on the company’s costs. </w:t>
      </w:r>
      <w:r w:rsidR="00E47902">
        <w:rPr>
          <w:rFonts w:ascii="Times New Roman" w:hAnsi="Times New Roman"/>
        </w:rPr>
        <w:t>Staff also notes that the</w:t>
      </w:r>
      <w:r w:rsidR="007F707E">
        <w:rPr>
          <w:rFonts w:ascii="Times New Roman" w:hAnsi="Times New Roman"/>
        </w:rPr>
        <w:t xml:space="preserve"> Wind Integration Study did not actually model the costs of solar integration on the company’s system, but rather discounted the wind integration cost by 75</w:t>
      </w:r>
      <w:r w:rsidR="00757D86">
        <w:rPr>
          <w:rFonts w:ascii="Times New Roman" w:hAnsi="Times New Roman"/>
        </w:rPr>
        <w:t xml:space="preserve"> percent</w:t>
      </w:r>
      <w:r w:rsidR="007F707E">
        <w:rPr>
          <w:rFonts w:ascii="Times New Roman" w:hAnsi="Times New Roman"/>
        </w:rPr>
        <w:t xml:space="preserve"> based on industry practice.</w:t>
      </w:r>
      <w:r w:rsidR="007F707E">
        <w:rPr>
          <w:rStyle w:val="FootnoteReference"/>
          <w:rFonts w:ascii="Times New Roman" w:hAnsi="Times New Roman"/>
        </w:rPr>
        <w:footnoteReference w:id="6"/>
      </w:r>
      <w:r w:rsidR="007F707E">
        <w:rPr>
          <w:rFonts w:ascii="Times New Roman" w:hAnsi="Times New Roman"/>
        </w:rPr>
        <w:t xml:space="preserve"> Staff does not believe that this is a rigorous enough approach to support a reduced payment for solar qualifying facilities.</w:t>
      </w:r>
    </w:p>
    <w:p w14:paraId="2D63CA74" w14:textId="77777777" w:rsidR="005E6FBB" w:rsidRDefault="005E6FBB" w:rsidP="00F41FB5">
      <w:pPr>
        <w:rPr>
          <w:rFonts w:ascii="Times New Roman" w:hAnsi="Times New Roman"/>
        </w:rPr>
      </w:pPr>
    </w:p>
    <w:p w14:paraId="6020BEF0" w14:textId="77777777" w:rsidR="00CF679F" w:rsidRDefault="00CF679F" w:rsidP="00F41FB5">
      <w:pPr>
        <w:rPr>
          <w:rFonts w:ascii="Times New Roman" w:hAnsi="Times New Roman"/>
        </w:rPr>
      </w:pPr>
      <w:bookmarkStart w:id="0" w:name="_GoBack"/>
      <w:bookmarkEnd w:id="0"/>
    </w:p>
    <w:p w14:paraId="2D63CA75" w14:textId="77777777" w:rsidR="005E6FBB" w:rsidRDefault="005E6FBB" w:rsidP="00F41FB5">
      <w:pPr>
        <w:rPr>
          <w:rFonts w:ascii="Times New Roman" w:hAnsi="Times New Roman"/>
        </w:rPr>
      </w:pPr>
      <w:r>
        <w:rPr>
          <w:rFonts w:ascii="Times New Roman" w:hAnsi="Times New Roman"/>
        </w:rPr>
        <w:lastRenderedPageBreak/>
        <w:t xml:space="preserve">Furthermore, given that Washington employs the West Control Area methodology for allocating costs, and that the company’s avoided costs are calculated on that basis, it may be problematic to accept the conclusions of a wind integration study that included the company’s six-state territory. Staff believes that integration costs on the west side of the system, where hydropower is generally the flexible resource that is used for variable resource integration, may be less expensive than integration costs on the east side of the system, which generally uses natural gas and coal facilities for integration. </w:t>
      </w:r>
    </w:p>
    <w:p w14:paraId="2D63CA76" w14:textId="77777777" w:rsidR="005E6FBB" w:rsidRDefault="005E6FBB" w:rsidP="00F41FB5">
      <w:pPr>
        <w:rPr>
          <w:rFonts w:ascii="Times New Roman" w:hAnsi="Times New Roman"/>
        </w:rPr>
      </w:pPr>
    </w:p>
    <w:p w14:paraId="2D63CA77" w14:textId="696611CD" w:rsidR="00AF19BA" w:rsidRDefault="007F707E" w:rsidP="00F41FB5">
      <w:pPr>
        <w:rPr>
          <w:rFonts w:ascii="Times New Roman" w:hAnsi="Times New Roman"/>
        </w:rPr>
      </w:pPr>
      <w:r>
        <w:rPr>
          <w:rFonts w:ascii="Times New Roman" w:hAnsi="Times New Roman"/>
        </w:rPr>
        <w:t>T</w:t>
      </w:r>
      <w:r w:rsidR="005E6FBB">
        <w:rPr>
          <w:rFonts w:ascii="Times New Roman" w:hAnsi="Times New Roman"/>
        </w:rPr>
        <w:t>he Wind Integration Study</w:t>
      </w:r>
      <w:r>
        <w:rPr>
          <w:rFonts w:ascii="Times New Roman" w:hAnsi="Times New Roman"/>
        </w:rPr>
        <w:t xml:space="preserve"> </w:t>
      </w:r>
      <w:r w:rsidR="00242915">
        <w:rPr>
          <w:rFonts w:ascii="Times New Roman" w:hAnsi="Times New Roman"/>
        </w:rPr>
        <w:t>was conducted</w:t>
      </w:r>
      <w:r>
        <w:rPr>
          <w:rFonts w:ascii="Times New Roman" w:hAnsi="Times New Roman"/>
        </w:rPr>
        <w:t xml:space="preserve"> to inform the company’s assumptions in the planning process, and while it has proven a useful tool for that purpose, staff does not believe that it has enough granularity to justify the establishment of rates for small qualifying facilities.</w:t>
      </w:r>
      <w:r w:rsidR="005E6FBB">
        <w:rPr>
          <w:rFonts w:ascii="Times New Roman" w:hAnsi="Times New Roman"/>
        </w:rPr>
        <w:t xml:space="preserve"> </w:t>
      </w:r>
    </w:p>
    <w:p w14:paraId="2D63CA78" w14:textId="77777777" w:rsidR="005E6FBB" w:rsidRDefault="005E6FBB" w:rsidP="00F41FB5">
      <w:pPr>
        <w:rPr>
          <w:rFonts w:ascii="Times New Roman" w:hAnsi="Times New Roman"/>
        </w:rPr>
      </w:pPr>
    </w:p>
    <w:p w14:paraId="2D63CA79" w14:textId="77777777" w:rsidR="00C60672" w:rsidRPr="00C60672" w:rsidRDefault="00C60672" w:rsidP="00F41FB5">
      <w:pPr>
        <w:rPr>
          <w:rFonts w:ascii="Times New Roman" w:hAnsi="Times New Roman"/>
          <w:i/>
        </w:rPr>
      </w:pPr>
      <w:r>
        <w:rPr>
          <w:rFonts w:ascii="Times New Roman" w:hAnsi="Times New Roman"/>
          <w:i/>
        </w:rPr>
        <w:t>Other issues for consideration</w:t>
      </w:r>
    </w:p>
    <w:p w14:paraId="2D63CA7A" w14:textId="77777777" w:rsidR="00C60672" w:rsidRDefault="00C60672" w:rsidP="00F41FB5">
      <w:pPr>
        <w:rPr>
          <w:rFonts w:ascii="Times New Roman" w:hAnsi="Times New Roman"/>
        </w:rPr>
      </w:pPr>
    </w:p>
    <w:p w14:paraId="2D63CA7B" w14:textId="77777777" w:rsidR="00940ED8" w:rsidRDefault="005E6FBB" w:rsidP="00F41FB5">
      <w:pPr>
        <w:rPr>
          <w:rFonts w:ascii="Times New Roman" w:hAnsi="Times New Roman"/>
        </w:rPr>
      </w:pPr>
      <w:r>
        <w:rPr>
          <w:rFonts w:ascii="Times New Roman" w:hAnsi="Times New Roman"/>
        </w:rPr>
        <w:t>In analyzing this filing, staff compared it to the avoided cost tariffs from the other utilities and found</w:t>
      </w:r>
      <w:r w:rsidR="00940ED8">
        <w:rPr>
          <w:rFonts w:ascii="Times New Roman" w:hAnsi="Times New Roman"/>
        </w:rPr>
        <w:t xml:space="preserve"> several differences among them, from the size of facilities c</w:t>
      </w:r>
      <w:r w:rsidR="000C3388">
        <w:rPr>
          <w:rFonts w:ascii="Times New Roman" w:hAnsi="Times New Roman"/>
        </w:rPr>
        <w:t xml:space="preserve">overed by the standard offer to </w:t>
      </w:r>
      <w:r w:rsidR="00940ED8">
        <w:rPr>
          <w:rFonts w:ascii="Times New Roman" w:hAnsi="Times New Roman"/>
        </w:rPr>
        <w:t>the inclusion of balancing charges to the rates themselves. For example, PSE’s avoided cost rate for 2015 is 75 percent higher than Pacific Power’s proposed 2015 rate, and Avista’s is 41 percent higher. While staff would expect some differences in the utilities’ avoided cost rates given their different system characteristics and embedded costs, the wide differences that have resulted seem to be driven more by differences in how the rates are calculated.</w:t>
      </w:r>
    </w:p>
    <w:p w14:paraId="2D63CA7C" w14:textId="77777777" w:rsidR="00940ED8" w:rsidRDefault="00940ED8" w:rsidP="00F41FB5">
      <w:pPr>
        <w:rPr>
          <w:rFonts w:ascii="Times New Roman" w:hAnsi="Times New Roman"/>
        </w:rPr>
      </w:pPr>
    </w:p>
    <w:p w14:paraId="2D63CA7D" w14:textId="3CBC2C90" w:rsidR="005E6FBB" w:rsidRDefault="005E6FBB" w:rsidP="00F41FB5">
      <w:pPr>
        <w:rPr>
          <w:rFonts w:ascii="Times New Roman" w:hAnsi="Times New Roman"/>
        </w:rPr>
      </w:pPr>
      <w:r>
        <w:rPr>
          <w:rFonts w:ascii="Times New Roman" w:hAnsi="Times New Roman"/>
        </w:rPr>
        <w:t xml:space="preserve">Staff believes that </w:t>
      </w:r>
      <w:r w:rsidR="00940ED8">
        <w:rPr>
          <w:rFonts w:ascii="Times New Roman" w:hAnsi="Times New Roman"/>
        </w:rPr>
        <w:t>the issue</w:t>
      </w:r>
      <w:r w:rsidR="007F707E">
        <w:rPr>
          <w:rFonts w:ascii="Times New Roman" w:hAnsi="Times New Roman"/>
        </w:rPr>
        <w:t>s</w:t>
      </w:r>
      <w:r w:rsidR="00242915">
        <w:rPr>
          <w:rFonts w:ascii="Times New Roman" w:hAnsi="Times New Roman"/>
        </w:rPr>
        <w:t xml:space="preserve"> presented in this filing require more careful consideration, particularly in light of their potential to further exacerbate the differences among the utilities’ avoided cost rates and send conflicting signals to potential developers of qualifying facilities, particularly renewable facilities.</w:t>
      </w:r>
      <w:r w:rsidR="00940ED8">
        <w:rPr>
          <w:rFonts w:ascii="Times New Roman" w:hAnsi="Times New Roman"/>
        </w:rPr>
        <w:t xml:space="preserve"> </w:t>
      </w:r>
    </w:p>
    <w:p w14:paraId="2D63CA7E" w14:textId="77777777" w:rsidR="00CF251D" w:rsidRDefault="00CF251D" w:rsidP="00F41FB5">
      <w:pPr>
        <w:rPr>
          <w:rFonts w:ascii="Times New Roman" w:hAnsi="Times New Roman"/>
        </w:rPr>
      </w:pPr>
    </w:p>
    <w:p w14:paraId="2D63CA7F" w14:textId="77777777" w:rsidR="00476360" w:rsidRPr="001F6BC0" w:rsidRDefault="00476360" w:rsidP="00476360">
      <w:pPr>
        <w:rPr>
          <w:rFonts w:ascii="Times New Roman" w:hAnsi="Times New Roman"/>
          <w:b/>
          <w:u w:val="single"/>
        </w:rPr>
      </w:pPr>
      <w:r w:rsidRPr="001F6BC0">
        <w:rPr>
          <w:rFonts w:ascii="Times New Roman" w:hAnsi="Times New Roman"/>
          <w:b/>
          <w:u w:val="single"/>
        </w:rPr>
        <w:t>Conclusion</w:t>
      </w:r>
    </w:p>
    <w:p w14:paraId="2D63CA80" w14:textId="77777777" w:rsidR="00476360" w:rsidRPr="00AD7794" w:rsidRDefault="00476360" w:rsidP="00476360">
      <w:pPr>
        <w:rPr>
          <w:rFonts w:ascii="Times New Roman" w:hAnsi="Times New Roman"/>
        </w:rPr>
      </w:pPr>
    </w:p>
    <w:p w14:paraId="2D63CA81" w14:textId="77777777" w:rsidR="00CF251D" w:rsidRDefault="000C3388" w:rsidP="00CF251D">
      <w:pPr>
        <w:rPr>
          <w:rFonts w:ascii="Times New Roman" w:hAnsi="Times New Roman"/>
        </w:rPr>
      </w:pPr>
      <w:r>
        <w:rPr>
          <w:rFonts w:ascii="Times New Roman" w:hAnsi="Times New Roman"/>
        </w:rPr>
        <w:t>The commission should issue an order as described in the recommendation section.</w:t>
      </w:r>
    </w:p>
    <w:p w14:paraId="2D63CA82" w14:textId="77777777" w:rsidR="002C039A" w:rsidRPr="00AD3312" w:rsidRDefault="002C039A" w:rsidP="00AD3312">
      <w:pPr>
        <w:rPr>
          <w:rFonts w:ascii="Times New Roman" w:hAnsi="Times New Roman"/>
        </w:rPr>
      </w:pPr>
    </w:p>
    <w:sectPr w:rsidR="002C039A" w:rsidRPr="00AD331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3CA85" w14:textId="77777777" w:rsidR="00D03CC5" w:rsidRDefault="00D03CC5" w:rsidP="00476360">
      <w:r>
        <w:separator/>
      </w:r>
    </w:p>
  </w:endnote>
  <w:endnote w:type="continuationSeparator" w:id="0">
    <w:p w14:paraId="2D63CA86" w14:textId="77777777" w:rsidR="00D03CC5" w:rsidRDefault="00D03CC5" w:rsidP="0047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02B7A" w14:textId="77777777" w:rsidR="002356A3" w:rsidRDefault="002356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D8379" w14:textId="77777777" w:rsidR="002356A3" w:rsidRDefault="002356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19240" w14:textId="77777777" w:rsidR="002356A3" w:rsidRDefault="00235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3CA83" w14:textId="77777777" w:rsidR="00D03CC5" w:rsidRDefault="00D03CC5" w:rsidP="00476360">
      <w:r>
        <w:separator/>
      </w:r>
    </w:p>
  </w:footnote>
  <w:footnote w:type="continuationSeparator" w:id="0">
    <w:p w14:paraId="2D63CA84" w14:textId="77777777" w:rsidR="00D03CC5" w:rsidRDefault="00D03CC5" w:rsidP="00476360">
      <w:r>
        <w:continuationSeparator/>
      </w:r>
    </w:p>
  </w:footnote>
  <w:footnote w:id="1">
    <w:p w14:paraId="2D63CA8C" w14:textId="77777777" w:rsidR="00C31715" w:rsidRDefault="00C31715">
      <w:pPr>
        <w:pStyle w:val="FootnoteText"/>
      </w:pPr>
      <w:r>
        <w:rPr>
          <w:rStyle w:val="FootnoteReference"/>
        </w:rPr>
        <w:footnoteRef/>
      </w:r>
      <w:r>
        <w:t xml:space="preserve"> PacifiCorp 2013 IRP Update, page 54.</w:t>
      </w:r>
    </w:p>
  </w:footnote>
  <w:footnote w:id="2">
    <w:p w14:paraId="2D63CA8D" w14:textId="77777777" w:rsidR="00275E20" w:rsidRPr="00275E20" w:rsidRDefault="00275E20">
      <w:pPr>
        <w:pStyle w:val="FootnoteText"/>
      </w:pPr>
      <w:r>
        <w:rPr>
          <w:rStyle w:val="FootnoteReference"/>
        </w:rPr>
        <w:footnoteRef/>
      </w:r>
      <w:r>
        <w:t xml:space="preserve"> </w:t>
      </w:r>
      <w:r>
        <w:rPr>
          <w:i/>
        </w:rPr>
        <w:t>Id.</w:t>
      </w:r>
    </w:p>
  </w:footnote>
  <w:footnote w:id="3">
    <w:p w14:paraId="2D63CA8E" w14:textId="77777777" w:rsidR="004B6BAD" w:rsidRDefault="004B6BAD">
      <w:pPr>
        <w:pStyle w:val="FootnoteText"/>
      </w:pPr>
      <w:r>
        <w:rPr>
          <w:rStyle w:val="FootnoteReference"/>
        </w:rPr>
        <w:footnoteRef/>
      </w:r>
      <w:r>
        <w:t xml:space="preserve"> 16 U.S.C. § 292.302(b)</w:t>
      </w:r>
    </w:p>
  </w:footnote>
  <w:footnote w:id="4">
    <w:p w14:paraId="2D63CA8F" w14:textId="77777777" w:rsidR="00C60672" w:rsidRPr="00EF0FB0" w:rsidRDefault="00C60672" w:rsidP="00C60672">
      <w:pPr>
        <w:pStyle w:val="FootnoteText"/>
      </w:pPr>
      <w:r>
        <w:rPr>
          <w:rStyle w:val="FootnoteReference"/>
        </w:rPr>
        <w:footnoteRef/>
      </w:r>
      <w:r>
        <w:t xml:space="preserve"> </w:t>
      </w:r>
      <w:r>
        <w:rPr>
          <w:i/>
        </w:rPr>
        <w:t>In the Matter of Evaluating Electric Utility Renewable Portfolio Standard Reports Under the Energy Independence Act</w:t>
      </w:r>
      <w:r>
        <w:t>, Dockets UE-131056, UE-131063, and UE-131072, “Staff Comments of the Washington Utilities and Transportation Commission,” (July 1, 2013), page 12.</w:t>
      </w:r>
    </w:p>
  </w:footnote>
  <w:footnote w:id="5">
    <w:p w14:paraId="040FD889" w14:textId="727ED93C" w:rsidR="007F707E" w:rsidRDefault="007F707E">
      <w:pPr>
        <w:pStyle w:val="FootnoteText"/>
      </w:pPr>
      <w:r>
        <w:rPr>
          <w:rStyle w:val="FootnoteReference"/>
        </w:rPr>
        <w:footnoteRef/>
      </w:r>
      <w:r>
        <w:t xml:space="preserve"> WAC 480-107-055(1).</w:t>
      </w:r>
    </w:p>
  </w:footnote>
  <w:footnote w:id="6">
    <w:p w14:paraId="4C773F4D" w14:textId="16F489F8" w:rsidR="007F707E" w:rsidRDefault="007F707E">
      <w:pPr>
        <w:pStyle w:val="FootnoteText"/>
      </w:pPr>
      <w:r>
        <w:rPr>
          <w:rStyle w:val="FootnoteReference"/>
        </w:rPr>
        <w:footnoteRef/>
      </w:r>
      <w:r>
        <w:t xml:space="preserve"> Per company materials and presentation at the Sept. 26, 2014, meeting of the 2015 IRP Advisory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99D91" w14:textId="77777777" w:rsidR="002356A3" w:rsidRDefault="002356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3CA87" w14:textId="77777777" w:rsidR="003B5181" w:rsidRPr="00777586" w:rsidRDefault="005649D8">
    <w:pPr>
      <w:pStyle w:val="Header"/>
      <w:rPr>
        <w:rFonts w:ascii="Times New Roman" w:hAnsi="Times New Roman"/>
        <w:sz w:val="20"/>
        <w:szCs w:val="20"/>
      </w:rPr>
    </w:pPr>
    <w:r w:rsidRPr="00777586">
      <w:rPr>
        <w:rFonts w:ascii="Times New Roman" w:hAnsi="Times New Roman"/>
        <w:sz w:val="20"/>
        <w:szCs w:val="20"/>
      </w:rPr>
      <w:t xml:space="preserve">DOCKET </w:t>
    </w:r>
    <w:r>
      <w:rPr>
        <w:rFonts w:ascii="Times New Roman" w:hAnsi="Times New Roman"/>
        <w:sz w:val="20"/>
        <w:szCs w:val="20"/>
      </w:rPr>
      <w:t>UE-14</w:t>
    </w:r>
    <w:r w:rsidR="00B35255">
      <w:rPr>
        <w:rFonts w:ascii="Times New Roman" w:hAnsi="Times New Roman"/>
        <w:sz w:val="20"/>
        <w:szCs w:val="20"/>
      </w:rPr>
      <w:t>4160</w:t>
    </w:r>
  </w:p>
  <w:p w14:paraId="2D63CA88" w14:textId="54BFDA1C" w:rsidR="003B5181" w:rsidRPr="00777586" w:rsidRDefault="000C3388">
    <w:pPr>
      <w:pStyle w:val="Header"/>
      <w:rPr>
        <w:rFonts w:ascii="Times New Roman" w:hAnsi="Times New Roman"/>
        <w:sz w:val="20"/>
        <w:szCs w:val="20"/>
      </w:rPr>
    </w:pPr>
    <w:r>
      <w:rPr>
        <w:rFonts w:ascii="Times New Roman" w:hAnsi="Times New Roman"/>
        <w:sz w:val="20"/>
        <w:szCs w:val="20"/>
      </w:rPr>
      <w:t>February 12</w:t>
    </w:r>
    <w:r w:rsidR="00B35255">
      <w:rPr>
        <w:rFonts w:ascii="Times New Roman" w:hAnsi="Times New Roman"/>
        <w:sz w:val="20"/>
        <w:szCs w:val="20"/>
      </w:rPr>
      <w:t>, 2015</w:t>
    </w:r>
  </w:p>
  <w:p w14:paraId="2D63CA89" w14:textId="77777777" w:rsidR="003B5181" w:rsidRPr="00777586" w:rsidRDefault="005649D8">
    <w:pPr>
      <w:pStyle w:val="Header"/>
      <w:rPr>
        <w:rStyle w:val="PageNumber"/>
        <w:rFonts w:ascii="Times New Roman" w:hAnsi="Times New Roman"/>
        <w:sz w:val="20"/>
        <w:szCs w:val="20"/>
      </w:rPr>
    </w:pPr>
    <w:r w:rsidRPr="00777586">
      <w:rPr>
        <w:rFonts w:ascii="Times New Roman" w:hAnsi="Times New Roman"/>
        <w:sz w:val="20"/>
        <w:szCs w:val="20"/>
      </w:rPr>
      <w:t xml:space="preserve">Page </w:t>
    </w:r>
    <w:r w:rsidRPr="00777586">
      <w:rPr>
        <w:rStyle w:val="PageNumber"/>
        <w:rFonts w:ascii="Times New Roman" w:hAnsi="Times New Roman"/>
        <w:sz w:val="20"/>
        <w:szCs w:val="20"/>
      </w:rPr>
      <w:fldChar w:fldCharType="begin"/>
    </w:r>
    <w:r w:rsidRPr="00777586">
      <w:rPr>
        <w:rStyle w:val="PageNumber"/>
        <w:rFonts w:ascii="Times New Roman" w:hAnsi="Times New Roman"/>
        <w:sz w:val="20"/>
        <w:szCs w:val="20"/>
      </w:rPr>
      <w:instrText xml:space="preserve"> PAGE </w:instrText>
    </w:r>
    <w:r w:rsidRPr="00777586">
      <w:rPr>
        <w:rStyle w:val="PageNumber"/>
        <w:rFonts w:ascii="Times New Roman" w:hAnsi="Times New Roman"/>
        <w:sz w:val="20"/>
        <w:szCs w:val="20"/>
      </w:rPr>
      <w:fldChar w:fldCharType="separate"/>
    </w:r>
    <w:r w:rsidR="00CF679F">
      <w:rPr>
        <w:rStyle w:val="PageNumber"/>
        <w:rFonts w:ascii="Times New Roman" w:hAnsi="Times New Roman"/>
        <w:noProof/>
        <w:sz w:val="20"/>
        <w:szCs w:val="20"/>
      </w:rPr>
      <w:t>4</w:t>
    </w:r>
    <w:r w:rsidRPr="00777586">
      <w:rPr>
        <w:rStyle w:val="PageNumber"/>
        <w:rFonts w:ascii="Times New Roman" w:hAnsi="Times New Roman"/>
        <w:sz w:val="20"/>
        <w:szCs w:val="20"/>
      </w:rPr>
      <w:fldChar w:fldCharType="end"/>
    </w:r>
  </w:p>
  <w:p w14:paraId="2D63CA8A" w14:textId="77777777" w:rsidR="003B5181" w:rsidRDefault="00CF679F">
    <w:pPr>
      <w:pStyle w:val="Header"/>
      <w:rPr>
        <w:rStyle w:val="PageNumber"/>
        <w:sz w:val="20"/>
      </w:rPr>
    </w:pPr>
  </w:p>
  <w:p w14:paraId="2D63CA8B" w14:textId="77777777" w:rsidR="003B5181" w:rsidRDefault="00CF679F">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809D" w14:textId="77777777" w:rsidR="002356A3" w:rsidRDefault="002356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D668E"/>
    <w:multiLevelType w:val="hybridMultilevel"/>
    <w:tmpl w:val="BC14C8FE"/>
    <w:lvl w:ilvl="0" w:tplc="CAA8441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1237B1"/>
    <w:multiLevelType w:val="hybridMultilevel"/>
    <w:tmpl w:val="8CECD2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60"/>
    <w:rsid w:val="0005499D"/>
    <w:rsid w:val="000C3388"/>
    <w:rsid w:val="000E640C"/>
    <w:rsid w:val="00167CFB"/>
    <w:rsid w:val="001A309D"/>
    <w:rsid w:val="001B5DB6"/>
    <w:rsid w:val="001C5AB1"/>
    <w:rsid w:val="001E1D7A"/>
    <w:rsid w:val="002356A3"/>
    <w:rsid w:val="00242915"/>
    <w:rsid w:val="00247C48"/>
    <w:rsid w:val="00270F92"/>
    <w:rsid w:val="00275E20"/>
    <w:rsid w:val="002B3B9D"/>
    <w:rsid w:val="002C039A"/>
    <w:rsid w:val="00324826"/>
    <w:rsid w:val="003341FD"/>
    <w:rsid w:val="0042028B"/>
    <w:rsid w:val="00450FAE"/>
    <w:rsid w:val="00476360"/>
    <w:rsid w:val="004B6BAD"/>
    <w:rsid w:val="004E2F52"/>
    <w:rsid w:val="00552600"/>
    <w:rsid w:val="005649D8"/>
    <w:rsid w:val="00564A4E"/>
    <w:rsid w:val="005A6C74"/>
    <w:rsid w:val="005B3AAE"/>
    <w:rsid w:val="005E4C36"/>
    <w:rsid w:val="005E6FBB"/>
    <w:rsid w:val="00672F7B"/>
    <w:rsid w:val="00692695"/>
    <w:rsid w:val="006A41EE"/>
    <w:rsid w:val="006B103F"/>
    <w:rsid w:val="006D31CE"/>
    <w:rsid w:val="0073375F"/>
    <w:rsid w:val="00757D86"/>
    <w:rsid w:val="00761E33"/>
    <w:rsid w:val="00775B60"/>
    <w:rsid w:val="007F707E"/>
    <w:rsid w:val="008249C2"/>
    <w:rsid w:val="008460D0"/>
    <w:rsid w:val="008E34E6"/>
    <w:rsid w:val="009237F1"/>
    <w:rsid w:val="00940ED8"/>
    <w:rsid w:val="00A11A92"/>
    <w:rsid w:val="00A33D72"/>
    <w:rsid w:val="00A65C8B"/>
    <w:rsid w:val="00A84C2A"/>
    <w:rsid w:val="00AD3312"/>
    <w:rsid w:val="00AE273E"/>
    <w:rsid w:val="00AE5BAA"/>
    <w:rsid w:val="00AE5CDD"/>
    <w:rsid w:val="00AF19BA"/>
    <w:rsid w:val="00B13041"/>
    <w:rsid w:val="00B35255"/>
    <w:rsid w:val="00B95576"/>
    <w:rsid w:val="00BF3D63"/>
    <w:rsid w:val="00C31715"/>
    <w:rsid w:val="00C60672"/>
    <w:rsid w:val="00C70352"/>
    <w:rsid w:val="00CD4AC4"/>
    <w:rsid w:val="00CE61F8"/>
    <w:rsid w:val="00CF251D"/>
    <w:rsid w:val="00CF501F"/>
    <w:rsid w:val="00CF679F"/>
    <w:rsid w:val="00D03CC5"/>
    <w:rsid w:val="00D6621D"/>
    <w:rsid w:val="00DA1B86"/>
    <w:rsid w:val="00DD2A47"/>
    <w:rsid w:val="00DF4629"/>
    <w:rsid w:val="00E47902"/>
    <w:rsid w:val="00E97025"/>
    <w:rsid w:val="00EF0FB0"/>
    <w:rsid w:val="00F21B68"/>
    <w:rsid w:val="00F41FB5"/>
    <w:rsid w:val="00FB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63CA4C"/>
  <w15:chartTrackingRefBased/>
  <w15:docId w15:val="{7CDEE3AE-C290-4416-B8E0-F87F6E6D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360"/>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476360"/>
    <w:pPr>
      <w:tabs>
        <w:tab w:val="center" w:pos="4320"/>
        <w:tab w:val="right" w:pos="8640"/>
      </w:tabs>
    </w:pPr>
  </w:style>
  <w:style w:type="character" w:customStyle="1" w:styleId="HeaderChar">
    <w:name w:val="Header Char"/>
    <w:basedOn w:val="DefaultParagraphFont"/>
    <w:link w:val="Header"/>
    <w:rsid w:val="00476360"/>
    <w:rPr>
      <w:rFonts w:ascii="Palatino Linotype" w:eastAsia="Times New Roman" w:hAnsi="Palatino Linotype" w:cs="Times New Roman"/>
      <w:sz w:val="24"/>
      <w:szCs w:val="24"/>
    </w:rPr>
  </w:style>
  <w:style w:type="character" w:styleId="PageNumber">
    <w:name w:val="page number"/>
    <w:basedOn w:val="DefaultParagraphFont"/>
    <w:rsid w:val="00476360"/>
  </w:style>
  <w:style w:type="paragraph" w:styleId="FootnoteText">
    <w:name w:val="footnote text"/>
    <w:basedOn w:val="Normal"/>
    <w:link w:val="FootnoteTextChar"/>
    <w:rsid w:val="00476360"/>
    <w:rPr>
      <w:rFonts w:ascii="Times New Roman" w:hAnsi="Times New Roman"/>
      <w:sz w:val="20"/>
      <w:szCs w:val="20"/>
    </w:rPr>
  </w:style>
  <w:style w:type="character" w:customStyle="1" w:styleId="FootnoteTextChar">
    <w:name w:val="Footnote Text Char"/>
    <w:basedOn w:val="DefaultParagraphFont"/>
    <w:link w:val="FootnoteText"/>
    <w:rsid w:val="00476360"/>
    <w:rPr>
      <w:rFonts w:ascii="Times New Roman" w:eastAsia="Times New Roman" w:hAnsi="Times New Roman" w:cs="Times New Roman"/>
      <w:sz w:val="20"/>
      <w:szCs w:val="20"/>
    </w:rPr>
  </w:style>
  <w:style w:type="character" w:styleId="FootnoteReference">
    <w:name w:val="footnote reference"/>
    <w:uiPriority w:val="99"/>
    <w:rsid w:val="00476360"/>
    <w:rPr>
      <w:vertAlign w:val="superscript"/>
    </w:rPr>
  </w:style>
  <w:style w:type="paragraph" w:styleId="ListParagraph">
    <w:name w:val="List Paragraph"/>
    <w:basedOn w:val="Normal"/>
    <w:uiPriority w:val="34"/>
    <w:qFormat/>
    <w:rsid w:val="00F41FB5"/>
    <w:pPr>
      <w:ind w:left="720"/>
      <w:contextualSpacing/>
    </w:pPr>
  </w:style>
  <w:style w:type="paragraph" w:styleId="Footer">
    <w:name w:val="footer"/>
    <w:basedOn w:val="Normal"/>
    <w:link w:val="FooterChar"/>
    <w:uiPriority w:val="99"/>
    <w:unhideWhenUsed/>
    <w:rsid w:val="00B35255"/>
    <w:pPr>
      <w:tabs>
        <w:tab w:val="center" w:pos="4680"/>
        <w:tab w:val="right" w:pos="9360"/>
      </w:tabs>
    </w:pPr>
  </w:style>
  <w:style w:type="character" w:customStyle="1" w:styleId="FooterChar">
    <w:name w:val="Footer Char"/>
    <w:basedOn w:val="DefaultParagraphFont"/>
    <w:link w:val="Footer"/>
    <w:uiPriority w:val="99"/>
    <w:rsid w:val="00B35255"/>
    <w:rPr>
      <w:rFonts w:ascii="Palatino Linotype" w:eastAsia="Times New Roman" w:hAnsi="Palatino Linotype" w:cs="Times New Roman"/>
      <w:sz w:val="24"/>
      <w:szCs w:val="24"/>
    </w:rPr>
  </w:style>
  <w:style w:type="character" w:styleId="CommentReference">
    <w:name w:val="annotation reference"/>
    <w:basedOn w:val="DefaultParagraphFont"/>
    <w:uiPriority w:val="99"/>
    <w:semiHidden/>
    <w:unhideWhenUsed/>
    <w:rsid w:val="00D6621D"/>
    <w:rPr>
      <w:sz w:val="16"/>
      <w:szCs w:val="16"/>
    </w:rPr>
  </w:style>
  <w:style w:type="paragraph" w:styleId="CommentText">
    <w:name w:val="annotation text"/>
    <w:basedOn w:val="Normal"/>
    <w:link w:val="CommentTextChar"/>
    <w:uiPriority w:val="99"/>
    <w:semiHidden/>
    <w:unhideWhenUsed/>
    <w:rsid w:val="00D6621D"/>
    <w:rPr>
      <w:sz w:val="20"/>
      <w:szCs w:val="20"/>
    </w:rPr>
  </w:style>
  <w:style w:type="character" w:customStyle="1" w:styleId="CommentTextChar">
    <w:name w:val="Comment Text Char"/>
    <w:basedOn w:val="DefaultParagraphFont"/>
    <w:link w:val="CommentText"/>
    <w:uiPriority w:val="99"/>
    <w:semiHidden/>
    <w:rsid w:val="00D6621D"/>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D6621D"/>
    <w:rPr>
      <w:b/>
      <w:bCs/>
    </w:rPr>
  </w:style>
  <w:style w:type="character" w:customStyle="1" w:styleId="CommentSubjectChar">
    <w:name w:val="Comment Subject Char"/>
    <w:basedOn w:val="CommentTextChar"/>
    <w:link w:val="CommentSubject"/>
    <w:uiPriority w:val="99"/>
    <w:semiHidden/>
    <w:rsid w:val="00D6621D"/>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D662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2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Suspended</CaseStatus>
    <OpenedDate xmlns="dc463f71-b30c-4ab2-9473-d307f9d35888">2014-12-29T08:00:00+00:00</OpenedDate>
    <Date1 xmlns="dc463f71-b30c-4ab2-9473-d307f9d35888">2015-02-12T08:00:00+00:00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015CB-EE47-4CB8-A6FA-F77C7EA04DFC}"/>
</file>

<file path=customXml/itemProps2.xml><?xml version="1.0" encoding="utf-8"?>
<ds:datastoreItem xmlns:ds="http://schemas.openxmlformats.org/officeDocument/2006/customXml" ds:itemID="{FCD8C66F-5C2D-43E9-9F70-CCF23779E886}"/>
</file>

<file path=customXml/itemProps3.xml><?xml version="1.0" encoding="utf-8"?>
<ds:datastoreItem xmlns:ds="http://schemas.openxmlformats.org/officeDocument/2006/customXml" ds:itemID="{5FD0DFBB-FD28-4D10-A69A-2812C63120F7}"/>
</file>

<file path=customXml/itemProps4.xml><?xml version="1.0" encoding="utf-8"?>
<ds:datastoreItem xmlns:ds="http://schemas.openxmlformats.org/officeDocument/2006/customXml" ds:itemID="{8AEB63B5-D1CB-4AAE-9F2C-3BC8155239B5}"/>
</file>

<file path=customXml/itemProps5.xml><?xml version="1.0" encoding="utf-8"?>
<ds:datastoreItem xmlns:ds="http://schemas.openxmlformats.org/officeDocument/2006/customXml" ds:itemID="{E887053B-BCAF-4492-862E-83DC664FA841}"/>
</file>

<file path=docProps/app.xml><?xml version="1.0" encoding="utf-8"?>
<Properties xmlns="http://schemas.openxmlformats.org/officeDocument/2006/extended-properties" xmlns:vt="http://schemas.openxmlformats.org/officeDocument/2006/docPropsVTypes">
  <Template>Normal.dotm</Template>
  <TotalTime>62</TotalTime>
  <Pages>4</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Anderson, Linda (UTC)</cp:lastModifiedBy>
  <cp:revision>5</cp:revision>
  <dcterms:created xsi:type="dcterms:W3CDTF">2015-02-05T23:52:00Z</dcterms:created>
  <dcterms:modified xsi:type="dcterms:W3CDTF">2015-02-06T21:11:00Z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0x0101006E56B4D1795A2E4DB2F0B01679ED314A00F0A92E28D1EC4D42B4C180CD69469D63</vt:lpwstr>
  </property>
  <property fmtid="{D5CDD505-2E9C-101B-9397-08002B2CF9AE}" pid="3" name="_docset_NoMedatataSyncRequired">
    <vt:lpwstr>False</vt:lpwstr>
  </property>
</Properties>
</file>