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6E1DDF29" wp14:editId="0B071D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261259" w:rsidRPr="008C0D1D" w:rsidRDefault="00261259">
      <w:pPr>
        <w:jc w:val="both"/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8C0D1D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8C0D1D" w:rsidRDefault="005D3761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8C0D1D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25528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May </w:t>
      </w:r>
      <w:r w:rsidR="00CC62E7">
        <w:rPr>
          <w:rFonts w:asciiTheme="minorHAnsi" w:hAnsiTheme="minorHAnsi"/>
          <w:sz w:val="24"/>
          <w:szCs w:val="24"/>
        </w:rPr>
        <w:t>14</w:t>
      </w:r>
      <w:r w:rsidR="008C0D1D" w:rsidRPr="008C0D1D">
        <w:rPr>
          <w:rFonts w:asciiTheme="minorHAnsi" w:hAnsiTheme="minorHAnsi"/>
          <w:sz w:val="24"/>
          <w:szCs w:val="24"/>
        </w:rPr>
        <w:t>, 2015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Records Center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Olympia, WA  98504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 xml:space="preserve">Re:  </w:t>
      </w:r>
      <w:r w:rsidR="002142C6">
        <w:rPr>
          <w:rFonts w:asciiTheme="minorHAnsi" w:hAnsiTheme="minorHAnsi"/>
          <w:sz w:val="24"/>
          <w:szCs w:val="24"/>
        </w:rPr>
        <w:t>U-144155 – Cascade Natural Gas’s Comments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B625FC" w:rsidRPr="008C0D1D" w:rsidRDefault="002142C6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B625FC" w:rsidRPr="008C0D1D">
        <w:rPr>
          <w:rFonts w:asciiTheme="minorHAnsi" w:hAnsiTheme="minorHAnsi"/>
          <w:sz w:val="24"/>
          <w:szCs w:val="24"/>
        </w:rPr>
        <w:t xml:space="preserve">Below are Cascade Natural Gas Corporation’s </w:t>
      </w:r>
      <w:r>
        <w:rPr>
          <w:rFonts w:asciiTheme="minorHAnsi" w:hAnsiTheme="minorHAnsi"/>
          <w:sz w:val="24"/>
          <w:szCs w:val="24"/>
        </w:rPr>
        <w:t>comments</w:t>
      </w:r>
      <w:r w:rsidR="001F4634">
        <w:rPr>
          <w:rFonts w:asciiTheme="minorHAnsi" w:hAnsiTheme="minorHAnsi"/>
          <w:sz w:val="24"/>
          <w:szCs w:val="24"/>
        </w:rPr>
        <w:t xml:space="preserve"> provided</w:t>
      </w:r>
      <w:r>
        <w:rPr>
          <w:rFonts w:asciiTheme="minorHAnsi" w:hAnsiTheme="minorHAnsi"/>
          <w:sz w:val="24"/>
          <w:szCs w:val="24"/>
        </w:rPr>
        <w:t xml:space="preserve"> in response to </w:t>
      </w:r>
      <w:r w:rsidR="004E2439">
        <w:rPr>
          <w:rFonts w:asciiTheme="minorHAnsi" w:hAnsiTheme="minorHAnsi"/>
          <w:sz w:val="24"/>
          <w:szCs w:val="24"/>
        </w:rPr>
        <w:t xml:space="preserve">the </w:t>
      </w:r>
      <w:r w:rsidR="004E2439" w:rsidRPr="008C0D1D">
        <w:rPr>
          <w:rFonts w:asciiTheme="minorHAnsi" w:hAnsiTheme="minorHAnsi"/>
          <w:sz w:val="24"/>
          <w:szCs w:val="24"/>
        </w:rPr>
        <w:t>Washington</w:t>
      </w:r>
      <w:r w:rsidR="00B625FC" w:rsidRPr="008C0D1D">
        <w:rPr>
          <w:rFonts w:asciiTheme="minorHAnsi" w:hAnsiTheme="minorHAnsi"/>
          <w:sz w:val="24"/>
          <w:szCs w:val="24"/>
        </w:rPr>
        <w:t xml:space="preserve"> Utilities and Transportation Commission’s (WUTC’s) Notice of Opportunity to </w:t>
      </w:r>
      <w:r>
        <w:rPr>
          <w:rFonts w:asciiTheme="minorHAnsi" w:hAnsiTheme="minorHAnsi"/>
          <w:sz w:val="24"/>
          <w:szCs w:val="24"/>
        </w:rPr>
        <w:t>Submit Written C</w:t>
      </w:r>
      <w:r w:rsidR="00B625FC" w:rsidRPr="008C0D1D">
        <w:rPr>
          <w:rFonts w:asciiTheme="minorHAnsi" w:hAnsiTheme="minorHAnsi"/>
          <w:sz w:val="24"/>
          <w:szCs w:val="24"/>
        </w:rPr>
        <w:t xml:space="preserve">omments, issued in Docket No. </w:t>
      </w:r>
      <w:proofErr w:type="gramStart"/>
      <w:r w:rsidR="00B625FC" w:rsidRPr="008C0D1D">
        <w:rPr>
          <w:rFonts w:asciiTheme="minorHAnsi" w:hAnsiTheme="minorHAnsi"/>
          <w:sz w:val="24"/>
          <w:szCs w:val="24"/>
        </w:rPr>
        <w:t>U-144155.</w:t>
      </w:r>
      <w:proofErr w:type="gramEnd"/>
    </w:p>
    <w:p w:rsidR="00B625FC" w:rsidRDefault="00B625FC" w:rsidP="00B625FC">
      <w:pPr>
        <w:spacing w:line="264" w:lineRule="auto"/>
        <w:rPr>
          <w:rFonts w:asciiTheme="minorHAnsi" w:hAnsiTheme="minorHAnsi"/>
          <w:b/>
          <w:szCs w:val="24"/>
        </w:rPr>
      </w:pPr>
    </w:p>
    <w:p w:rsidR="00B625FC" w:rsidRPr="00335078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335078">
        <w:rPr>
          <w:rFonts w:asciiTheme="minorHAnsi" w:hAnsiTheme="minorHAnsi"/>
          <w:b/>
          <w:szCs w:val="24"/>
        </w:rPr>
        <w:t>Please provide the average number of meters in service from 2012 to 2014.</w:t>
      </w: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t>Response</w:t>
      </w:r>
    </w:p>
    <w:p w:rsidR="003F25D1" w:rsidRDefault="003F25D1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Cascade Natural Gas had an annual average of 205,909 meters during the 2012 through 2014 timeframe.  </w:t>
      </w:r>
      <w:proofErr w:type="gramStart"/>
      <w:r>
        <w:rPr>
          <w:rFonts w:asciiTheme="minorHAnsi" w:hAnsiTheme="minorHAnsi"/>
          <w:szCs w:val="24"/>
        </w:rPr>
        <w:t>The per</w:t>
      </w:r>
      <w:proofErr w:type="gramEnd"/>
      <w:r>
        <w:rPr>
          <w:rFonts w:asciiTheme="minorHAnsi" w:hAnsiTheme="minorHAnsi"/>
          <w:szCs w:val="24"/>
        </w:rPr>
        <w:t xml:space="preserve"> annual meter count is provided in the table below:</w:t>
      </w:r>
    </w:p>
    <w:p w:rsidR="003F25D1" w:rsidRDefault="003F25D1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28"/>
        <w:gridCol w:w="2160"/>
      </w:tblGrid>
      <w:tr w:rsidR="003F25D1" w:rsidTr="003F25D1">
        <w:tc>
          <w:tcPr>
            <w:tcW w:w="828" w:type="dxa"/>
          </w:tcPr>
          <w:p w:rsidR="003F25D1" w:rsidRPr="003F25D1" w:rsidRDefault="003F25D1" w:rsidP="00B625FC">
            <w:pPr>
              <w:pStyle w:val="NoSpacing"/>
              <w:spacing w:line="264" w:lineRule="auto"/>
              <w:rPr>
                <w:rFonts w:asciiTheme="minorHAnsi" w:hAnsiTheme="minorHAnsi"/>
                <w:b/>
                <w:szCs w:val="24"/>
              </w:rPr>
            </w:pPr>
            <w:r w:rsidRPr="003F25D1">
              <w:rPr>
                <w:rFonts w:asciiTheme="minorHAnsi" w:hAnsiTheme="minorHAnsi"/>
                <w:b/>
                <w:szCs w:val="24"/>
              </w:rPr>
              <w:t>Year</w:t>
            </w:r>
          </w:p>
        </w:tc>
        <w:tc>
          <w:tcPr>
            <w:tcW w:w="2160" w:type="dxa"/>
          </w:tcPr>
          <w:p w:rsidR="003F25D1" w:rsidRPr="003F25D1" w:rsidRDefault="003F25D1" w:rsidP="00B625FC">
            <w:pPr>
              <w:pStyle w:val="NoSpacing"/>
              <w:spacing w:line="264" w:lineRule="auto"/>
              <w:rPr>
                <w:rFonts w:asciiTheme="minorHAnsi" w:hAnsiTheme="minorHAnsi"/>
                <w:b/>
                <w:szCs w:val="24"/>
              </w:rPr>
            </w:pPr>
            <w:r w:rsidRPr="003F25D1">
              <w:rPr>
                <w:rFonts w:asciiTheme="minorHAnsi" w:hAnsiTheme="minorHAnsi"/>
                <w:b/>
                <w:szCs w:val="24"/>
              </w:rPr>
              <w:t>Number of Meters</w:t>
            </w:r>
          </w:p>
        </w:tc>
      </w:tr>
      <w:tr w:rsidR="003F25D1" w:rsidTr="003F25D1">
        <w:tc>
          <w:tcPr>
            <w:tcW w:w="828" w:type="dxa"/>
          </w:tcPr>
          <w:p w:rsidR="003F25D1" w:rsidRDefault="003F25D1" w:rsidP="00B625FC">
            <w:pPr>
              <w:pStyle w:val="NoSpacing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2012</w:t>
            </w:r>
          </w:p>
        </w:tc>
        <w:tc>
          <w:tcPr>
            <w:tcW w:w="2160" w:type="dxa"/>
          </w:tcPr>
          <w:p w:rsidR="003F25D1" w:rsidRDefault="003F25D1" w:rsidP="003F25D1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203,214</w:t>
            </w:r>
          </w:p>
        </w:tc>
      </w:tr>
      <w:tr w:rsidR="003F25D1" w:rsidTr="003F25D1">
        <w:tc>
          <w:tcPr>
            <w:tcW w:w="828" w:type="dxa"/>
          </w:tcPr>
          <w:p w:rsidR="003F25D1" w:rsidRDefault="003F25D1" w:rsidP="00B625FC">
            <w:pPr>
              <w:pStyle w:val="NoSpacing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2013</w:t>
            </w:r>
          </w:p>
        </w:tc>
        <w:tc>
          <w:tcPr>
            <w:tcW w:w="2160" w:type="dxa"/>
          </w:tcPr>
          <w:p w:rsidR="003F25D1" w:rsidRDefault="003F25D1" w:rsidP="003F25D1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206,107</w:t>
            </w:r>
          </w:p>
        </w:tc>
      </w:tr>
      <w:tr w:rsidR="003F25D1" w:rsidTr="003F25D1">
        <w:tc>
          <w:tcPr>
            <w:tcW w:w="828" w:type="dxa"/>
          </w:tcPr>
          <w:p w:rsidR="003F25D1" w:rsidRDefault="003F25D1" w:rsidP="00B625FC">
            <w:pPr>
              <w:pStyle w:val="NoSpacing"/>
              <w:spacing w:line="264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2014</w:t>
            </w:r>
          </w:p>
        </w:tc>
        <w:tc>
          <w:tcPr>
            <w:tcW w:w="2160" w:type="dxa"/>
          </w:tcPr>
          <w:p w:rsidR="003F25D1" w:rsidRDefault="003F25D1" w:rsidP="003F25D1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208,408</w:t>
            </w:r>
          </w:p>
        </w:tc>
      </w:tr>
    </w:tbl>
    <w:p w:rsidR="003F25D1" w:rsidRPr="003F25D1" w:rsidRDefault="003F25D1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Default="00B625FC" w:rsidP="00B625FC">
      <w:pPr>
        <w:pStyle w:val="NoSpacing"/>
        <w:spacing w:line="264" w:lineRule="auto"/>
        <w:ind w:left="360"/>
        <w:rPr>
          <w:rFonts w:asciiTheme="minorHAnsi" w:hAnsiTheme="minorHAnsi"/>
          <w:szCs w:val="24"/>
        </w:rPr>
      </w:pPr>
    </w:p>
    <w:p w:rsidR="00B625FC" w:rsidRPr="005B44E0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szCs w:val="24"/>
        </w:rPr>
      </w:pPr>
      <w:r w:rsidRPr="005B44E0">
        <w:rPr>
          <w:rFonts w:asciiTheme="minorHAnsi" w:hAnsiTheme="minorHAnsi"/>
          <w:b/>
          <w:szCs w:val="24"/>
        </w:rPr>
        <w:t xml:space="preserve">Please provide three years of historical data showing the following: </w:t>
      </w:r>
    </w:p>
    <w:p w:rsidR="00B625FC" w:rsidRDefault="00B625FC" w:rsidP="00B625FC">
      <w:pPr>
        <w:pStyle w:val="NoSpacing"/>
        <w:numPr>
          <w:ilvl w:val="1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335078">
        <w:rPr>
          <w:rFonts w:asciiTheme="minorHAnsi" w:hAnsiTheme="minorHAnsi"/>
          <w:b/>
          <w:szCs w:val="24"/>
        </w:rPr>
        <w:t>Total number of retroactive bills and length of the retroactive bills for stopped meters.</w:t>
      </w:r>
    </w:p>
    <w:p w:rsidR="00B625FC" w:rsidRPr="00335078" w:rsidRDefault="00B625FC" w:rsidP="00B625FC">
      <w:pPr>
        <w:pStyle w:val="NoSpacing"/>
        <w:numPr>
          <w:ilvl w:val="1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335078">
        <w:rPr>
          <w:rFonts w:asciiTheme="minorHAnsi" w:hAnsiTheme="minorHAnsi"/>
          <w:b/>
          <w:szCs w:val="24"/>
        </w:rPr>
        <w:t>Total number of unidentified energy usage meters.</w:t>
      </w:r>
    </w:p>
    <w:p w:rsidR="00B625FC" w:rsidRPr="00335078" w:rsidRDefault="00B625FC" w:rsidP="00B625FC">
      <w:pPr>
        <w:pStyle w:val="NoSpacing"/>
        <w:spacing w:line="264" w:lineRule="auto"/>
        <w:ind w:left="1440"/>
        <w:rPr>
          <w:rFonts w:asciiTheme="minorHAnsi" w:hAnsiTheme="minorHAnsi"/>
          <w:b/>
          <w:szCs w:val="24"/>
        </w:rPr>
      </w:pPr>
    </w:p>
    <w:p w:rsidR="00B625FC" w:rsidRPr="00335078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lastRenderedPageBreak/>
        <w:t>Response</w:t>
      </w:r>
    </w:p>
    <w:p w:rsidR="00B625FC" w:rsidRPr="00335078" w:rsidRDefault="00B625FC" w:rsidP="00B625FC">
      <w:pPr>
        <w:pStyle w:val="NoSpacing"/>
        <w:spacing w:line="264" w:lineRule="auto"/>
        <w:ind w:firstLine="720"/>
        <w:rPr>
          <w:rFonts w:asciiTheme="minorHAnsi" w:hAnsiTheme="minorHAnsi"/>
          <w:szCs w:val="24"/>
        </w:rPr>
      </w:pPr>
      <w:r w:rsidRPr="00335078">
        <w:rPr>
          <w:rFonts w:asciiTheme="minorHAnsi" w:hAnsiTheme="minorHAnsi"/>
          <w:szCs w:val="24"/>
        </w:rPr>
        <w:t xml:space="preserve">Cascade Natural Gas does not </w:t>
      </w:r>
      <w:r>
        <w:rPr>
          <w:rFonts w:asciiTheme="minorHAnsi" w:hAnsiTheme="minorHAnsi"/>
          <w:szCs w:val="24"/>
        </w:rPr>
        <w:t xml:space="preserve">track this </w:t>
      </w:r>
      <w:r w:rsidRPr="00335078">
        <w:rPr>
          <w:rFonts w:asciiTheme="minorHAnsi" w:hAnsiTheme="minorHAnsi"/>
          <w:szCs w:val="24"/>
        </w:rPr>
        <w:t xml:space="preserve">information. </w:t>
      </w:r>
    </w:p>
    <w:p w:rsidR="00B625FC" w:rsidRPr="00335078" w:rsidRDefault="00B625FC" w:rsidP="00B625FC">
      <w:pPr>
        <w:pStyle w:val="NoSpacing"/>
        <w:spacing w:line="264" w:lineRule="auto"/>
        <w:rPr>
          <w:rFonts w:asciiTheme="minorHAnsi" w:hAnsiTheme="minorHAnsi"/>
          <w:szCs w:val="24"/>
        </w:rPr>
      </w:pPr>
    </w:p>
    <w:p w:rsidR="00B625FC" w:rsidRPr="002142C6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2142C6">
        <w:rPr>
          <w:rFonts w:asciiTheme="minorHAnsi" w:hAnsiTheme="minorHAnsi"/>
          <w:b/>
          <w:szCs w:val="24"/>
        </w:rPr>
        <w:t>What is the company’s policy regarding bill settlement for metering errors?</w:t>
      </w: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Pr="00335078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t>Response</w:t>
      </w:r>
    </w:p>
    <w:p w:rsidR="007D6517" w:rsidRDefault="002F336B" w:rsidP="007D6517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When </w:t>
      </w:r>
      <w:r w:rsidR="005B44E0">
        <w:rPr>
          <w:rFonts w:asciiTheme="minorHAnsi" w:hAnsiTheme="minorHAnsi"/>
          <w:szCs w:val="24"/>
        </w:rPr>
        <w:t>a metering error</w:t>
      </w:r>
      <w:r>
        <w:rPr>
          <w:rFonts w:asciiTheme="minorHAnsi" w:hAnsiTheme="minorHAnsi"/>
          <w:szCs w:val="24"/>
        </w:rPr>
        <w:t xml:space="preserve"> result</w:t>
      </w:r>
      <w:r w:rsidR="00281273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 in </w:t>
      </w:r>
      <w:r w:rsidR="005B44E0">
        <w:rPr>
          <w:rFonts w:asciiTheme="minorHAnsi" w:hAnsiTheme="minorHAnsi"/>
          <w:szCs w:val="24"/>
        </w:rPr>
        <w:t xml:space="preserve">either an </w:t>
      </w:r>
      <w:r>
        <w:rPr>
          <w:rFonts w:asciiTheme="minorHAnsi" w:hAnsiTheme="minorHAnsi"/>
          <w:szCs w:val="24"/>
        </w:rPr>
        <w:t>under- or over-billing, the Company’s practice is to comply with</w:t>
      </w:r>
      <w:r w:rsidR="007D6517">
        <w:rPr>
          <w:rFonts w:asciiTheme="minorHAnsi" w:hAnsiTheme="minorHAnsi"/>
          <w:szCs w:val="24"/>
        </w:rPr>
        <w:t xml:space="preserve"> WAC 480-90</w:t>
      </w:r>
      <w:r>
        <w:rPr>
          <w:rFonts w:asciiTheme="minorHAnsi" w:hAnsiTheme="minorHAnsi"/>
          <w:szCs w:val="24"/>
        </w:rPr>
        <w:t>-183</w:t>
      </w:r>
      <w:r w:rsidR="007D6517">
        <w:rPr>
          <w:rFonts w:asciiTheme="minorHAnsi" w:hAnsiTheme="minorHAnsi"/>
          <w:szCs w:val="24"/>
        </w:rPr>
        <w:t xml:space="preserve"> which states the utility must “</w:t>
      </w:r>
      <w:r w:rsidR="007D6517" w:rsidRPr="007D6517">
        <w:rPr>
          <w:rFonts w:asciiTheme="minorHAnsi" w:hAnsiTheme="minorHAnsi"/>
          <w:szCs w:val="24"/>
        </w:rPr>
        <w:t>adjust the bills to the customer based on the best information available to determine the appropriate charges.”</w:t>
      </w:r>
      <w:r w:rsidR="001C0532">
        <w:rPr>
          <w:rFonts w:asciiTheme="minorHAnsi" w:hAnsiTheme="minorHAnsi"/>
          <w:szCs w:val="24"/>
        </w:rPr>
        <w:t xml:space="preserve"> </w:t>
      </w:r>
    </w:p>
    <w:p w:rsidR="007D6517" w:rsidRDefault="007D6517" w:rsidP="007D6517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Default="007D6517" w:rsidP="007D6517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While the Company does not consider unidentified usage as a m</w:t>
      </w:r>
      <w:r w:rsidR="00E21A27">
        <w:rPr>
          <w:rFonts w:asciiTheme="minorHAnsi" w:hAnsiTheme="minorHAnsi"/>
          <w:szCs w:val="24"/>
        </w:rPr>
        <w:t>etering error, for the purpose o</w:t>
      </w:r>
      <w:r>
        <w:rPr>
          <w:rFonts w:asciiTheme="minorHAnsi" w:hAnsiTheme="minorHAnsi"/>
          <w:szCs w:val="24"/>
        </w:rPr>
        <w:t>f disclosure, t</w:t>
      </w:r>
      <w:r w:rsidR="001A6090">
        <w:rPr>
          <w:rFonts w:asciiTheme="minorHAnsi" w:hAnsiTheme="minorHAnsi"/>
          <w:szCs w:val="24"/>
        </w:rPr>
        <w:t>he Company’s practice for settling billing errors related to unidentified usage is established in Rule 6 of its Tariff:</w:t>
      </w:r>
    </w:p>
    <w:p w:rsidR="001A6090" w:rsidRDefault="001A6090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1A6090" w:rsidRDefault="001A6090" w:rsidP="001A6090">
      <w:pPr>
        <w:pStyle w:val="NoSpacing"/>
        <w:spacing w:line="264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the case of tampering or unauthorized use, probabl</w:t>
      </w:r>
      <w:r w:rsidR="007D6517">
        <w:rPr>
          <w:rFonts w:asciiTheme="minorHAnsi" w:hAnsiTheme="minorHAnsi"/>
          <w:szCs w:val="24"/>
        </w:rPr>
        <w:t>e</w:t>
      </w:r>
      <w:r>
        <w:rPr>
          <w:rFonts w:asciiTheme="minorHAnsi" w:hAnsiTheme="minorHAnsi"/>
          <w:szCs w:val="24"/>
        </w:rPr>
        <w:t xml:space="preserve"> consumption will be billed as determined by the maximum quantity of gas estimated to have been consumed by the various appliances of customer and a bill will be rendered for a period encompassing six (6) months prior to the detection of such abuse and/or disconnection for cause.</w:t>
      </w: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7D6517" w:rsidRPr="00335078" w:rsidRDefault="007D6517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Pr="002142C6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2142C6">
        <w:rPr>
          <w:rFonts w:asciiTheme="minorHAnsi" w:hAnsiTheme="minorHAnsi"/>
          <w:b/>
          <w:szCs w:val="24"/>
        </w:rPr>
        <w:t>Does the company have a billing threshold before investigating zero-read meter readings or unidentified energy usage? If so, please provide information on the company’s minimum billing threshold.</w:t>
      </w:r>
    </w:p>
    <w:p w:rsidR="00456801" w:rsidRDefault="00456801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t>Response</w:t>
      </w:r>
    </w:p>
    <w:p w:rsidR="00456801" w:rsidRDefault="00B625FC" w:rsidP="002F336B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 w:rsidRPr="00782754">
        <w:rPr>
          <w:rFonts w:asciiTheme="minorHAnsi" w:hAnsiTheme="minorHAnsi"/>
          <w:szCs w:val="24"/>
        </w:rPr>
        <w:t>Yes</w:t>
      </w:r>
      <w:r w:rsidR="002F336B">
        <w:rPr>
          <w:rFonts w:asciiTheme="minorHAnsi" w:hAnsiTheme="minorHAnsi"/>
          <w:szCs w:val="24"/>
        </w:rPr>
        <w:t xml:space="preserve">, </w:t>
      </w:r>
      <w:r w:rsidR="004E2439">
        <w:rPr>
          <w:rFonts w:asciiTheme="minorHAnsi" w:hAnsiTheme="minorHAnsi"/>
          <w:szCs w:val="24"/>
        </w:rPr>
        <w:t xml:space="preserve">a report </w:t>
      </w:r>
      <w:r w:rsidR="00D87378">
        <w:rPr>
          <w:rFonts w:asciiTheme="minorHAnsi" w:hAnsiTheme="minorHAnsi"/>
          <w:szCs w:val="24"/>
        </w:rPr>
        <w:t>listing</w:t>
      </w:r>
      <w:r w:rsidR="001F4634">
        <w:rPr>
          <w:rFonts w:asciiTheme="minorHAnsi" w:hAnsiTheme="minorHAnsi"/>
          <w:szCs w:val="24"/>
        </w:rPr>
        <w:t xml:space="preserve"> abnormally high or low read</w:t>
      </w:r>
      <w:r w:rsidR="00D87378">
        <w:rPr>
          <w:rFonts w:asciiTheme="minorHAnsi" w:hAnsiTheme="minorHAnsi"/>
          <w:szCs w:val="24"/>
        </w:rPr>
        <w:t xml:space="preserve">s is automatically generated when a read </w:t>
      </w:r>
      <w:r w:rsidR="001F4634">
        <w:rPr>
          <w:rFonts w:asciiTheme="minorHAnsi" w:hAnsiTheme="minorHAnsi"/>
          <w:szCs w:val="24"/>
        </w:rPr>
        <w:t xml:space="preserve">is </w:t>
      </w:r>
      <w:r w:rsidR="00AA1F94">
        <w:rPr>
          <w:rFonts w:asciiTheme="minorHAnsi" w:hAnsiTheme="minorHAnsi"/>
          <w:szCs w:val="24"/>
        </w:rPr>
        <w:t xml:space="preserve">90% </w:t>
      </w:r>
      <w:r w:rsidR="00D87378">
        <w:rPr>
          <w:rFonts w:asciiTheme="minorHAnsi" w:hAnsiTheme="minorHAnsi"/>
          <w:szCs w:val="24"/>
        </w:rPr>
        <w:t>lower or higher than the expec</w:t>
      </w:r>
      <w:r w:rsidR="00AA1F94">
        <w:rPr>
          <w:rFonts w:asciiTheme="minorHAnsi" w:hAnsiTheme="minorHAnsi"/>
          <w:szCs w:val="24"/>
        </w:rPr>
        <w:t>ted bandwidth of normal usage</w:t>
      </w:r>
      <w:r w:rsidR="001F4634">
        <w:rPr>
          <w:rFonts w:asciiTheme="minorHAnsi" w:hAnsiTheme="minorHAnsi"/>
          <w:szCs w:val="24"/>
        </w:rPr>
        <w:t xml:space="preserve">.  </w:t>
      </w:r>
      <w:r w:rsidR="00D87378">
        <w:rPr>
          <w:rFonts w:asciiTheme="minorHAnsi" w:hAnsiTheme="minorHAnsi"/>
          <w:szCs w:val="24"/>
        </w:rPr>
        <w:t xml:space="preserve">Expected usage is 0.4 to 2.5 times </w:t>
      </w:r>
      <w:r w:rsidR="00777453">
        <w:rPr>
          <w:rFonts w:asciiTheme="minorHAnsi" w:hAnsiTheme="minorHAnsi"/>
          <w:szCs w:val="24"/>
        </w:rPr>
        <w:t xml:space="preserve">estimated </w:t>
      </w:r>
      <w:r w:rsidR="00D87378">
        <w:rPr>
          <w:rFonts w:asciiTheme="minorHAnsi" w:hAnsiTheme="minorHAnsi"/>
          <w:szCs w:val="24"/>
        </w:rPr>
        <w:t>usage based on t</w:t>
      </w:r>
      <w:r w:rsidR="001F4634">
        <w:rPr>
          <w:rFonts w:asciiTheme="minorHAnsi" w:hAnsiTheme="minorHAnsi"/>
          <w:szCs w:val="24"/>
        </w:rPr>
        <w:t xml:space="preserve">he </w:t>
      </w:r>
      <w:r w:rsidR="00D87378">
        <w:rPr>
          <w:rFonts w:asciiTheme="minorHAnsi" w:hAnsiTheme="minorHAnsi"/>
          <w:szCs w:val="24"/>
        </w:rPr>
        <w:t>demand</w:t>
      </w:r>
      <w:r w:rsidR="001F4634">
        <w:rPr>
          <w:rFonts w:asciiTheme="minorHAnsi" w:hAnsiTheme="minorHAnsi"/>
          <w:szCs w:val="24"/>
        </w:rPr>
        <w:t xml:space="preserve"> at the premise for the prior three years.  </w:t>
      </w:r>
      <w:r w:rsidR="00D87378">
        <w:rPr>
          <w:rFonts w:asciiTheme="minorHAnsi" w:hAnsiTheme="minorHAnsi"/>
          <w:szCs w:val="24"/>
        </w:rPr>
        <w:t xml:space="preserve">The reporting on low reads should alert the Company to most dead meters; however, a </w:t>
      </w:r>
      <w:r w:rsidR="00456801">
        <w:rPr>
          <w:rFonts w:asciiTheme="minorHAnsi" w:hAnsiTheme="minorHAnsi"/>
          <w:szCs w:val="24"/>
        </w:rPr>
        <w:t>zero read is not always abnormal</w:t>
      </w:r>
      <w:r w:rsidR="00D87378">
        <w:rPr>
          <w:rFonts w:asciiTheme="minorHAnsi" w:hAnsiTheme="minorHAnsi"/>
          <w:szCs w:val="24"/>
        </w:rPr>
        <w:t xml:space="preserve"> depending on whether or not the usage at the site is seasonal.</w:t>
      </w:r>
      <w:r w:rsidR="00456801">
        <w:rPr>
          <w:rFonts w:asciiTheme="minorHAnsi" w:hAnsiTheme="minorHAnsi"/>
          <w:szCs w:val="24"/>
        </w:rPr>
        <w:t xml:space="preserve"> </w:t>
      </w:r>
    </w:p>
    <w:p w:rsidR="00456801" w:rsidRDefault="00456801" w:rsidP="002F336B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456801" w:rsidRDefault="00D87378" w:rsidP="002F336B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="00456801">
        <w:rPr>
          <w:rFonts w:asciiTheme="minorHAnsi" w:hAnsiTheme="minorHAnsi"/>
          <w:szCs w:val="24"/>
        </w:rPr>
        <w:t xml:space="preserve">report </w:t>
      </w:r>
      <w:r>
        <w:rPr>
          <w:rFonts w:asciiTheme="minorHAnsi" w:hAnsiTheme="minorHAnsi"/>
          <w:szCs w:val="24"/>
        </w:rPr>
        <w:t xml:space="preserve">also alerts the Company when a </w:t>
      </w:r>
      <w:r w:rsidR="00456801">
        <w:rPr>
          <w:rFonts w:asciiTheme="minorHAnsi" w:hAnsiTheme="minorHAnsi"/>
          <w:szCs w:val="24"/>
        </w:rPr>
        <w:t xml:space="preserve">meter with no customer of record </w:t>
      </w:r>
      <w:r>
        <w:rPr>
          <w:rFonts w:asciiTheme="minorHAnsi" w:hAnsiTheme="minorHAnsi"/>
          <w:szCs w:val="24"/>
        </w:rPr>
        <w:t>registers</w:t>
      </w:r>
      <w:r w:rsidR="00456801">
        <w:rPr>
          <w:rFonts w:asciiTheme="minorHAnsi" w:hAnsiTheme="minorHAnsi"/>
          <w:szCs w:val="24"/>
        </w:rPr>
        <w:t xml:space="preserve"> any usage</w:t>
      </w:r>
      <w:r>
        <w:rPr>
          <w:rFonts w:asciiTheme="minorHAnsi" w:hAnsiTheme="minorHAnsi"/>
          <w:szCs w:val="24"/>
        </w:rPr>
        <w:t xml:space="preserve"> above zero</w:t>
      </w:r>
      <w:r w:rsidR="00456801">
        <w:rPr>
          <w:rFonts w:asciiTheme="minorHAnsi" w:hAnsiTheme="minorHAnsi"/>
          <w:szCs w:val="24"/>
        </w:rPr>
        <w:t>.  When unidentified e</w:t>
      </w:r>
      <w:r w:rsidR="004C7AFE">
        <w:rPr>
          <w:rFonts w:asciiTheme="minorHAnsi" w:hAnsiTheme="minorHAnsi"/>
          <w:szCs w:val="24"/>
        </w:rPr>
        <w:t>nergy usage is discovered, the C</w:t>
      </w:r>
      <w:r w:rsidR="00456801">
        <w:rPr>
          <w:rFonts w:asciiTheme="minorHAnsi" w:hAnsiTheme="minorHAnsi"/>
          <w:szCs w:val="24"/>
        </w:rPr>
        <w:t xml:space="preserve">ompany places a door hanger on the premise asking the occupant to establish service within 48 hours.  If service is not established within that timeframe, the service is disconnected. </w:t>
      </w:r>
    </w:p>
    <w:p w:rsidR="005C76D1" w:rsidRDefault="005C76D1" w:rsidP="005C76D1">
      <w:pPr>
        <w:pStyle w:val="NoSpacing"/>
        <w:spacing w:line="264" w:lineRule="auto"/>
        <w:rPr>
          <w:rFonts w:asciiTheme="minorHAnsi" w:hAnsiTheme="minorHAnsi"/>
          <w:szCs w:val="24"/>
        </w:rPr>
      </w:pPr>
    </w:p>
    <w:p w:rsidR="00B625FC" w:rsidRPr="002142C6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2142C6">
        <w:rPr>
          <w:rFonts w:asciiTheme="minorHAnsi" w:hAnsiTheme="minorHAnsi"/>
          <w:b/>
          <w:szCs w:val="24"/>
        </w:rPr>
        <w:t>Does the company have specific goals regarding the identification and resolution of stopped meters and unidentified energy usage meters?</w:t>
      </w: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2F336B" w:rsidRDefault="002F336B" w:rsidP="002F336B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t>Response</w:t>
      </w:r>
    </w:p>
    <w:p w:rsidR="00B625FC" w:rsidRDefault="002F336B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No.  The Company </w:t>
      </w:r>
      <w:r w:rsidR="00F21D78">
        <w:rPr>
          <w:rFonts w:asciiTheme="minorHAnsi" w:hAnsiTheme="minorHAnsi"/>
          <w:szCs w:val="24"/>
        </w:rPr>
        <w:t xml:space="preserve">has no specific goal for identifying and resolving </w:t>
      </w:r>
      <w:r w:rsidR="00F21D78" w:rsidRPr="00335078">
        <w:rPr>
          <w:rFonts w:asciiTheme="minorHAnsi" w:hAnsiTheme="minorHAnsi"/>
          <w:szCs w:val="24"/>
        </w:rPr>
        <w:t>stopped meters and unidentified energy usage meters</w:t>
      </w:r>
      <w:r w:rsidR="00F21D78">
        <w:rPr>
          <w:rFonts w:asciiTheme="minorHAnsi" w:hAnsiTheme="minorHAnsi"/>
          <w:szCs w:val="24"/>
        </w:rPr>
        <w:t>, and believes goals are unnecessary since the Company manages the issue in a reasonable manner by investigating</w:t>
      </w:r>
      <w:r>
        <w:rPr>
          <w:rFonts w:asciiTheme="minorHAnsi" w:hAnsiTheme="minorHAnsi"/>
          <w:szCs w:val="24"/>
        </w:rPr>
        <w:t xml:space="preserve"> meter read anomalies on daily basis</w:t>
      </w:r>
      <w:r w:rsidR="00F21D78">
        <w:rPr>
          <w:rFonts w:asciiTheme="minorHAnsi" w:hAnsiTheme="minorHAnsi"/>
          <w:szCs w:val="24"/>
        </w:rPr>
        <w:t xml:space="preserve">, complying </w:t>
      </w:r>
      <w:r w:rsidR="002142C6">
        <w:rPr>
          <w:rFonts w:asciiTheme="minorHAnsi" w:hAnsiTheme="minorHAnsi"/>
          <w:szCs w:val="24"/>
        </w:rPr>
        <w:t>with meter testing requirements</w:t>
      </w:r>
      <w:r w:rsidR="00F21D78">
        <w:rPr>
          <w:rFonts w:asciiTheme="minorHAnsi" w:hAnsiTheme="minorHAnsi"/>
          <w:szCs w:val="24"/>
        </w:rPr>
        <w:t xml:space="preserve">, and responding to customer inquiries on billings. </w:t>
      </w:r>
    </w:p>
    <w:p w:rsidR="002142C6" w:rsidRPr="00335078" w:rsidRDefault="002142C6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</w:rPr>
      </w:pPr>
    </w:p>
    <w:p w:rsidR="00B625FC" w:rsidRPr="002142C6" w:rsidRDefault="00B625FC" w:rsidP="00B625FC">
      <w:pPr>
        <w:pStyle w:val="NoSpacing"/>
        <w:numPr>
          <w:ilvl w:val="0"/>
          <w:numId w:val="2"/>
        </w:numPr>
        <w:spacing w:line="264" w:lineRule="auto"/>
        <w:rPr>
          <w:rFonts w:asciiTheme="minorHAnsi" w:hAnsiTheme="minorHAnsi"/>
          <w:b/>
          <w:szCs w:val="24"/>
        </w:rPr>
      </w:pPr>
      <w:r w:rsidRPr="002142C6">
        <w:rPr>
          <w:rFonts w:asciiTheme="minorHAnsi" w:hAnsiTheme="minorHAnsi"/>
          <w:b/>
          <w:szCs w:val="24"/>
        </w:rPr>
        <w:t>What types of reports does the company generate to help identify stopped meter and unidentified usage meter problems?</w:t>
      </w: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</w:p>
    <w:p w:rsidR="00B625FC" w:rsidRDefault="00B625FC" w:rsidP="00B625FC">
      <w:pPr>
        <w:pStyle w:val="NoSpacing"/>
        <w:spacing w:line="264" w:lineRule="auto"/>
        <w:ind w:left="720"/>
        <w:rPr>
          <w:rFonts w:asciiTheme="minorHAnsi" w:hAnsiTheme="minorHAnsi"/>
          <w:szCs w:val="24"/>
          <w:u w:val="single"/>
        </w:rPr>
      </w:pPr>
      <w:r w:rsidRPr="00335078">
        <w:rPr>
          <w:rFonts w:asciiTheme="minorHAnsi" w:hAnsiTheme="minorHAnsi"/>
          <w:szCs w:val="24"/>
          <w:u w:val="single"/>
        </w:rPr>
        <w:t>Response</w:t>
      </w:r>
    </w:p>
    <w:p w:rsidR="005C5895" w:rsidRDefault="002142C6" w:rsidP="002142C6">
      <w:pPr>
        <w:pStyle w:val="NoSpacing"/>
        <w:tabs>
          <w:tab w:val="left" w:pos="630"/>
        </w:tabs>
        <w:spacing w:line="264" w:lineRule="auto"/>
        <w:ind w:left="720"/>
        <w:rPr>
          <w:rFonts w:asciiTheme="minorHAnsi" w:hAnsiTheme="minorHAnsi"/>
          <w:szCs w:val="24"/>
        </w:rPr>
      </w:pPr>
      <w:r w:rsidRPr="00D87378">
        <w:rPr>
          <w:rFonts w:asciiTheme="minorHAnsi" w:hAnsiTheme="minorHAnsi"/>
          <w:szCs w:val="24"/>
        </w:rPr>
        <w:t xml:space="preserve">A daily report of high and low reads is automatically generated in the </w:t>
      </w:r>
      <w:r w:rsidR="00723CC0" w:rsidRPr="00D87378">
        <w:rPr>
          <w:rFonts w:asciiTheme="minorHAnsi" w:hAnsiTheme="minorHAnsi"/>
          <w:szCs w:val="24"/>
        </w:rPr>
        <w:t>Company’s</w:t>
      </w:r>
      <w:r w:rsidRPr="00D87378">
        <w:rPr>
          <w:rFonts w:asciiTheme="minorHAnsi" w:hAnsiTheme="minorHAnsi"/>
          <w:szCs w:val="24"/>
        </w:rPr>
        <w:t xml:space="preserve"> billing system. </w:t>
      </w:r>
      <w:r w:rsidR="005C5895" w:rsidRPr="00D87378">
        <w:rPr>
          <w:rFonts w:asciiTheme="minorHAnsi" w:hAnsiTheme="minorHAnsi"/>
          <w:szCs w:val="24"/>
        </w:rPr>
        <w:t xml:space="preserve"> </w:t>
      </w:r>
      <w:r w:rsidR="00D87378" w:rsidRPr="00D87378">
        <w:rPr>
          <w:rFonts w:asciiTheme="minorHAnsi" w:hAnsiTheme="minorHAnsi"/>
          <w:szCs w:val="24"/>
        </w:rPr>
        <w:t>As described in response to question number 4, a high or low bill is one that is 90% outside the range of normal which is 0.4 to 2.5 times expected use based on the prior on three years of historic usage.</w:t>
      </w:r>
      <w:r>
        <w:rPr>
          <w:rFonts w:asciiTheme="minorHAnsi" w:hAnsiTheme="minorHAnsi"/>
          <w:szCs w:val="24"/>
        </w:rPr>
        <w:t xml:space="preserve"> </w:t>
      </w:r>
    </w:p>
    <w:p w:rsidR="005C5895" w:rsidRDefault="005C5895" w:rsidP="002142C6">
      <w:pPr>
        <w:pStyle w:val="NoSpacing"/>
        <w:tabs>
          <w:tab w:val="left" w:pos="630"/>
        </w:tabs>
        <w:spacing w:line="264" w:lineRule="auto"/>
        <w:ind w:left="720"/>
        <w:rPr>
          <w:rFonts w:asciiTheme="minorHAnsi" w:hAnsiTheme="minorHAnsi"/>
          <w:szCs w:val="24"/>
        </w:rPr>
      </w:pPr>
    </w:p>
    <w:p w:rsidR="00723CC0" w:rsidRDefault="002142C6" w:rsidP="002142C6">
      <w:pPr>
        <w:pStyle w:val="NoSpacing"/>
        <w:tabs>
          <w:tab w:val="left" w:pos="630"/>
        </w:tabs>
        <w:spacing w:line="264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Billing personnel </w:t>
      </w:r>
      <w:r w:rsidR="00723CC0">
        <w:rPr>
          <w:rFonts w:asciiTheme="minorHAnsi" w:hAnsiTheme="minorHAnsi"/>
          <w:szCs w:val="24"/>
        </w:rPr>
        <w:t xml:space="preserve">manually review the report and </w:t>
      </w:r>
      <w:r>
        <w:rPr>
          <w:rFonts w:asciiTheme="minorHAnsi" w:hAnsiTheme="minorHAnsi"/>
          <w:szCs w:val="24"/>
        </w:rPr>
        <w:t xml:space="preserve">determine if </w:t>
      </w:r>
      <w:r w:rsidR="00723CC0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 xml:space="preserve"> bill should be issued in accordance with the meter read or if a service request for a meter check </w:t>
      </w:r>
      <w:r w:rsidR="005B44E0">
        <w:rPr>
          <w:rFonts w:asciiTheme="minorHAnsi" w:hAnsiTheme="minorHAnsi"/>
          <w:szCs w:val="24"/>
        </w:rPr>
        <w:t>is necessary</w:t>
      </w:r>
      <w:r>
        <w:rPr>
          <w:rFonts w:asciiTheme="minorHAnsi" w:hAnsiTheme="minorHAnsi"/>
          <w:szCs w:val="24"/>
        </w:rPr>
        <w:t>.  Based</w:t>
      </w:r>
      <w:r w:rsidR="00825528">
        <w:rPr>
          <w:rFonts w:asciiTheme="minorHAnsi" w:hAnsiTheme="minorHAnsi"/>
          <w:szCs w:val="24"/>
        </w:rPr>
        <w:t xml:space="preserve"> on the findings of a meter check</w:t>
      </w:r>
      <w:r>
        <w:rPr>
          <w:rFonts w:asciiTheme="minorHAnsi" w:hAnsiTheme="minorHAnsi"/>
          <w:szCs w:val="24"/>
        </w:rPr>
        <w:t xml:space="preserve">, field personnel will either validate the </w:t>
      </w:r>
      <w:r w:rsidR="00723CC0">
        <w:rPr>
          <w:rFonts w:asciiTheme="minorHAnsi" w:hAnsiTheme="minorHAnsi"/>
          <w:szCs w:val="24"/>
        </w:rPr>
        <w:t>accuracy of the meter and the bill will be issued, or the meter will be replaced</w:t>
      </w:r>
      <w:r>
        <w:rPr>
          <w:rFonts w:asciiTheme="minorHAnsi" w:hAnsiTheme="minorHAnsi"/>
          <w:szCs w:val="24"/>
        </w:rPr>
        <w:t xml:space="preserve">.  If the meter </w:t>
      </w:r>
      <w:r w:rsidR="00723CC0">
        <w:rPr>
          <w:rFonts w:asciiTheme="minorHAnsi" w:hAnsiTheme="minorHAnsi"/>
          <w:szCs w:val="24"/>
        </w:rPr>
        <w:t>is</w:t>
      </w:r>
      <w:r>
        <w:rPr>
          <w:rFonts w:asciiTheme="minorHAnsi" w:hAnsiTheme="minorHAnsi"/>
          <w:szCs w:val="24"/>
        </w:rPr>
        <w:t xml:space="preserve"> replaced, </w:t>
      </w:r>
      <w:r w:rsidR="00723CC0">
        <w:rPr>
          <w:rFonts w:asciiTheme="minorHAnsi" w:hAnsiTheme="minorHAnsi"/>
          <w:szCs w:val="24"/>
        </w:rPr>
        <w:t xml:space="preserve">an estimated bill is issued using the usage patterns for the same timeframe for </w:t>
      </w:r>
      <w:r w:rsidR="00E21A27">
        <w:rPr>
          <w:rFonts w:asciiTheme="minorHAnsi" w:hAnsiTheme="minorHAnsi"/>
          <w:szCs w:val="24"/>
        </w:rPr>
        <w:t xml:space="preserve">the </w:t>
      </w:r>
      <w:bookmarkStart w:id="0" w:name="_GoBack"/>
      <w:bookmarkEnd w:id="0"/>
      <w:r w:rsidR="00723CC0">
        <w:rPr>
          <w:rFonts w:asciiTheme="minorHAnsi" w:hAnsiTheme="minorHAnsi"/>
          <w:szCs w:val="24"/>
        </w:rPr>
        <w:t xml:space="preserve">prior three years.  </w:t>
      </w:r>
    </w:p>
    <w:p w:rsidR="00142338" w:rsidRPr="007B495B" w:rsidRDefault="00142338" w:rsidP="0075226E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CE0380" w:rsidRPr="007B495B" w:rsidRDefault="00713353" w:rsidP="00CE0380">
      <w:pPr>
        <w:jc w:val="both"/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If you have any questions</w:t>
      </w:r>
      <w:r w:rsidR="0075226E" w:rsidRPr="007B495B">
        <w:rPr>
          <w:rFonts w:asciiTheme="minorHAnsi" w:eastAsia="Calibri" w:hAnsiTheme="minorHAnsi"/>
          <w:sz w:val="24"/>
          <w:szCs w:val="24"/>
        </w:rPr>
        <w:t xml:space="preserve"> regarding this report,</w:t>
      </w:r>
      <w:r w:rsidR="00CE0380" w:rsidRPr="007B495B">
        <w:rPr>
          <w:rFonts w:asciiTheme="minorHAnsi" w:eastAsia="Calibri" w:hAnsiTheme="minorHAnsi"/>
          <w:sz w:val="24"/>
          <w:szCs w:val="24"/>
        </w:rPr>
        <w:t xml:space="preserve"> please contact me at</w:t>
      </w:r>
      <w:r w:rsidR="00DA4C1C" w:rsidRPr="007B495B">
        <w:rPr>
          <w:rFonts w:asciiTheme="minorHAnsi" w:eastAsia="Calibri" w:hAnsiTheme="minorHAnsi"/>
          <w:sz w:val="24"/>
          <w:szCs w:val="24"/>
        </w:rPr>
        <w:t xml:space="preserve"> </w:t>
      </w:r>
      <w:r w:rsidR="00CE0380" w:rsidRPr="007B495B">
        <w:rPr>
          <w:rFonts w:asciiTheme="minorHAnsi" w:eastAsia="Calibri" w:hAnsiTheme="minorHAnsi"/>
          <w:sz w:val="24"/>
          <w:szCs w:val="24"/>
        </w:rPr>
        <w:t>(509) 734-459</w:t>
      </w:r>
      <w:r w:rsidR="0075226E" w:rsidRPr="007B495B">
        <w:rPr>
          <w:rFonts w:asciiTheme="minorHAnsi" w:eastAsia="Calibri" w:hAnsiTheme="minorHAnsi"/>
          <w:sz w:val="24"/>
          <w:szCs w:val="24"/>
        </w:rPr>
        <w:t>3</w:t>
      </w:r>
      <w:r w:rsidR="00CE0380" w:rsidRPr="007B495B">
        <w:rPr>
          <w:rFonts w:asciiTheme="minorHAnsi" w:eastAsia="Calibri" w:hAnsiTheme="minorHAnsi"/>
          <w:sz w:val="24"/>
          <w:szCs w:val="24"/>
        </w:rPr>
        <w:t>.</w:t>
      </w: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Sincerely,</w:t>
      </w: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Default="00142338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Pr="007B495B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Michael Parvinen</w:t>
      </w: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Director, Regulatory Affairs</w:t>
      </w:r>
    </w:p>
    <w:p w:rsidR="00436CAD" w:rsidRPr="007B495B" w:rsidRDefault="00436CAD">
      <w:pPr>
        <w:jc w:val="both"/>
        <w:rPr>
          <w:rFonts w:asciiTheme="minorHAnsi" w:eastAsia="Calibri" w:hAnsiTheme="minorHAnsi"/>
          <w:sz w:val="24"/>
          <w:szCs w:val="24"/>
        </w:rPr>
      </w:pPr>
    </w:p>
    <w:sectPr w:rsidR="00436CAD" w:rsidRPr="007B495B" w:rsidSect="007B495B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2D379A" wp14:editId="00BAC81F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>A-144155, CNG’s Comments</w:t>
    </w:r>
  </w:p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>May 15, 2015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5D3761">
      <w:rPr>
        <w:rFonts w:asciiTheme="minorHAnsi" w:hAnsiTheme="minorHAnsi"/>
        <w:noProof/>
        <w:sz w:val="24"/>
        <w:szCs w:val="24"/>
      </w:rPr>
      <w:t>3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357AB"/>
    <w:rsid w:val="00095DE4"/>
    <w:rsid w:val="000A798E"/>
    <w:rsid w:val="00142338"/>
    <w:rsid w:val="001A6090"/>
    <w:rsid w:val="001C0532"/>
    <w:rsid w:val="001C2949"/>
    <w:rsid w:val="001D4C42"/>
    <w:rsid w:val="001F4634"/>
    <w:rsid w:val="002142C6"/>
    <w:rsid w:val="00224BAF"/>
    <w:rsid w:val="00261259"/>
    <w:rsid w:val="002745E2"/>
    <w:rsid w:val="00281273"/>
    <w:rsid w:val="002850C2"/>
    <w:rsid w:val="00296C59"/>
    <w:rsid w:val="002B12F4"/>
    <w:rsid w:val="002B2D6A"/>
    <w:rsid w:val="002C5834"/>
    <w:rsid w:val="002F336B"/>
    <w:rsid w:val="002F47FD"/>
    <w:rsid w:val="00301CFD"/>
    <w:rsid w:val="00327305"/>
    <w:rsid w:val="003533B3"/>
    <w:rsid w:val="00394493"/>
    <w:rsid w:val="00397FF1"/>
    <w:rsid w:val="003E3A49"/>
    <w:rsid w:val="003F25D1"/>
    <w:rsid w:val="004000F2"/>
    <w:rsid w:val="004016C0"/>
    <w:rsid w:val="00412F14"/>
    <w:rsid w:val="00436CAD"/>
    <w:rsid w:val="00441C07"/>
    <w:rsid w:val="00456801"/>
    <w:rsid w:val="00460398"/>
    <w:rsid w:val="00473FCA"/>
    <w:rsid w:val="00482484"/>
    <w:rsid w:val="00497470"/>
    <w:rsid w:val="004C7AFE"/>
    <w:rsid w:val="004E2439"/>
    <w:rsid w:val="00503C10"/>
    <w:rsid w:val="00505720"/>
    <w:rsid w:val="005263D6"/>
    <w:rsid w:val="005370B6"/>
    <w:rsid w:val="005B44E0"/>
    <w:rsid w:val="005C5895"/>
    <w:rsid w:val="005C76D1"/>
    <w:rsid w:val="005D3761"/>
    <w:rsid w:val="005F31EA"/>
    <w:rsid w:val="006058C1"/>
    <w:rsid w:val="006E4E4B"/>
    <w:rsid w:val="006E537D"/>
    <w:rsid w:val="006F1A4E"/>
    <w:rsid w:val="00713353"/>
    <w:rsid w:val="00723CC0"/>
    <w:rsid w:val="0075226E"/>
    <w:rsid w:val="00777453"/>
    <w:rsid w:val="007975E0"/>
    <w:rsid w:val="007B495B"/>
    <w:rsid w:val="007B648C"/>
    <w:rsid w:val="007D6517"/>
    <w:rsid w:val="00800ECE"/>
    <w:rsid w:val="00825528"/>
    <w:rsid w:val="00860AE1"/>
    <w:rsid w:val="008A0B19"/>
    <w:rsid w:val="008B35BE"/>
    <w:rsid w:val="008C0D1D"/>
    <w:rsid w:val="00904B3A"/>
    <w:rsid w:val="00916E3A"/>
    <w:rsid w:val="00952ADB"/>
    <w:rsid w:val="00964C01"/>
    <w:rsid w:val="00974BF1"/>
    <w:rsid w:val="009A2265"/>
    <w:rsid w:val="00A63BFD"/>
    <w:rsid w:val="00A80CD6"/>
    <w:rsid w:val="00AA1F94"/>
    <w:rsid w:val="00B01693"/>
    <w:rsid w:val="00B15BF6"/>
    <w:rsid w:val="00B5582E"/>
    <w:rsid w:val="00B625FC"/>
    <w:rsid w:val="00BB6A57"/>
    <w:rsid w:val="00C46A29"/>
    <w:rsid w:val="00C74467"/>
    <w:rsid w:val="00CC62E7"/>
    <w:rsid w:val="00CE0380"/>
    <w:rsid w:val="00D07E55"/>
    <w:rsid w:val="00D46C5E"/>
    <w:rsid w:val="00D87378"/>
    <w:rsid w:val="00DA4C1C"/>
    <w:rsid w:val="00DB5F7D"/>
    <w:rsid w:val="00DF2B45"/>
    <w:rsid w:val="00E0715E"/>
    <w:rsid w:val="00E21A27"/>
    <w:rsid w:val="00E371C5"/>
    <w:rsid w:val="00E50840"/>
    <w:rsid w:val="00E67BA4"/>
    <w:rsid w:val="00EB5565"/>
    <w:rsid w:val="00EE2A65"/>
    <w:rsid w:val="00F21D78"/>
    <w:rsid w:val="00F924CC"/>
    <w:rsid w:val="00F9645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2014-12-24T08:00:00+00:00</OpenedDate>
    <Date1 xmlns="dc463f71-b30c-4ab2-9473-d307f9d35888">2015-05-14T07:00:00+00:00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06AECD-1A79-4075-9DC4-E212AFCDE748}"/>
</file>

<file path=customXml/itemProps2.xml><?xml version="1.0" encoding="utf-8"?>
<ds:datastoreItem xmlns:ds="http://schemas.openxmlformats.org/officeDocument/2006/customXml" ds:itemID="{D87EFC83-0925-44C2-AE03-8BBFFF515736}"/>
</file>

<file path=customXml/itemProps3.xml><?xml version="1.0" encoding="utf-8"?>
<ds:datastoreItem xmlns:ds="http://schemas.openxmlformats.org/officeDocument/2006/customXml" ds:itemID="{C81B7CCA-221A-4445-B64B-83C857BE5523}"/>
</file>

<file path=customXml/itemProps4.xml><?xml version="1.0" encoding="utf-8"?>
<ds:datastoreItem xmlns:ds="http://schemas.openxmlformats.org/officeDocument/2006/customXml" ds:itemID="{16879EB6-2384-4639-81B4-B99F7B478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4688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26</cp:revision>
  <cp:lastPrinted>2015-05-14T23:03:00Z</cp:lastPrinted>
  <dcterms:created xsi:type="dcterms:W3CDTF">2015-05-08T00:11:00Z</dcterms:created>
  <dcterms:modified xsi:type="dcterms:W3CDTF">2015-05-14T23:05:00Z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_docset_NoMedatataSyncRequired">
    <vt:lpwstr>False</vt:lpwstr>
  </property>
</Properties>
</file>