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2F" w:rsidRDefault="00B15E2F" w:rsidP="00B15E2F">
      <w:pPr>
        <w:pStyle w:val="NoSpacing"/>
        <w:rPr>
          <w:rFonts w:ascii="Times New Roman" w:hAnsi="Times New Roman" w:cs="Times New Roman"/>
          <w:sz w:val="24"/>
          <w:szCs w:val="24"/>
        </w:rPr>
      </w:pPr>
      <w:bookmarkStart w:id="0" w:name="_GoBack"/>
      <w:bookmarkEnd w:id="0"/>
    </w:p>
    <w:p w:rsid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E408AB" w:rsidRDefault="00E408AB" w:rsidP="00B15E2F">
      <w:pPr>
        <w:pStyle w:val="NoSpacing"/>
        <w:rPr>
          <w:rFonts w:ascii="Times New Roman" w:hAnsi="Times New Roman" w:cs="Times New Roman"/>
          <w:sz w:val="24"/>
          <w:szCs w:val="24"/>
        </w:rPr>
      </w:pP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July 11, 2014</w:t>
      </w:r>
    </w:p>
    <w:p w:rsidR="00B15E2F" w:rsidRDefault="00B15E2F" w:rsidP="00B15E2F">
      <w:pPr>
        <w:pStyle w:val="NoSpacing"/>
        <w:rPr>
          <w:rFonts w:ascii="Times New Roman" w:hAnsi="Times New Roman" w:cs="Times New Roman"/>
          <w:b/>
          <w:sz w:val="24"/>
          <w:szCs w:val="24"/>
          <w:u w:val="single"/>
        </w:rPr>
      </w:pPr>
    </w:p>
    <w:p w:rsidR="00B15E2F" w:rsidRPr="00B15E2F" w:rsidRDefault="00E4574D" w:rsidP="00B15E2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SENT VIA WEB-PORTAL</w:t>
      </w:r>
    </w:p>
    <w:p w:rsidR="00B15E2F" w:rsidRPr="00B15E2F" w:rsidRDefault="007D0E07" w:rsidP="00B15E2F">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B15E2F" w:rsidRPr="00B15E2F">
        <w:rPr>
          <w:rFonts w:ascii="Times New Roman" w:hAnsi="Times New Roman" w:cs="Times New Roman"/>
          <w:sz w:val="24"/>
          <w:szCs w:val="24"/>
        </w:rPr>
        <w:t>Steven V. King</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Executive Director and Secretary</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Washington Utilities and Transportation Commission</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1300 S. Evergreen Park Dr. S.W.</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 xml:space="preserve">P. O. Box 47250 </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Olympia, Washington  98504-7250</w:t>
      </w:r>
    </w:p>
    <w:p w:rsidR="00B15E2F" w:rsidRPr="00B15E2F" w:rsidRDefault="00B15E2F" w:rsidP="00B15E2F">
      <w:pPr>
        <w:pStyle w:val="NoSpacing"/>
        <w:rPr>
          <w:rFonts w:ascii="Times New Roman" w:hAnsi="Times New Roman" w:cs="Times New Roman"/>
          <w:sz w:val="24"/>
          <w:szCs w:val="24"/>
        </w:rPr>
      </w:pPr>
    </w:p>
    <w:p w:rsidR="00E74DA6" w:rsidRPr="00E74DA6" w:rsidRDefault="00B15E2F" w:rsidP="00E74DA6">
      <w:pPr>
        <w:spacing w:line="240" w:lineRule="auto"/>
        <w:ind w:left="720" w:hanging="720"/>
        <w:jc w:val="both"/>
        <w:rPr>
          <w:rFonts w:ascii="Times New Roman" w:hAnsi="Times New Roman" w:cs="Times New Roman"/>
          <w:sz w:val="24"/>
          <w:szCs w:val="24"/>
        </w:rPr>
      </w:pPr>
      <w:r w:rsidRPr="00B15E2F">
        <w:rPr>
          <w:rFonts w:ascii="Times New Roman" w:hAnsi="Times New Roman" w:cs="Times New Roman"/>
          <w:sz w:val="24"/>
          <w:szCs w:val="24"/>
        </w:rPr>
        <w:t>Re:</w:t>
      </w:r>
      <w:r w:rsidRPr="00E74DA6">
        <w:rPr>
          <w:rFonts w:ascii="Times New Roman" w:hAnsi="Times New Roman" w:cs="Times New Roman"/>
          <w:sz w:val="24"/>
          <w:szCs w:val="24"/>
        </w:rPr>
        <w:tab/>
      </w:r>
      <w:r w:rsidR="00E74DA6" w:rsidRPr="00E74DA6">
        <w:rPr>
          <w:rFonts w:ascii="Times New Roman" w:hAnsi="Times New Roman" w:cs="Times New Roman"/>
          <w:sz w:val="24"/>
          <w:szCs w:val="24"/>
        </w:rPr>
        <w:t xml:space="preserve">Avista Corporation d/b/a Avista Utilities, Report concerning its progress in meeting its conservation target during the preceding biennium, </w:t>
      </w:r>
      <w:r w:rsidR="00E74DA6" w:rsidRPr="00E74DA6">
        <w:rPr>
          <w:rFonts w:ascii="Times New Roman" w:hAnsi="Times New Roman" w:cs="Times New Roman"/>
          <w:sz w:val="24"/>
          <w:szCs w:val="24"/>
        </w:rPr>
        <w:tab/>
        <w:t>Docket UE-111882</w:t>
      </w:r>
    </w:p>
    <w:p w:rsidR="00B15E2F" w:rsidRPr="00E74DA6" w:rsidRDefault="00E74DA6" w:rsidP="00E74DA6">
      <w:pPr>
        <w:spacing w:line="240" w:lineRule="auto"/>
        <w:ind w:left="720" w:hanging="720"/>
        <w:jc w:val="both"/>
        <w:rPr>
          <w:rFonts w:ascii="Times New Roman" w:hAnsi="Times New Roman" w:cs="Times New Roman"/>
          <w:sz w:val="24"/>
          <w:szCs w:val="24"/>
        </w:rPr>
      </w:pPr>
      <w:r w:rsidRPr="00E74DA6">
        <w:rPr>
          <w:rFonts w:ascii="Times New Roman" w:hAnsi="Times New Roman" w:cs="Times New Roman"/>
          <w:sz w:val="24"/>
          <w:szCs w:val="24"/>
        </w:rPr>
        <w:tab/>
        <w:t>Avista Corporation d/b/a Avista Utilities, Prudence of natural gas demand side management program expenditures during the prior tw</w:t>
      </w:r>
      <w:r>
        <w:rPr>
          <w:rFonts w:ascii="Times New Roman" w:hAnsi="Times New Roman" w:cs="Times New Roman"/>
          <w:sz w:val="24"/>
          <w:szCs w:val="24"/>
        </w:rPr>
        <w:t>o years, Docket UG-141215</w:t>
      </w:r>
    </w:p>
    <w:p w:rsidR="00B15E2F" w:rsidRPr="002D4B41" w:rsidRDefault="00B15E2F" w:rsidP="00B15E2F">
      <w:pPr>
        <w:rPr>
          <w:rFonts w:ascii="Times New Roman" w:hAnsi="Times New Roman"/>
          <w:sz w:val="24"/>
        </w:rPr>
      </w:pPr>
      <w:r w:rsidRPr="002D4B41">
        <w:rPr>
          <w:rFonts w:ascii="Times New Roman" w:hAnsi="Times New Roman"/>
          <w:sz w:val="24"/>
        </w:rPr>
        <w:t>Dear Mr. King,</w:t>
      </w:r>
    </w:p>
    <w:p w:rsidR="005A7198" w:rsidRDefault="00EC5A48">
      <w:pPr>
        <w:rPr>
          <w:rFonts w:ascii="Times New Roman" w:hAnsi="Times New Roman" w:cs="Times New Roman"/>
          <w:sz w:val="24"/>
          <w:szCs w:val="24"/>
        </w:rPr>
      </w:pPr>
      <w:r>
        <w:rPr>
          <w:rFonts w:ascii="Times New Roman" w:hAnsi="Times New Roman" w:cs="Times New Roman"/>
          <w:sz w:val="24"/>
          <w:szCs w:val="24"/>
        </w:rPr>
        <w:t>Public Counsel submits these additional comments, as a follow-up to the</w:t>
      </w:r>
      <w:r w:rsidR="00CE5C4A">
        <w:rPr>
          <w:rFonts w:ascii="Times New Roman" w:hAnsi="Times New Roman" w:cs="Times New Roman"/>
          <w:sz w:val="24"/>
          <w:szCs w:val="24"/>
        </w:rPr>
        <w:t xml:space="preserve"> comments filed June 30, 2014.  We provide our recommendation regarding Avista’s conservation acquisition toward its 2012-2013 biennial electric conservation target.  Second, we discuss Staff’s proposed approach for review of prudence of demand side management (DSM) programs.  Third, we discuss our ongoing review rel</w:t>
      </w:r>
      <w:r w:rsidR="00F458E4">
        <w:rPr>
          <w:rFonts w:ascii="Times New Roman" w:hAnsi="Times New Roman" w:cs="Times New Roman"/>
          <w:sz w:val="24"/>
          <w:szCs w:val="24"/>
        </w:rPr>
        <w:t>ated to Avista’s filing regarding the prudency of its conservation programs for 2012-2013</w:t>
      </w:r>
      <w:r w:rsidR="00CE5C4A">
        <w:rPr>
          <w:rFonts w:ascii="Times New Roman" w:hAnsi="Times New Roman" w:cs="Times New Roman"/>
          <w:sz w:val="24"/>
          <w:szCs w:val="24"/>
        </w:rPr>
        <w:t xml:space="preserve">.  </w:t>
      </w:r>
    </w:p>
    <w:p w:rsidR="00EC5A48" w:rsidRDefault="00F458E4">
      <w:pPr>
        <w:rPr>
          <w:rFonts w:ascii="Times New Roman" w:hAnsi="Times New Roman" w:cs="Times New Roman"/>
          <w:sz w:val="24"/>
          <w:szCs w:val="24"/>
        </w:rPr>
      </w:pPr>
      <w:r>
        <w:rPr>
          <w:rFonts w:ascii="Times New Roman" w:hAnsi="Times New Roman" w:cs="Times New Roman"/>
          <w:sz w:val="24"/>
          <w:szCs w:val="24"/>
        </w:rPr>
        <w:t xml:space="preserve">Avista has more than met its biennial conservation target for 2012-2013 and in so doing, has achieved significant results to acquire cost-effective conservation, as described in our prior comments.  </w:t>
      </w:r>
      <w:r w:rsidR="00CE5C4A">
        <w:rPr>
          <w:rFonts w:ascii="Times New Roman" w:hAnsi="Times New Roman" w:cs="Times New Roman"/>
          <w:sz w:val="24"/>
          <w:szCs w:val="24"/>
        </w:rPr>
        <w:t xml:space="preserve">We </w:t>
      </w:r>
      <w:r>
        <w:rPr>
          <w:rFonts w:ascii="Times New Roman" w:hAnsi="Times New Roman" w:cs="Times New Roman"/>
          <w:sz w:val="24"/>
          <w:szCs w:val="24"/>
        </w:rPr>
        <w:t xml:space="preserve">would also like to recognize </w:t>
      </w:r>
      <w:r w:rsidR="00C74EF6">
        <w:rPr>
          <w:rFonts w:ascii="Times New Roman" w:hAnsi="Times New Roman" w:cs="Times New Roman"/>
          <w:sz w:val="24"/>
          <w:szCs w:val="24"/>
        </w:rPr>
        <w:t xml:space="preserve">and thank the Company for its </w:t>
      </w:r>
      <w:r w:rsidR="006744A2">
        <w:rPr>
          <w:rFonts w:ascii="Times New Roman" w:hAnsi="Times New Roman" w:cs="Times New Roman"/>
          <w:sz w:val="24"/>
          <w:szCs w:val="24"/>
        </w:rPr>
        <w:t xml:space="preserve">timely </w:t>
      </w:r>
      <w:r w:rsidR="00EC5A48">
        <w:rPr>
          <w:rFonts w:ascii="Times New Roman" w:hAnsi="Times New Roman" w:cs="Times New Roman"/>
          <w:sz w:val="24"/>
          <w:szCs w:val="24"/>
        </w:rPr>
        <w:t>respon</w:t>
      </w:r>
      <w:r w:rsidR="006744A2">
        <w:rPr>
          <w:rFonts w:ascii="Times New Roman" w:hAnsi="Times New Roman" w:cs="Times New Roman"/>
          <w:sz w:val="24"/>
          <w:szCs w:val="24"/>
        </w:rPr>
        <w:t>ses</w:t>
      </w:r>
      <w:r w:rsidR="00EC5A48">
        <w:rPr>
          <w:rFonts w:ascii="Times New Roman" w:hAnsi="Times New Roman" w:cs="Times New Roman"/>
          <w:sz w:val="24"/>
          <w:szCs w:val="24"/>
        </w:rPr>
        <w:t xml:space="preserve"> to our informal da</w:t>
      </w:r>
      <w:r w:rsidR="00CE5C4A">
        <w:rPr>
          <w:rFonts w:ascii="Times New Roman" w:hAnsi="Times New Roman" w:cs="Times New Roman"/>
          <w:sz w:val="24"/>
          <w:szCs w:val="24"/>
        </w:rPr>
        <w:t>ta requests</w:t>
      </w:r>
      <w:r w:rsidR="00C74EF6">
        <w:rPr>
          <w:rFonts w:ascii="Times New Roman" w:hAnsi="Times New Roman" w:cs="Times New Roman"/>
          <w:sz w:val="24"/>
          <w:szCs w:val="24"/>
        </w:rPr>
        <w:t xml:space="preserve"> regarding the</w:t>
      </w:r>
      <w:r w:rsidR="006744A2">
        <w:rPr>
          <w:rFonts w:ascii="Times New Roman" w:hAnsi="Times New Roman" w:cs="Times New Roman"/>
          <w:sz w:val="24"/>
          <w:szCs w:val="24"/>
        </w:rPr>
        <w:t xml:space="preserve"> filing</w:t>
      </w:r>
      <w:r w:rsidR="00CE5C4A">
        <w:rPr>
          <w:rFonts w:ascii="Times New Roman" w:hAnsi="Times New Roman" w:cs="Times New Roman"/>
          <w:sz w:val="24"/>
          <w:szCs w:val="24"/>
        </w:rPr>
        <w:t>.</w:t>
      </w:r>
    </w:p>
    <w:p w:rsidR="00EC5A48" w:rsidRPr="003E3D4B" w:rsidRDefault="00EC5A48">
      <w:pPr>
        <w:rPr>
          <w:rFonts w:ascii="Times New Roman" w:hAnsi="Times New Roman" w:cs="Times New Roman"/>
          <w:b/>
          <w:sz w:val="24"/>
          <w:szCs w:val="24"/>
        </w:rPr>
      </w:pPr>
      <w:r w:rsidRPr="003E3D4B">
        <w:rPr>
          <w:rFonts w:ascii="Times New Roman" w:hAnsi="Times New Roman" w:cs="Times New Roman"/>
          <w:b/>
          <w:sz w:val="24"/>
          <w:szCs w:val="24"/>
        </w:rPr>
        <w:t xml:space="preserve">Avista's Conservation Achievement for 2012-2013 </w:t>
      </w:r>
    </w:p>
    <w:p w:rsidR="007D0E07" w:rsidRDefault="003E3D4B">
      <w:pPr>
        <w:rPr>
          <w:rFonts w:ascii="Times New Roman" w:hAnsi="Times New Roman" w:cs="Times New Roman"/>
          <w:sz w:val="24"/>
          <w:szCs w:val="24"/>
        </w:rPr>
        <w:sectPr w:rsidR="007D0E07" w:rsidSect="00EF002B">
          <w:foot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In our prior comments we noted that Public Counsel was continuing to seek clarification from Avista on issues related to the Company's claim of electric conservation savings in 2012 related to the 2011 CFL contingency program.  </w:t>
      </w:r>
      <w:r w:rsidR="00470CB6">
        <w:rPr>
          <w:rFonts w:ascii="Times New Roman" w:hAnsi="Times New Roman" w:cs="Times New Roman"/>
          <w:sz w:val="24"/>
          <w:szCs w:val="24"/>
        </w:rPr>
        <w:t>Public Counsel appreciates the additional information provided b</w:t>
      </w:r>
      <w:r w:rsidR="00826290">
        <w:rPr>
          <w:rFonts w:ascii="Times New Roman" w:hAnsi="Times New Roman" w:cs="Times New Roman"/>
          <w:sz w:val="24"/>
          <w:szCs w:val="24"/>
        </w:rPr>
        <w:t>y Avista</w:t>
      </w:r>
      <w:r w:rsidR="00470CB6">
        <w:rPr>
          <w:rFonts w:ascii="Times New Roman" w:hAnsi="Times New Roman" w:cs="Times New Roman"/>
          <w:sz w:val="24"/>
          <w:szCs w:val="24"/>
        </w:rPr>
        <w:t xml:space="preserve">, and we </w:t>
      </w:r>
      <w:r w:rsidR="00826290">
        <w:rPr>
          <w:rFonts w:ascii="Times New Roman" w:hAnsi="Times New Roman" w:cs="Times New Roman"/>
          <w:sz w:val="24"/>
          <w:szCs w:val="24"/>
        </w:rPr>
        <w:t xml:space="preserve">also </w:t>
      </w:r>
      <w:r w:rsidR="00470CB6">
        <w:rPr>
          <w:rFonts w:ascii="Times New Roman" w:hAnsi="Times New Roman" w:cs="Times New Roman"/>
          <w:sz w:val="24"/>
          <w:szCs w:val="24"/>
        </w:rPr>
        <w:t>recognize the unique nature of the program in terms of its large scope and the timing</w:t>
      </w:r>
      <w:r w:rsidR="00826290">
        <w:rPr>
          <w:rFonts w:ascii="Times New Roman" w:hAnsi="Times New Roman" w:cs="Times New Roman"/>
          <w:sz w:val="24"/>
          <w:szCs w:val="24"/>
        </w:rPr>
        <w:t xml:space="preserve"> of shipment of CFLs in mid to late 2011</w:t>
      </w:r>
      <w:r w:rsidR="00470CB6">
        <w:rPr>
          <w:rFonts w:ascii="Times New Roman" w:hAnsi="Times New Roman" w:cs="Times New Roman"/>
          <w:sz w:val="24"/>
          <w:szCs w:val="24"/>
        </w:rPr>
        <w:t xml:space="preserve">.  </w:t>
      </w:r>
      <w:r w:rsidR="000B6B4C">
        <w:rPr>
          <w:rFonts w:ascii="Times New Roman" w:hAnsi="Times New Roman" w:cs="Times New Roman"/>
          <w:sz w:val="24"/>
          <w:szCs w:val="24"/>
        </w:rPr>
        <w:t xml:space="preserve">As Staff observed, a key issue raised here is "whether the Commission wishes to change the way it treats savings from </w:t>
      </w:r>
    </w:p>
    <w:p w:rsidR="000B6B4C" w:rsidRDefault="000B6B4C">
      <w:pPr>
        <w:rPr>
          <w:rFonts w:ascii="Times New Roman" w:hAnsi="Times New Roman" w:cs="Times New Roman"/>
          <w:sz w:val="24"/>
          <w:szCs w:val="24"/>
        </w:rPr>
      </w:pPr>
      <w:r>
        <w:rPr>
          <w:rFonts w:ascii="Times New Roman" w:hAnsi="Times New Roman" w:cs="Times New Roman"/>
          <w:sz w:val="24"/>
          <w:szCs w:val="24"/>
        </w:rPr>
        <w:lastRenderedPageBreak/>
        <w:t>programs where customers purchase something that may not be</w:t>
      </w:r>
      <w:r w:rsidR="00F005B7">
        <w:rPr>
          <w:rFonts w:ascii="Times New Roman" w:hAnsi="Times New Roman" w:cs="Times New Roman"/>
          <w:sz w:val="24"/>
          <w:szCs w:val="24"/>
        </w:rPr>
        <w:t xml:space="preserve"> installed right away."</w:t>
      </w:r>
      <w:r w:rsidR="00DB454C">
        <w:rPr>
          <w:rStyle w:val="FootnoteReference"/>
          <w:rFonts w:ascii="Times New Roman" w:hAnsi="Times New Roman" w:cs="Times New Roman"/>
          <w:sz w:val="24"/>
          <w:szCs w:val="24"/>
        </w:rPr>
        <w:footnoteReference w:id="1"/>
      </w:r>
      <w:r w:rsidR="00902921">
        <w:rPr>
          <w:rFonts w:ascii="Times New Roman" w:hAnsi="Times New Roman" w:cs="Times New Roman"/>
          <w:sz w:val="24"/>
          <w:szCs w:val="24"/>
        </w:rPr>
        <w:t xml:space="preserve"> </w:t>
      </w:r>
      <w:r w:rsidR="00F005B7">
        <w:rPr>
          <w:rFonts w:ascii="Times New Roman" w:hAnsi="Times New Roman" w:cs="Times New Roman"/>
          <w:sz w:val="24"/>
          <w:szCs w:val="24"/>
        </w:rPr>
        <w:t xml:space="preserve"> </w:t>
      </w:r>
      <w:r>
        <w:rPr>
          <w:rFonts w:ascii="Times New Roman" w:hAnsi="Times New Roman" w:cs="Times New Roman"/>
          <w:sz w:val="24"/>
          <w:szCs w:val="24"/>
        </w:rPr>
        <w:t>We agree with Staff that this is a compelling question.  Our understanding is that the Council's Regional Technical Forum (RTF) has been grappling with this very issue, including when it updated residential lighting savings in 2013.</w:t>
      </w:r>
      <w:r w:rsidR="005326EF">
        <w:rPr>
          <w:rFonts w:ascii="Times New Roman" w:hAnsi="Times New Roman" w:cs="Times New Roman"/>
          <w:sz w:val="24"/>
          <w:szCs w:val="24"/>
        </w:rPr>
        <w:t xml:space="preserve">  </w:t>
      </w:r>
    </w:p>
    <w:p w:rsidR="005326EF" w:rsidRDefault="005326EF">
      <w:pPr>
        <w:rPr>
          <w:rFonts w:ascii="Times New Roman" w:hAnsi="Times New Roman" w:cs="Times New Roman"/>
          <w:sz w:val="24"/>
          <w:szCs w:val="24"/>
        </w:rPr>
      </w:pPr>
      <w:r>
        <w:rPr>
          <w:rFonts w:ascii="Times New Roman" w:hAnsi="Times New Roman" w:cs="Times New Roman"/>
          <w:sz w:val="24"/>
          <w:szCs w:val="24"/>
        </w:rPr>
        <w:t xml:space="preserve">In our view, however, Avista's proposal to claim 2012 savings for the 2011 CFL contingency program suffers from several flaws, and is not consistent with the Commission's conditions adopted in Order 01.  </w:t>
      </w:r>
      <w:r w:rsidR="00FC61B4">
        <w:rPr>
          <w:rFonts w:ascii="Times New Roman" w:hAnsi="Times New Roman" w:cs="Times New Roman"/>
          <w:sz w:val="24"/>
          <w:szCs w:val="24"/>
        </w:rPr>
        <w:t xml:space="preserve">The basis for the savings claim is an engineering review by Cadmus that incorporates some, but not all, assumptions adopted by the RTF when it updated residential lighting savings in October, 2013.  </w:t>
      </w:r>
      <w:r w:rsidR="00B86D46">
        <w:rPr>
          <w:rFonts w:ascii="Times New Roman" w:hAnsi="Times New Roman" w:cs="Times New Roman"/>
          <w:sz w:val="24"/>
          <w:szCs w:val="24"/>
        </w:rPr>
        <w:t>For example, t</w:t>
      </w:r>
      <w:r w:rsidR="00FC61B4">
        <w:rPr>
          <w:rFonts w:ascii="Times New Roman" w:hAnsi="Times New Roman" w:cs="Times New Roman"/>
          <w:sz w:val="24"/>
          <w:szCs w:val="24"/>
        </w:rPr>
        <w:t>he Cadmus en</w:t>
      </w:r>
      <w:r w:rsidR="000D79B2">
        <w:rPr>
          <w:rFonts w:ascii="Times New Roman" w:hAnsi="Times New Roman" w:cs="Times New Roman"/>
          <w:sz w:val="24"/>
          <w:szCs w:val="24"/>
        </w:rPr>
        <w:t>gineering review utilized an in</w:t>
      </w:r>
      <w:r w:rsidR="000D79B2">
        <w:rPr>
          <w:rFonts w:ascii="Times New Roman" w:hAnsi="Times New Roman" w:cs="Times New Roman"/>
          <w:sz w:val="24"/>
          <w:szCs w:val="24"/>
        </w:rPr>
        <w:noBreakHyphen/>
      </w:r>
      <w:r w:rsidR="00FC61B4">
        <w:rPr>
          <w:rFonts w:ascii="Times New Roman" w:hAnsi="Times New Roman" w:cs="Times New Roman"/>
          <w:sz w:val="24"/>
          <w:szCs w:val="24"/>
        </w:rPr>
        <w:t>service rate adopted by the RTF in 2013, but does not incorporate the updated baseline assumptions the RTF also adopted at that time.</w:t>
      </w:r>
      <w:r w:rsidR="006744A2">
        <w:rPr>
          <w:rStyle w:val="FootnoteReference"/>
          <w:rFonts w:ascii="Times New Roman" w:hAnsi="Times New Roman" w:cs="Times New Roman"/>
          <w:sz w:val="24"/>
          <w:szCs w:val="24"/>
        </w:rPr>
        <w:footnoteReference w:id="2"/>
      </w:r>
      <w:r w:rsidR="006744A2">
        <w:rPr>
          <w:rFonts w:ascii="Times New Roman" w:hAnsi="Times New Roman" w:cs="Times New Roman"/>
          <w:sz w:val="24"/>
          <w:szCs w:val="24"/>
        </w:rPr>
        <w:t xml:space="preserve">  </w:t>
      </w:r>
      <w:r w:rsidR="00E07434">
        <w:rPr>
          <w:rFonts w:ascii="Times New Roman" w:hAnsi="Times New Roman" w:cs="Times New Roman"/>
          <w:sz w:val="24"/>
          <w:szCs w:val="24"/>
        </w:rPr>
        <w:t xml:space="preserve">In addition, the RTF's 2013 update applies to unsolicited mail delivery of up to four bulbs per household, but Avista's program mailed eight bulbs.  In this regard, the basis for this savings claim is not consistent with conditions requiring utilization of either RTF approved savings, or </w:t>
      </w:r>
      <w:r w:rsidR="00902921">
        <w:rPr>
          <w:rFonts w:ascii="Times New Roman" w:hAnsi="Times New Roman" w:cs="Times New Roman"/>
          <w:sz w:val="24"/>
          <w:szCs w:val="24"/>
        </w:rPr>
        <w:t xml:space="preserve">“generally accepted impact </w:t>
      </w:r>
      <w:r w:rsidR="00E07434">
        <w:rPr>
          <w:rFonts w:ascii="Times New Roman" w:hAnsi="Times New Roman" w:cs="Times New Roman"/>
          <w:sz w:val="24"/>
          <w:szCs w:val="24"/>
        </w:rPr>
        <w:t>evaluation</w:t>
      </w:r>
      <w:r w:rsidR="00902921">
        <w:rPr>
          <w:rFonts w:ascii="Times New Roman" w:hAnsi="Times New Roman" w:cs="Times New Roman"/>
          <w:sz w:val="24"/>
          <w:szCs w:val="24"/>
        </w:rPr>
        <w:t xml:space="preserve"> data and/or other reliable and relevant source data that has verified savings levels</w:t>
      </w:r>
      <w:r w:rsidR="00E07434">
        <w:rPr>
          <w:rFonts w:ascii="Times New Roman" w:hAnsi="Times New Roman" w:cs="Times New Roman"/>
          <w:sz w:val="24"/>
          <w:szCs w:val="24"/>
        </w:rPr>
        <w:t>.</w:t>
      </w:r>
      <w:r w:rsidR="00902921">
        <w:rPr>
          <w:rFonts w:ascii="Times New Roman" w:hAnsi="Times New Roman" w:cs="Times New Roman"/>
          <w:sz w:val="24"/>
          <w:szCs w:val="24"/>
        </w:rPr>
        <w:t>”</w:t>
      </w:r>
      <w:r w:rsidR="00AC7667">
        <w:rPr>
          <w:rStyle w:val="FootnoteReference"/>
          <w:rFonts w:ascii="Times New Roman" w:hAnsi="Times New Roman" w:cs="Times New Roman"/>
          <w:sz w:val="24"/>
          <w:szCs w:val="24"/>
        </w:rPr>
        <w:footnoteReference w:id="3"/>
      </w:r>
      <w:r w:rsidR="00902921">
        <w:rPr>
          <w:rFonts w:ascii="Times New Roman" w:hAnsi="Times New Roman" w:cs="Times New Roman"/>
          <w:sz w:val="24"/>
          <w:szCs w:val="24"/>
        </w:rPr>
        <w:t xml:space="preserve"> </w:t>
      </w:r>
    </w:p>
    <w:p w:rsidR="00AE574B" w:rsidRDefault="00AE574B">
      <w:pPr>
        <w:rPr>
          <w:rFonts w:ascii="Times New Roman" w:hAnsi="Times New Roman" w:cs="Times New Roman"/>
          <w:sz w:val="24"/>
          <w:szCs w:val="24"/>
        </w:rPr>
      </w:pPr>
      <w:r>
        <w:rPr>
          <w:rFonts w:ascii="Times New Roman" w:hAnsi="Times New Roman" w:cs="Times New Roman"/>
          <w:sz w:val="24"/>
          <w:szCs w:val="24"/>
        </w:rPr>
        <w:t>We share Staff's view that if Avista had questions regarding treatment of savings from the CFL contingency, the Company should have directly raised this issue with the Advisory Group, and</w:t>
      </w:r>
      <w:r w:rsidR="000D79B2">
        <w:rPr>
          <w:rFonts w:ascii="Times New Roman" w:hAnsi="Times New Roman" w:cs="Times New Roman"/>
          <w:sz w:val="24"/>
          <w:szCs w:val="24"/>
        </w:rPr>
        <w:t>,</w:t>
      </w:r>
      <w:r>
        <w:rPr>
          <w:rFonts w:ascii="Times New Roman" w:hAnsi="Times New Roman" w:cs="Times New Roman"/>
          <w:sz w:val="24"/>
          <w:szCs w:val="24"/>
        </w:rPr>
        <w:t xml:space="preserve"> if necessary, could have sought clarification from the Commiss</w:t>
      </w:r>
      <w:r w:rsidR="006B4B8F">
        <w:rPr>
          <w:rFonts w:ascii="Times New Roman" w:hAnsi="Times New Roman" w:cs="Times New Roman"/>
          <w:sz w:val="24"/>
          <w:szCs w:val="24"/>
        </w:rPr>
        <w:t>ion.</w:t>
      </w:r>
      <w:r w:rsidR="00AC7667">
        <w:rPr>
          <w:rStyle w:val="FootnoteReference"/>
          <w:rFonts w:ascii="Times New Roman" w:hAnsi="Times New Roman" w:cs="Times New Roman"/>
          <w:sz w:val="24"/>
          <w:szCs w:val="24"/>
        </w:rPr>
        <w:footnoteReference w:id="4"/>
      </w:r>
      <w:r w:rsidR="00D01F2A">
        <w:rPr>
          <w:rFonts w:ascii="Times New Roman" w:hAnsi="Times New Roman" w:cs="Times New Roman"/>
          <w:sz w:val="24"/>
          <w:szCs w:val="24"/>
        </w:rPr>
        <w:t xml:space="preserve"> </w:t>
      </w:r>
      <w:r w:rsidR="006B4B8F">
        <w:rPr>
          <w:rFonts w:ascii="Times New Roman" w:hAnsi="Times New Roman" w:cs="Times New Roman"/>
          <w:sz w:val="24"/>
          <w:szCs w:val="24"/>
        </w:rPr>
        <w:t xml:space="preserve"> </w:t>
      </w:r>
      <w:r w:rsidR="00DB454C">
        <w:rPr>
          <w:rFonts w:ascii="Times New Roman" w:hAnsi="Times New Roman" w:cs="Times New Roman"/>
          <w:sz w:val="24"/>
          <w:szCs w:val="24"/>
        </w:rPr>
        <w:t>But t</w:t>
      </w:r>
      <w:r w:rsidR="006B4B8F">
        <w:rPr>
          <w:rFonts w:ascii="Times New Roman" w:hAnsi="Times New Roman" w:cs="Times New Roman"/>
          <w:sz w:val="24"/>
          <w:szCs w:val="24"/>
        </w:rPr>
        <w:t xml:space="preserve">he Company did not consult with the Advisory Group on this specific issue of considering a new methodology and approach to claiming savings in 2012 for the 2011 CFL contingency program.  Such consultation would have greatly facilitated our current analysis of this issue, and also would have been consistent </w:t>
      </w:r>
      <w:r w:rsidR="00D07471">
        <w:rPr>
          <w:rFonts w:ascii="Times New Roman" w:hAnsi="Times New Roman" w:cs="Times New Roman"/>
          <w:sz w:val="24"/>
          <w:szCs w:val="24"/>
        </w:rPr>
        <w:t xml:space="preserve">with the condition </w:t>
      </w:r>
      <w:r w:rsidR="00DB454C">
        <w:rPr>
          <w:rFonts w:ascii="Times New Roman" w:hAnsi="Times New Roman" w:cs="Times New Roman"/>
          <w:sz w:val="24"/>
          <w:szCs w:val="24"/>
        </w:rPr>
        <w:t xml:space="preserve">in Order 01 </w:t>
      </w:r>
      <w:r w:rsidR="00D07471">
        <w:rPr>
          <w:rFonts w:ascii="Times New Roman" w:hAnsi="Times New Roman" w:cs="Times New Roman"/>
          <w:sz w:val="24"/>
          <w:szCs w:val="24"/>
        </w:rPr>
        <w:t xml:space="preserve">that the Advisory Group shall advise on evaluation, measurement, and verification protocols.  </w:t>
      </w:r>
    </w:p>
    <w:p w:rsidR="001D636C" w:rsidRDefault="00D07471">
      <w:pPr>
        <w:rPr>
          <w:rFonts w:ascii="Times New Roman" w:hAnsi="Times New Roman" w:cs="Times New Roman"/>
          <w:sz w:val="24"/>
          <w:szCs w:val="24"/>
        </w:rPr>
      </w:pPr>
      <w:r>
        <w:rPr>
          <w:rFonts w:ascii="Times New Roman" w:hAnsi="Times New Roman" w:cs="Times New Roman"/>
          <w:sz w:val="24"/>
          <w:szCs w:val="24"/>
        </w:rPr>
        <w:t xml:space="preserve">Public Counsel therefore recommends that the 2012 savings of 21,179 MWh </w:t>
      </w:r>
      <w:r w:rsidR="005F31FC">
        <w:rPr>
          <w:rFonts w:ascii="Times New Roman" w:hAnsi="Times New Roman" w:cs="Times New Roman"/>
          <w:sz w:val="24"/>
          <w:szCs w:val="24"/>
        </w:rPr>
        <w:t>for the 2011 CFL contingency should not be claimed toward Avista's 2012-2013 biennial conservation target.  Removing these savings would result in total biennial s</w:t>
      </w:r>
      <w:r w:rsidR="00872DB9">
        <w:rPr>
          <w:rFonts w:ascii="Times New Roman" w:hAnsi="Times New Roman" w:cs="Times New Roman"/>
          <w:sz w:val="24"/>
          <w:szCs w:val="24"/>
        </w:rPr>
        <w:t xml:space="preserve">avings of 171,570 MWh, which </w:t>
      </w:r>
      <w:r w:rsidR="005F31FC">
        <w:rPr>
          <w:rFonts w:ascii="Times New Roman" w:hAnsi="Times New Roman" w:cs="Times New Roman"/>
          <w:sz w:val="24"/>
          <w:szCs w:val="24"/>
        </w:rPr>
        <w:t xml:space="preserve">still exceeds the </w:t>
      </w:r>
      <w:r w:rsidR="00872DB9">
        <w:rPr>
          <w:rFonts w:ascii="Times New Roman" w:hAnsi="Times New Roman" w:cs="Times New Roman"/>
          <w:sz w:val="24"/>
          <w:szCs w:val="24"/>
        </w:rPr>
        <w:t>108,589 MWh biennial target by 58%.</w:t>
      </w:r>
      <w:r w:rsidR="00DB454C">
        <w:rPr>
          <w:rFonts w:ascii="Times New Roman" w:hAnsi="Times New Roman" w:cs="Times New Roman"/>
          <w:sz w:val="24"/>
          <w:szCs w:val="24"/>
        </w:rPr>
        <w:t xml:space="preserve">  </w:t>
      </w:r>
      <w:r w:rsidR="00D01F2A">
        <w:rPr>
          <w:rFonts w:ascii="Times New Roman" w:hAnsi="Times New Roman" w:cs="Times New Roman"/>
          <w:sz w:val="24"/>
          <w:szCs w:val="24"/>
        </w:rPr>
        <w:t xml:space="preserve">As we stated in our prior comments, we applaud </w:t>
      </w:r>
      <w:r w:rsidR="009B4B53">
        <w:rPr>
          <w:rFonts w:ascii="Times New Roman" w:hAnsi="Times New Roman" w:cs="Times New Roman"/>
          <w:sz w:val="24"/>
          <w:szCs w:val="24"/>
        </w:rPr>
        <w:t>Avista on its</w:t>
      </w:r>
      <w:r w:rsidR="00D01F2A">
        <w:rPr>
          <w:rFonts w:ascii="Times New Roman" w:hAnsi="Times New Roman" w:cs="Times New Roman"/>
          <w:sz w:val="24"/>
          <w:szCs w:val="24"/>
        </w:rPr>
        <w:t xml:space="preserve"> significant</w:t>
      </w:r>
      <w:r w:rsidR="009B4B53">
        <w:rPr>
          <w:rFonts w:ascii="Times New Roman" w:hAnsi="Times New Roman" w:cs="Times New Roman"/>
          <w:sz w:val="24"/>
          <w:szCs w:val="24"/>
        </w:rPr>
        <w:t xml:space="preserve"> conservation achievements and performance in meeting the </w:t>
      </w:r>
      <w:r w:rsidR="00D01F2A">
        <w:rPr>
          <w:rFonts w:ascii="Times New Roman" w:hAnsi="Times New Roman" w:cs="Times New Roman"/>
          <w:sz w:val="24"/>
          <w:szCs w:val="24"/>
        </w:rPr>
        <w:t xml:space="preserve">2012-2013 </w:t>
      </w:r>
      <w:r w:rsidR="009B4B53">
        <w:rPr>
          <w:rFonts w:ascii="Times New Roman" w:hAnsi="Times New Roman" w:cs="Times New Roman"/>
          <w:sz w:val="24"/>
          <w:szCs w:val="24"/>
        </w:rPr>
        <w:t>biennial conservation target.</w:t>
      </w:r>
    </w:p>
    <w:p w:rsidR="00EC5A48" w:rsidRPr="001D636C" w:rsidRDefault="000262BF">
      <w:pPr>
        <w:rPr>
          <w:rFonts w:ascii="Times New Roman" w:hAnsi="Times New Roman" w:cs="Times New Roman"/>
          <w:sz w:val="24"/>
          <w:szCs w:val="24"/>
        </w:rPr>
      </w:pPr>
      <w:r w:rsidRPr="000262BF">
        <w:rPr>
          <w:rFonts w:ascii="Times New Roman" w:hAnsi="Times New Roman" w:cs="Times New Roman"/>
          <w:b/>
          <w:sz w:val="24"/>
          <w:szCs w:val="24"/>
        </w:rPr>
        <w:lastRenderedPageBreak/>
        <w:t>Prudence of Conservation Activities</w:t>
      </w:r>
    </w:p>
    <w:p w:rsidR="002A3080" w:rsidRDefault="000262BF">
      <w:pPr>
        <w:rPr>
          <w:rFonts w:ascii="Times New Roman" w:hAnsi="Times New Roman" w:cs="Times New Roman"/>
          <w:sz w:val="24"/>
          <w:szCs w:val="24"/>
        </w:rPr>
      </w:pPr>
      <w:r>
        <w:rPr>
          <w:rFonts w:ascii="Times New Roman" w:hAnsi="Times New Roman" w:cs="Times New Roman"/>
          <w:sz w:val="24"/>
          <w:szCs w:val="24"/>
        </w:rPr>
        <w:t xml:space="preserve">Public Counsel shares Staff's desire for </w:t>
      </w:r>
      <w:r w:rsidR="0057208C">
        <w:rPr>
          <w:rFonts w:ascii="Times New Roman" w:hAnsi="Times New Roman" w:cs="Times New Roman"/>
          <w:sz w:val="24"/>
          <w:szCs w:val="24"/>
        </w:rPr>
        <w:t xml:space="preserve">a </w:t>
      </w:r>
      <w:r>
        <w:rPr>
          <w:rFonts w:ascii="Times New Roman" w:hAnsi="Times New Roman" w:cs="Times New Roman"/>
          <w:sz w:val="24"/>
          <w:szCs w:val="24"/>
        </w:rPr>
        <w:t>consistent approach to review of DSM prudency</w:t>
      </w:r>
      <w:r w:rsidR="002A3080">
        <w:rPr>
          <w:rFonts w:ascii="Times New Roman" w:hAnsi="Times New Roman" w:cs="Times New Roman"/>
          <w:sz w:val="24"/>
          <w:szCs w:val="24"/>
        </w:rPr>
        <w:t xml:space="preserve">.  </w:t>
      </w:r>
      <w:r w:rsidR="00CF1764">
        <w:rPr>
          <w:rFonts w:ascii="Times New Roman" w:hAnsi="Times New Roman" w:cs="Times New Roman"/>
          <w:sz w:val="24"/>
          <w:szCs w:val="24"/>
        </w:rPr>
        <w:t>P</w:t>
      </w:r>
      <w:r w:rsidR="004C6BDC">
        <w:rPr>
          <w:rFonts w:ascii="Times New Roman" w:hAnsi="Times New Roman" w:cs="Times New Roman"/>
          <w:sz w:val="24"/>
          <w:szCs w:val="24"/>
        </w:rPr>
        <w:t xml:space="preserve">ublic </w:t>
      </w:r>
      <w:r w:rsidR="002A3080">
        <w:rPr>
          <w:rFonts w:ascii="Times New Roman" w:hAnsi="Times New Roman" w:cs="Times New Roman"/>
          <w:sz w:val="24"/>
          <w:szCs w:val="24"/>
        </w:rPr>
        <w:t>C</w:t>
      </w:r>
      <w:r w:rsidR="004C6BDC">
        <w:rPr>
          <w:rFonts w:ascii="Times New Roman" w:hAnsi="Times New Roman" w:cs="Times New Roman"/>
          <w:sz w:val="24"/>
          <w:szCs w:val="24"/>
        </w:rPr>
        <w:t>ounsel</w:t>
      </w:r>
      <w:r w:rsidR="002A3080">
        <w:rPr>
          <w:rFonts w:ascii="Times New Roman" w:hAnsi="Times New Roman" w:cs="Times New Roman"/>
          <w:sz w:val="24"/>
          <w:szCs w:val="24"/>
        </w:rPr>
        <w:t xml:space="preserve"> </w:t>
      </w:r>
      <w:r w:rsidR="0057208C">
        <w:rPr>
          <w:rFonts w:ascii="Times New Roman" w:hAnsi="Times New Roman" w:cs="Times New Roman"/>
          <w:sz w:val="24"/>
          <w:szCs w:val="24"/>
        </w:rPr>
        <w:t xml:space="preserve">also </w:t>
      </w:r>
      <w:r w:rsidR="002A3080">
        <w:rPr>
          <w:rFonts w:ascii="Times New Roman" w:hAnsi="Times New Roman" w:cs="Times New Roman"/>
          <w:sz w:val="24"/>
          <w:szCs w:val="24"/>
        </w:rPr>
        <w:t>agrees wit</w:t>
      </w:r>
      <w:r w:rsidR="004F2DDF">
        <w:rPr>
          <w:rFonts w:ascii="Times New Roman" w:hAnsi="Times New Roman" w:cs="Times New Roman"/>
          <w:sz w:val="24"/>
          <w:szCs w:val="24"/>
        </w:rPr>
        <w:t xml:space="preserve">h Staff that </w:t>
      </w:r>
      <w:r w:rsidR="002A3080">
        <w:rPr>
          <w:rFonts w:ascii="Times New Roman" w:hAnsi="Times New Roman" w:cs="Times New Roman"/>
          <w:sz w:val="24"/>
          <w:szCs w:val="24"/>
        </w:rPr>
        <w:t xml:space="preserve">DSM prudence </w:t>
      </w:r>
      <w:r w:rsidR="004F2DDF">
        <w:rPr>
          <w:rFonts w:ascii="Times New Roman" w:hAnsi="Times New Roman" w:cs="Times New Roman"/>
          <w:sz w:val="24"/>
          <w:szCs w:val="24"/>
        </w:rPr>
        <w:t xml:space="preserve">involves multiple elements and that certain aspects of prudence </w:t>
      </w:r>
      <w:r w:rsidR="002A3080">
        <w:rPr>
          <w:rFonts w:ascii="Times New Roman" w:hAnsi="Times New Roman" w:cs="Times New Roman"/>
          <w:sz w:val="24"/>
          <w:szCs w:val="24"/>
        </w:rPr>
        <w:t>are revi</w:t>
      </w:r>
      <w:r w:rsidR="004F2DDF">
        <w:rPr>
          <w:rFonts w:ascii="Times New Roman" w:hAnsi="Times New Roman" w:cs="Times New Roman"/>
          <w:sz w:val="24"/>
          <w:szCs w:val="24"/>
        </w:rPr>
        <w:t>ewed at different times</w:t>
      </w:r>
      <w:r w:rsidR="002A3080">
        <w:rPr>
          <w:rFonts w:ascii="Times New Roman" w:hAnsi="Times New Roman" w:cs="Times New Roman"/>
          <w:sz w:val="24"/>
          <w:szCs w:val="24"/>
        </w:rPr>
        <w:t>.</w:t>
      </w:r>
      <w:r w:rsidR="00AC6C50">
        <w:rPr>
          <w:rStyle w:val="FootnoteReference"/>
          <w:rFonts w:ascii="Times New Roman" w:hAnsi="Times New Roman" w:cs="Times New Roman"/>
          <w:sz w:val="24"/>
          <w:szCs w:val="24"/>
        </w:rPr>
        <w:footnoteReference w:id="5"/>
      </w:r>
      <w:r w:rsidR="004F2DDF">
        <w:rPr>
          <w:rFonts w:ascii="Times New Roman" w:hAnsi="Times New Roman" w:cs="Times New Roman"/>
          <w:sz w:val="24"/>
          <w:szCs w:val="24"/>
        </w:rPr>
        <w:t xml:space="preserve">  </w:t>
      </w:r>
      <w:r w:rsidR="0057208C">
        <w:rPr>
          <w:rFonts w:ascii="Times New Roman" w:hAnsi="Times New Roman" w:cs="Times New Roman"/>
          <w:sz w:val="24"/>
          <w:szCs w:val="24"/>
        </w:rPr>
        <w:t xml:space="preserve">Companies must be able to demonstrate prudency in the planning, implementation, evaluation, and oversight of its conservation portfolio.  </w:t>
      </w:r>
      <w:r w:rsidR="004C6BDC">
        <w:rPr>
          <w:rFonts w:ascii="Times New Roman" w:hAnsi="Times New Roman" w:cs="Times New Roman"/>
          <w:sz w:val="24"/>
          <w:szCs w:val="24"/>
        </w:rPr>
        <w:t>We very much appreciate that Staff outlined a proposed approach for review of prudence of conservation activities</w:t>
      </w:r>
      <w:r w:rsidR="0057208C">
        <w:rPr>
          <w:rFonts w:ascii="Times New Roman" w:hAnsi="Times New Roman" w:cs="Times New Roman"/>
          <w:sz w:val="24"/>
          <w:szCs w:val="24"/>
        </w:rPr>
        <w:t xml:space="preserve"> in </w:t>
      </w:r>
      <w:r w:rsidR="00CF1764">
        <w:rPr>
          <w:rFonts w:ascii="Times New Roman" w:hAnsi="Times New Roman" w:cs="Times New Roman"/>
          <w:sz w:val="24"/>
          <w:szCs w:val="24"/>
        </w:rPr>
        <w:t>Staff’s</w:t>
      </w:r>
      <w:r w:rsidR="0057208C">
        <w:rPr>
          <w:rFonts w:ascii="Times New Roman" w:hAnsi="Times New Roman" w:cs="Times New Roman"/>
          <w:sz w:val="24"/>
          <w:szCs w:val="24"/>
        </w:rPr>
        <w:t xml:space="preserve"> Comments filed June 30, 2014, in these Avista dockets</w:t>
      </w:r>
      <w:r w:rsidR="004C6BDC">
        <w:rPr>
          <w:rFonts w:ascii="Times New Roman" w:hAnsi="Times New Roman" w:cs="Times New Roman"/>
          <w:sz w:val="24"/>
          <w:szCs w:val="24"/>
        </w:rPr>
        <w:t xml:space="preserve">.  </w:t>
      </w:r>
      <w:r w:rsidR="0057208C">
        <w:rPr>
          <w:rFonts w:ascii="Times New Roman" w:hAnsi="Times New Roman" w:cs="Times New Roman"/>
          <w:sz w:val="24"/>
          <w:szCs w:val="24"/>
        </w:rPr>
        <w:t>We agree with several aspects of the Staff proposal</w:t>
      </w:r>
      <w:r w:rsidR="00CF1764">
        <w:rPr>
          <w:rFonts w:ascii="Times New Roman" w:hAnsi="Times New Roman" w:cs="Times New Roman"/>
          <w:sz w:val="24"/>
          <w:szCs w:val="24"/>
        </w:rPr>
        <w:t>, but we d</w:t>
      </w:r>
      <w:r w:rsidR="007D0E07">
        <w:rPr>
          <w:rFonts w:ascii="Times New Roman" w:hAnsi="Times New Roman" w:cs="Times New Roman"/>
          <w:sz w:val="24"/>
          <w:szCs w:val="24"/>
        </w:rPr>
        <w:t xml:space="preserve">o have some areas of concern.  </w:t>
      </w:r>
    </w:p>
    <w:p w:rsidR="000262BF" w:rsidRDefault="00EF5B73">
      <w:pPr>
        <w:rPr>
          <w:rFonts w:ascii="Times New Roman" w:hAnsi="Times New Roman" w:cs="Times New Roman"/>
          <w:sz w:val="24"/>
          <w:szCs w:val="24"/>
        </w:rPr>
      </w:pPr>
      <w:r>
        <w:rPr>
          <w:rFonts w:ascii="Times New Roman" w:hAnsi="Times New Roman" w:cs="Times New Roman"/>
          <w:i/>
          <w:sz w:val="24"/>
          <w:szCs w:val="24"/>
        </w:rPr>
        <w:t>Advisory Group is not a substitute for the Board of Directors.</w:t>
      </w:r>
      <w:r w:rsidR="000D79B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F2DDF">
        <w:rPr>
          <w:rFonts w:ascii="Times New Roman" w:hAnsi="Times New Roman" w:cs="Times New Roman"/>
          <w:sz w:val="24"/>
          <w:szCs w:val="24"/>
        </w:rPr>
        <w:t xml:space="preserve">Staff's proposed approach outlines the four factors the Commission has considered in previous determinations of prudence.  </w:t>
      </w:r>
      <w:r w:rsidR="007409B3">
        <w:rPr>
          <w:rFonts w:ascii="Times New Roman" w:hAnsi="Times New Roman" w:cs="Times New Roman"/>
          <w:sz w:val="24"/>
          <w:szCs w:val="24"/>
        </w:rPr>
        <w:t xml:space="preserve">Public Counsel has very strong </w:t>
      </w:r>
      <w:r w:rsidR="002A3080">
        <w:rPr>
          <w:rFonts w:ascii="Times New Roman" w:hAnsi="Times New Roman" w:cs="Times New Roman"/>
          <w:sz w:val="24"/>
          <w:szCs w:val="24"/>
        </w:rPr>
        <w:t>concern</w:t>
      </w:r>
      <w:r w:rsidR="007409B3">
        <w:rPr>
          <w:rFonts w:ascii="Times New Roman" w:hAnsi="Times New Roman" w:cs="Times New Roman"/>
          <w:sz w:val="24"/>
          <w:szCs w:val="24"/>
        </w:rPr>
        <w:t>s</w:t>
      </w:r>
      <w:r w:rsidR="002A3080">
        <w:rPr>
          <w:rFonts w:ascii="Times New Roman" w:hAnsi="Times New Roman" w:cs="Times New Roman"/>
          <w:sz w:val="24"/>
          <w:szCs w:val="24"/>
        </w:rPr>
        <w:t xml:space="preserve"> with </w:t>
      </w:r>
      <w:r w:rsidR="007409B3">
        <w:rPr>
          <w:rFonts w:ascii="Times New Roman" w:hAnsi="Times New Roman" w:cs="Times New Roman"/>
          <w:sz w:val="24"/>
          <w:szCs w:val="24"/>
        </w:rPr>
        <w:t>the</w:t>
      </w:r>
      <w:r w:rsidR="002A3080">
        <w:rPr>
          <w:rFonts w:ascii="Times New Roman" w:hAnsi="Times New Roman" w:cs="Times New Roman"/>
          <w:sz w:val="24"/>
          <w:szCs w:val="24"/>
        </w:rPr>
        <w:t xml:space="preserve"> statement </w:t>
      </w:r>
      <w:r w:rsidR="007409B3">
        <w:rPr>
          <w:rFonts w:ascii="Times New Roman" w:hAnsi="Times New Roman" w:cs="Times New Roman"/>
          <w:sz w:val="24"/>
          <w:szCs w:val="24"/>
        </w:rPr>
        <w:t xml:space="preserve">in Staff's comments </w:t>
      </w:r>
      <w:r w:rsidR="002A3080">
        <w:rPr>
          <w:rFonts w:ascii="Times New Roman" w:hAnsi="Times New Roman" w:cs="Times New Roman"/>
          <w:sz w:val="24"/>
          <w:szCs w:val="24"/>
        </w:rPr>
        <w:t>that "the advisory groups have been developed to substitute for the board of directors."</w:t>
      </w:r>
      <w:r w:rsidR="00817040">
        <w:rPr>
          <w:rStyle w:val="FootnoteReference"/>
          <w:rFonts w:ascii="Times New Roman" w:hAnsi="Times New Roman" w:cs="Times New Roman"/>
          <w:sz w:val="24"/>
          <w:szCs w:val="24"/>
        </w:rPr>
        <w:footnoteReference w:id="6"/>
      </w:r>
      <w:r w:rsidR="004F2DDF">
        <w:rPr>
          <w:rFonts w:ascii="Times New Roman" w:hAnsi="Times New Roman" w:cs="Times New Roman"/>
          <w:sz w:val="24"/>
          <w:szCs w:val="24"/>
        </w:rPr>
        <w:t xml:space="preserve">  </w:t>
      </w:r>
      <w:r w:rsidR="008D1FC3">
        <w:rPr>
          <w:rFonts w:ascii="Times New Roman" w:hAnsi="Times New Roman" w:cs="Times New Roman"/>
          <w:sz w:val="24"/>
          <w:szCs w:val="24"/>
        </w:rPr>
        <w:t>The utility</w:t>
      </w:r>
      <w:r w:rsidR="00817040">
        <w:rPr>
          <w:rFonts w:ascii="Times New Roman" w:hAnsi="Times New Roman" w:cs="Times New Roman"/>
          <w:sz w:val="24"/>
          <w:szCs w:val="24"/>
        </w:rPr>
        <w:t xml:space="preserve"> and its </w:t>
      </w:r>
      <w:r w:rsidR="000140A4">
        <w:rPr>
          <w:rFonts w:ascii="Times New Roman" w:hAnsi="Times New Roman" w:cs="Times New Roman"/>
          <w:sz w:val="24"/>
          <w:szCs w:val="24"/>
        </w:rPr>
        <w:t>Board of Directors retain</w:t>
      </w:r>
      <w:r w:rsidR="00817040">
        <w:rPr>
          <w:rFonts w:ascii="Times New Roman" w:hAnsi="Times New Roman" w:cs="Times New Roman"/>
          <w:sz w:val="24"/>
          <w:szCs w:val="24"/>
        </w:rPr>
        <w:t xml:space="preserve"> responsibility for prudent</w:t>
      </w:r>
      <w:r w:rsidR="000140A4">
        <w:rPr>
          <w:rFonts w:ascii="Times New Roman" w:hAnsi="Times New Roman" w:cs="Times New Roman"/>
          <w:sz w:val="24"/>
          <w:szCs w:val="24"/>
        </w:rPr>
        <w:t xml:space="preserve"> </w:t>
      </w:r>
      <w:r w:rsidR="00817040">
        <w:rPr>
          <w:rFonts w:ascii="Times New Roman" w:hAnsi="Times New Roman" w:cs="Times New Roman"/>
          <w:sz w:val="24"/>
          <w:szCs w:val="24"/>
        </w:rPr>
        <w:t>decision-making and oversight of the conserv</w:t>
      </w:r>
      <w:r w:rsidR="000140A4">
        <w:rPr>
          <w:rFonts w:ascii="Times New Roman" w:hAnsi="Times New Roman" w:cs="Times New Roman"/>
          <w:sz w:val="24"/>
          <w:szCs w:val="24"/>
        </w:rPr>
        <w:t xml:space="preserve">ation </w:t>
      </w:r>
      <w:r w:rsidR="00817040">
        <w:rPr>
          <w:rFonts w:ascii="Times New Roman" w:hAnsi="Times New Roman" w:cs="Times New Roman"/>
          <w:sz w:val="24"/>
          <w:szCs w:val="24"/>
        </w:rPr>
        <w:t>portfolio</w:t>
      </w:r>
      <w:r w:rsidR="00E07AEB">
        <w:rPr>
          <w:rFonts w:ascii="Times New Roman" w:hAnsi="Times New Roman" w:cs="Times New Roman"/>
          <w:sz w:val="24"/>
          <w:szCs w:val="24"/>
        </w:rPr>
        <w:t xml:space="preserve">, and that responsibility </w:t>
      </w:r>
      <w:r w:rsidR="00817040">
        <w:rPr>
          <w:rFonts w:ascii="Times New Roman" w:hAnsi="Times New Roman" w:cs="Times New Roman"/>
          <w:sz w:val="24"/>
          <w:szCs w:val="24"/>
        </w:rPr>
        <w:t>cannot</w:t>
      </w:r>
      <w:r w:rsidR="00E07AEB">
        <w:rPr>
          <w:rFonts w:ascii="Times New Roman" w:hAnsi="Times New Roman" w:cs="Times New Roman"/>
          <w:sz w:val="24"/>
          <w:szCs w:val="24"/>
        </w:rPr>
        <w:t xml:space="preserve"> </w:t>
      </w:r>
      <w:r w:rsidR="00817040">
        <w:rPr>
          <w:rFonts w:ascii="Times New Roman" w:hAnsi="Times New Roman" w:cs="Times New Roman"/>
          <w:sz w:val="24"/>
          <w:szCs w:val="24"/>
        </w:rPr>
        <w:t xml:space="preserve">be delegated </w:t>
      </w:r>
      <w:r w:rsidR="00E07AEB">
        <w:rPr>
          <w:rFonts w:ascii="Times New Roman" w:hAnsi="Times New Roman" w:cs="Times New Roman"/>
          <w:sz w:val="24"/>
          <w:szCs w:val="24"/>
        </w:rPr>
        <w:t>to the Advisory Group</w:t>
      </w:r>
      <w:r w:rsidR="00544BA4">
        <w:rPr>
          <w:rFonts w:ascii="Times New Roman" w:hAnsi="Times New Roman" w:cs="Times New Roman"/>
          <w:sz w:val="24"/>
          <w:szCs w:val="24"/>
        </w:rPr>
        <w:t>.  The Advisory Group</w:t>
      </w:r>
      <w:r w:rsidR="000140A4">
        <w:rPr>
          <w:rFonts w:ascii="Times New Roman" w:hAnsi="Times New Roman" w:cs="Times New Roman"/>
          <w:sz w:val="24"/>
          <w:szCs w:val="24"/>
        </w:rPr>
        <w:t xml:space="preserve"> play</w:t>
      </w:r>
      <w:r w:rsidR="00544BA4">
        <w:rPr>
          <w:rFonts w:ascii="Times New Roman" w:hAnsi="Times New Roman" w:cs="Times New Roman"/>
          <w:sz w:val="24"/>
          <w:szCs w:val="24"/>
        </w:rPr>
        <w:t>s</w:t>
      </w:r>
      <w:r w:rsidR="000140A4">
        <w:rPr>
          <w:rFonts w:ascii="Times New Roman" w:hAnsi="Times New Roman" w:cs="Times New Roman"/>
          <w:sz w:val="24"/>
          <w:szCs w:val="24"/>
        </w:rPr>
        <w:t xml:space="preserve"> an </w:t>
      </w:r>
      <w:r w:rsidR="000140A4" w:rsidRPr="00E07AEB">
        <w:rPr>
          <w:rFonts w:ascii="Times New Roman" w:hAnsi="Times New Roman" w:cs="Times New Roman"/>
          <w:i/>
          <w:sz w:val="24"/>
          <w:szCs w:val="24"/>
        </w:rPr>
        <w:t>advisory</w:t>
      </w:r>
      <w:r w:rsidR="000140A4">
        <w:rPr>
          <w:rFonts w:ascii="Times New Roman" w:hAnsi="Times New Roman" w:cs="Times New Roman"/>
          <w:sz w:val="24"/>
          <w:szCs w:val="24"/>
        </w:rPr>
        <w:t xml:space="preserve"> role, offering guidance to the utility</w:t>
      </w:r>
      <w:r w:rsidR="00DC3DB1">
        <w:rPr>
          <w:rFonts w:ascii="Times New Roman" w:hAnsi="Times New Roman" w:cs="Times New Roman"/>
          <w:sz w:val="24"/>
          <w:szCs w:val="24"/>
        </w:rPr>
        <w:t xml:space="preserve"> on a range of issues, but do</w:t>
      </w:r>
      <w:r w:rsidR="00544BA4">
        <w:rPr>
          <w:rFonts w:ascii="Times New Roman" w:hAnsi="Times New Roman" w:cs="Times New Roman"/>
          <w:sz w:val="24"/>
          <w:szCs w:val="24"/>
        </w:rPr>
        <w:t>es</w:t>
      </w:r>
      <w:r w:rsidR="00DC3DB1">
        <w:rPr>
          <w:rFonts w:ascii="Times New Roman" w:hAnsi="Times New Roman" w:cs="Times New Roman"/>
          <w:sz w:val="24"/>
          <w:szCs w:val="24"/>
        </w:rPr>
        <w:t xml:space="preserve"> not have ultimate authority</w:t>
      </w:r>
      <w:r w:rsidR="008D1FC3">
        <w:rPr>
          <w:rFonts w:ascii="Times New Roman" w:hAnsi="Times New Roman" w:cs="Times New Roman"/>
          <w:sz w:val="24"/>
          <w:szCs w:val="24"/>
        </w:rPr>
        <w:t>,</w:t>
      </w:r>
      <w:r w:rsidR="00DC3DB1">
        <w:rPr>
          <w:rFonts w:ascii="Times New Roman" w:hAnsi="Times New Roman" w:cs="Times New Roman"/>
          <w:sz w:val="24"/>
          <w:szCs w:val="24"/>
        </w:rPr>
        <w:t xml:space="preserve"> oversight</w:t>
      </w:r>
      <w:r w:rsidR="008D1FC3">
        <w:rPr>
          <w:rFonts w:ascii="Times New Roman" w:hAnsi="Times New Roman" w:cs="Times New Roman"/>
          <w:sz w:val="24"/>
          <w:szCs w:val="24"/>
        </w:rPr>
        <w:t>, or accountability for</w:t>
      </w:r>
      <w:r w:rsidR="007409B3">
        <w:rPr>
          <w:rFonts w:ascii="Times New Roman" w:hAnsi="Times New Roman" w:cs="Times New Roman"/>
          <w:sz w:val="24"/>
          <w:szCs w:val="24"/>
        </w:rPr>
        <w:t xml:space="preserve"> the </w:t>
      </w:r>
      <w:r w:rsidR="00E07AEB">
        <w:rPr>
          <w:rFonts w:ascii="Times New Roman" w:hAnsi="Times New Roman" w:cs="Times New Roman"/>
          <w:sz w:val="24"/>
          <w:szCs w:val="24"/>
        </w:rPr>
        <w:t xml:space="preserve">development, delivery, and evaluation of the </w:t>
      </w:r>
      <w:r w:rsidR="007409B3">
        <w:rPr>
          <w:rFonts w:ascii="Times New Roman" w:hAnsi="Times New Roman" w:cs="Times New Roman"/>
          <w:sz w:val="24"/>
          <w:szCs w:val="24"/>
        </w:rPr>
        <w:t>conservation portfolio.</w:t>
      </w:r>
      <w:r w:rsidR="00946923">
        <w:rPr>
          <w:rFonts w:ascii="Times New Roman" w:hAnsi="Times New Roman" w:cs="Times New Roman"/>
          <w:sz w:val="24"/>
          <w:szCs w:val="24"/>
        </w:rPr>
        <w:t xml:space="preserve">  Public Counsel raised these concerns in comments file</w:t>
      </w:r>
      <w:r w:rsidR="000D79B2">
        <w:rPr>
          <w:rFonts w:ascii="Times New Roman" w:hAnsi="Times New Roman" w:cs="Times New Roman"/>
          <w:sz w:val="24"/>
          <w:szCs w:val="24"/>
        </w:rPr>
        <w:t>d with the Commission in August</w:t>
      </w:r>
      <w:r w:rsidR="00946923">
        <w:rPr>
          <w:rFonts w:ascii="Times New Roman" w:hAnsi="Times New Roman" w:cs="Times New Roman"/>
          <w:sz w:val="24"/>
          <w:szCs w:val="24"/>
        </w:rPr>
        <w:t xml:space="preserve"> 2012.</w:t>
      </w:r>
      <w:r w:rsidR="00946923">
        <w:rPr>
          <w:rStyle w:val="FootnoteReference"/>
          <w:rFonts w:ascii="Times New Roman" w:hAnsi="Times New Roman" w:cs="Times New Roman"/>
          <w:sz w:val="24"/>
          <w:szCs w:val="24"/>
        </w:rPr>
        <w:footnoteReference w:id="7"/>
      </w:r>
      <w:r w:rsidR="00544BA4">
        <w:rPr>
          <w:rFonts w:ascii="Times New Roman" w:hAnsi="Times New Roman" w:cs="Times New Roman"/>
          <w:sz w:val="24"/>
          <w:szCs w:val="24"/>
        </w:rPr>
        <w:t xml:space="preserve">  </w:t>
      </w:r>
    </w:p>
    <w:p w:rsidR="00510647" w:rsidRDefault="007706D9" w:rsidP="00510647">
      <w:pPr>
        <w:rPr>
          <w:rFonts w:ascii="Times New Roman" w:hAnsi="Times New Roman" w:cs="Times New Roman"/>
          <w:sz w:val="24"/>
          <w:szCs w:val="24"/>
        </w:rPr>
      </w:pPr>
      <w:r>
        <w:rPr>
          <w:rFonts w:ascii="Times New Roman" w:hAnsi="Times New Roman" w:cs="Times New Roman"/>
          <w:i/>
          <w:sz w:val="24"/>
          <w:szCs w:val="24"/>
        </w:rPr>
        <w:t>Review of EM&amp;V and in</w:t>
      </w:r>
      <w:r w:rsidR="00A008FC">
        <w:rPr>
          <w:rFonts w:ascii="Times New Roman" w:hAnsi="Times New Roman" w:cs="Times New Roman"/>
          <w:i/>
          <w:sz w:val="24"/>
          <w:szCs w:val="24"/>
        </w:rPr>
        <w:t>corporation of findings in portfolio.</w:t>
      </w:r>
      <w:r w:rsidR="000D79B2">
        <w:rPr>
          <w:rFonts w:ascii="Times New Roman" w:hAnsi="Times New Roman" w:cs="Times New Roman"/>
          <w:i/>
          <w:sz w:val="24"/>
          <w:szCs w:val="24"/>
        </w:rPr>
        <w:t xml:space="preserve"> </w:t>
      </w:r>
      <w:r w:rsidR="00A008FC">
        <w:rPr>
          <w:rFonts w:ascii="Times New Roman" w:hAnsi="Times New Roman" w:cs="Times New Roman"/>
          <w:i/>
          <w:sz w:val="24"/>
          <w:szCs w:val="24"/>
        </w:rPr>
        <w:t xml:space="preserve"> </w:t>
      </w:r>
      <w:r w:rsidR="00015ACC">
        <w:rPr>
          <w:rFonts w:ascii="Times New Roman" w:hAnsi="Times New Roman" w:cs="Times New Roman"/>
          <w:sz w:val="24"/>
          <w:szCs w:val="24"/>
        </w:rPr>
        <w:t xml:space="preserve">Staff's proposed approach outlined five elements of conservation prudence review. </w:t>
      </w:r>
      <w:r w:rsidR="00CF4512">
        <w:rPr>
          <w:rFonts w:ascii="Times New Roman" w:hAnsi="Times New Roman" w:cs="Times New Roman"/>
          <w:sz w:val="24"/>
          <w:szCs w:val="24"/>
        </w:rPr>
        <w:t xml:space="preserve"> </w:t>
      </w:r>
      <w:r w:rsidR="00015ACC">
        <w:rPr>
          <w:rFonts w:ascii="Times New Roman" w:hAnsi="Times New Roman" w:cs="Times New Roman"/>
          <w:sz w:val="24"/>
          <w:szCs w:val="24"/>
        </w:rPr>
        <w:t>The fifth element pertained to third-party evaluation, measurement, and verification (EM&amp;V), and incorporation of evaluation findings into the conservation portfolio</w:t>
      </w:r>
      <w:r w:rsidR="00A008FC">
        <w:rPr>
          <w:rFonts w:ascii="Times New Roman" w:hAnsi="Times New Roman" w:cs="Times New Roman"/>
          <w:sz w:val="24"/>
          <w:szCs w:val="24"/>
        </w:rPr>
        <w:t>.</w:t>
      </w:r>
      <w:r w:rsidR="00A008FC">
        <w:rPr>
          <w:rStyle w:val="FootnoteReference"/>
          <w:rFonts w:ascii="Times New Roman" w:hAnsi="Times New Roman" w:cs="Times New Roman"/>
          <w:sz w:val="24"/>
          <w:szCs w:val="24"/>
        </w:rPr>
        <w:footnoteReference w:id="8"/>
      </w:r>
      <w:r w:rsidR="00A008FC">
        <w:rPr>
          <w:rFonts w:ascii="Times New Roman" w:hAnsi="Times New Roman" w:cs="Times New Roman"/>
          <w:sz w:val="24"/>
          <w:szCs w:val="24"/>
        </w:rPr>
        <w:t xml:space="preserve"> </w:t>
      </w:r>
      <w:r w:rsidR="00015ACC">
        <w:rPr>
          <w:rFonts w:ascii="Times New Roman" w:hAnsi="Times New Roman" w:cs="Times New Roman"/>
          <w:sz w:val="24"/>
          <w:szCs w:val="24"/>
        </w:rPr>
        <w:t xml:space="preserve"> We share Staff's view that EM&amp;V is a critical element of prudence</w:t>
      </w:r>
      <w:r w:rsidR="00A008FC">
        <w:rPr>
          <w:rFonts w:ascii="Times New Roman" w:hAnsi="Times New Roman" w:cs="Times New Roman"/>
          <w:sz w:val="24"/>
          <w:szCs w:val="24"/>
        </w:rPr>
        <w:t>, including demonstration that evaluation findings are incorporated in the portfolio.  This is p</w:t>
      </w:r>
      <w:r w:rsidR="008F375F">
        <w:rPr>
          <w:rFonts w:ascii="Times New Roman" w:hAnsi="Times New Roman" w:cs="Times New Roman"/>
          <w:sz w:val="24"/>
          <w:szCs w:val="24"/>
        </w:rPr>
        <w:t>art of the expectation that utilities adaptively manage the conservation portfolio.  Public Counsel is</w:t>
      </w:r>
      <w:r w:rsidR="000E3061">
        <w:rPr>
          <w:rFonts w:ascii="Times New Roman" w:hAnsi="Times New Roman" w:cs="Times New Roman"/>
          <w:sz w:val="24"/>
          <w:szCs w:val="24"/>
        </w:rPr>
        <w:t xml:space="preserve"> interested in further stakeholder discussion and consideration by the Commission as to when and how this aspect of prudence would be reviewed and considered.  For example, </w:t>
      </w:r>
      <w:r w:rsidR="005A7198">
        <w:rPr>
          <w:rFonts w:ascii="Times New Roman" w:hAnsi="Times New Roman" w:cs="Times New Roman"/>
          <w:sz w:val="24"/>
          <w:szCs w:val="24"/>
        </w:rPr>
        <w:t xml:space="preserve">one </w:t>
      </w:r>
      <w:r w:rsidR="00510647">
        <w:rPr>
          <w:rFonts w:ascii="Times New Roman" w:hAnsi="Times New Roman" w:cs="Times New Roman"/>
          <w:sz w:val="24"/>
          <w:szCs w:val="24"/>
        </w:rPr>
        <w:t xml:space="preserve">consideration is whether the utilities should provide </w:t>
      </w:r>
      <w:r w:rsidR="004F7735">
        <w:rPr>
          <w:rFonts w:ascii="Times New Roman" w:hAnsi="Times New Roman" w:cs="Times New Roman"/>
          <w:sz w:val="24"/>
          <w:szCs w:val="24"/>
        </w:rPr>
        <w:t xml:space="preserve">the Commission with an explanation regarding how EM&amp;V findings have been considered and incorporated into the conservation portfolio.  Finally, we observe that while electric utilities are subject to EM&amp;V requirements as a </w:t>
      </w:r>
      <w:r w:rsidR="004F7735">
        <w:rPr>
          <w:rFonts w:ascii="Times New Roman" w:hAnsi="Times New Roman" w:cs="Times New Roman"/>
          <w:sz w:val="24"/>
          <w:szCs w:val="24"/>
        </w:rPr>
        <w:lastRenderedPageBreak/>
        <w:t xml:space="preserve">result of EIA implementation and compliance, there are currently no consistent requirements or expectations for the natural gas companies. </w:t>
      </w:r>
    </w:p>
    <w:p w:rsidR="002F2DE2" w:rsidRDefault="00571831">
      <w:pPr>
        <w:rPr>
          <w:rFonts w:ascii="Times New Roman" w:hAnsi="Times New Roman" w:cs="Times New Roman"/>
          <w:sz w:val="24"/>
          <w:szCs w:val="24"/>
        </w:rPr>
      </w:pPr>
      <w:r>
        <w:rPr>
          <w:rFonts w:ascii="Times New Roman" w:hAnsi="Times New Roman" w:cs="Times New Roman"/>
          <w:sz w:val="24"/>
          <w:szCs w:val="24"/>
        </w:rPr>
        <w:t>P</w:t>
      </w:r>
      <w:r w:rsidR="00820340" w:rsidRPr="00820340">
        <w:rPr>
          <w:rFonts w:ascii="Times New Roman" w:hAnsi="Times New Roman" w:cs="Times New Roman"/>
          <w:i/>
          <w:sz w:val="24"/>
          <w:szCs w:val="24"/>
        </w:rPr>
        <w:t>roce</w:t>
      </w:r>
      <w:r>
        <w:rPr>
          <w:rFonts w:ascii="Times New Roman" w:hAnsi="Times New Roman" w:cs="Times New Roman"/>
          <w:i/>
          <w:sz w:val="24"/>
          <w:szCs w:val="24"/>
        </w:rPr>
        <w:t xml:space="preserve">ss for prudence challenge, </w:t>
      </w:r>
      <w:r w:rsidR="00820340" w:rsidRPr="00820340">
        <w:rPr>
          <w:rFonts w:ascii="Times New Roman" w:hAnsi="Times New Roman" w:cs="Times New Roman"/>
          <w:i/>
          <w:sz w:val="24"/>
          <w:szCs w:val="24"/>
        </w:rPr>
        <w:t>if necessary</w:t>
      </w:r>
      <w:r w:rsidR="00820340">
        <w:rPr>
          <w:rFonts w:ascii="Times New Roman" w:hAnsi="Times New Roman" w:cs="Times New Roman"/>
          <w:sz w:val="24"/>
          <w:szCs w:val="24"/>
        </w:rPr>
        <w:t xml:space="preserve">.  As stated earlier, Public Counsel agrees with Staff that consideration of prudence in the DSM context involves multiple elements at various points in time.  </w:t>
      </w:r>
      <w:r w:rsidR="0007176C">
        <w:rPr>
          <w:rFonts w:ascii="Times New Roman" w:hAnsi="Times New Roman" w:cs="Times New Roman"/>
          <w:sz w:val="24"/>
          <w:szCs w:val="24"/>
        </w:rPr>
        <w:t>But we note that t</w:t>
      </w:r>
      <w:r w:rsidR="00366E0B">
        <w:rPr>
          <w:rFonts w:ascii="Times New Roman" w:hAnsi="Times New Roman" w:cs="Times New Roman"/>
          <w:sz w:val="24"/>
          <w:szCs w:val="24"/>
        </w:rPr>
        <w:t>he timeframe for review of most conservation filings</w:t>
      </w:r>
      <w:r w:rsidR="0038463D">
        <w:rPr>
          <w:rFonts w:ascii="Times New Roman" w:hAnsi="Times New Roman" w:cs="Times New Roman"/>
          <w:sz w:val="24"/>
          <w:szCs w:val="24"/>
        </w:rPr>
        <w:t>, such as DSM tariff rider filings, and BCP and BCR filings,</w:t>
      </w:r>
      <w:r w:rsidR="00366E0B">
        <w:rPr>
          <w:rFonts w:ascii="Times New Roman" w:hAnsi="Times New Roman" w:cs="Times New Roman"/>
          <w:sz w:val="24"/>
          <w:szCs w:val="24"/>
        </w:rPr>
        <w:t xml:space="preserve"> has </w:t>
      </w:r>
      <w:r w:rsidR="0038463D">
        <w:rPr>
          <w:rFonts w:ascii="Times New Roman" w:hAnsi="Times New Roman" w:cs="Times New Roman"/>
          <w:sz w:val="24"/>
          <w:szCs w:val="24"/>
        </w:rPr>
        <w:t xml:space="preserve">generally </w:t>
      </w:r>
      <w:r w:rsidR="00366E0B">
        <w:rPr>
          <w:rFonts w:ascii="Times New Roman" w:hAnsi="Times New Roman" w:cs="Times New Roman"/>
          <w:sz w:val="24"/>
          <w:szCs w:val="24"/>
        </w:rPr>
        <w:t>been 30 to 60 days</w:t>
      </w:r>
      <w:r>
        <w:rPr>
          <w:rFonts w:ascii="Times New Roman" w:hAnsi="Times New Roman" w:cs="Times New Roman"/>
          <w:sz w:val="24"/>
          <w:szCs w:val="24"/>
        </w:rPr>
        <w:t xml:space="preserve">, and is not likely to provide sufficient opportunity for review </w:t>
      </w:r>
      <w:r w:rsidR="00FD43F1">
        <w:rPr>
          <w:rFonts w:ascii="Times New Roman" w:hAnsi="Times New Roman" w:cs="Times New Roman"/>
          <w:sz w:val="24"/>
          <w:szCs w:val="24"/>
        </w:rPr>
        <w:t xml:space="preserve">and comment regarding </w:t>
      </w:r>
      <w:r>
        <w:rPr>
          <w:rFonts w:ascii="Times New Roman" w:hAnsi="Times New Roman" w:cs="Times New Roman"/>
          <w:sz w:val="24"/>
          <w:szCs w:val="24"/>
        </w:rPr>
        <w:t>any prudence concerns</w:t>
      </w:r>
      <w:r w:rsidR="0007176C">
        <w:rPr>
          <w:rFonts w:ascii="Times New Roman" w:hAnsi="Times New Roman" w:cs="Times New Roman"/>
          <w:sz w:val="24"/>
          <w:szCs w:val="24"/>
        </w:rPr>
        <w:t>, to the extent any party has identified any concerns</w:t>
      </w:r>
      <w:r w:rsidR="0038463D">
        <w:rPr>
          <w:rFonts w:ascii="Times New Roman" w:hAnsi="Times New Roman" w:cs="Times New Roman"/>
          <w:sz w:val="24"/>
          <w:szCs w:val="24"/>
        </w:rPr>
        <w:t xml:space="preserve">.  </w:t>
      </w:r>
      <w:r w:rsidR="00FD43F1">
        <w:rPr>
          <w:rFonts w:ascii="Times New Roman" w:hAnsi="Times New Roman" w:cs="Times New Roman"/>
          <w:sz w:val="24"/>
          <w:szCs w:val="24"/>
        </w:rPr>
        <w:t xml:space="preserve">While this may not arise often, </w:t>
      </w:r>
      <w:r w:rsidR="0038463D">
        <w:rPr>
          <w:rFonts w:ascii="Times New Roman" w:hAnsi="Times New Roman" w:cs="Times New Roman"/>
          <w:sz w:val="24"/>
          <w:szCs w:val="24"/>
        </w:rPr>
        <w:t xml:space="preserve">appropriate </w:t>
      </w:r>
      <w:r w:rsidR="00FD43F1">
        <w:rPr>
          <w:rFonts w:ascii="Times New Roman" w:hAnsi="Times New Roman" w:cs="Times New Roman"/>
          <w:sz w:val="24"/>
          <w:szCs w:val="24"/>
        </w:rPr>
        <w:t xml:space="preserve">and sufficient </w:t>
      </w:r>
      <w:r w:rsidR="0038463D">
        <w:rPr>
          <w:rFonts w:ascii="Times New Roman" w:hAnsi="Times New Roman" w:cs="Times New Roman"/>
          <w:sz w:val="24"/>
          <w:szCs w:val="24"/>
        </w:rPr>
        <w:t xml:space="preserve">procedural vehicles </w:t>
      </w:r>
      <w:r w:rsidR="00FD43F1">
        <w:rPr>
          <w:rFonts w:ascii="Times New Roman" w:hAnsi="Times New Roman" w:cs="Times New Roman"/>
          <w:sz w:val="24"/>
          <w:szCs w:val="24"/>
        </w:rPr>
        <w:t xml:space="preserve">should be </w:t>
      </w:r>
      <w:r w:rsidR="0038463D">
        <w:rPr>
          <w:rFonts w:ascii="Times New Roman" w:hAnsi="Times New Roman" w:cs="Times New Roman"/>
          <w:sz w:val="24"/>
          <w:szCs w:val="24"/>
        </w:rPr>
        <w:t xml:space="preserve">available to parties to challenge prudence, if necessary.  </w:t>
      </w:r>
      <w:r>
        <w:rPr>
          <w:rFonts w:ascii="Times New Roman" w:hAnsi="Times New Roman" w:cs="Times New Roman"/>
          <w:sz w:val="24"/>
          <w:szCs w:val="24"/>
        </w:rPr>
        <w:t xml:space="preserve"> If requested by a party, the additional review could occur through an existing conservation filing</w:t>
      </w:r>
      <w:r w:rsidR="00B83FD4">
        <w:rPr>
          <w:rFonts w:ascii="Times New Roman" w:hAnsi="Times New Roman" w:cs="Times New Roman"/>
          <w:sz w:val="24"/>
          <w:szCs w:val="24"/>
        </w:rPr>
        <w:t xml:space="preserve"> such as the DSM tariff rider or BCP/BCR filings, or as </w:t>
      </w:r>
      <w:r w:rsidR="00CF4512">
        <w:rPr>
          <w:rFonts w:ascii="Times New Roman" w:hAnsi="Times New Roman" w:cs="Times New Roman"/>
          <w:sz w:val="24"/>
          <w:szCs w:val="24"/>
        </w:rPr>
        <w:t xml:space="preserve">part of a separate adjudicatory </w:t>
      </w:r>
      <w:r w:rsidR="00B83FD4">
        <w:rPr>
          <w:rFonts w:ascii="Times New Roman" w:hAnsi="Times New Roman" w:cs="Times New Roman"/>
          <w:sz w:val="24"/>
          <w:szCs w:val="24"/>
        </w:rPr>
        <w:t xml:space="preserve">proceeding.  </w:t>
      </w:r>
    </w:p>
    <w:p w:rsidR="004F2DDF" w:rsidRDefault="004F2DDF">
      <w:pPr>
        <w:rPr>
          <w:rFonts w:ascii="Times New Roman" w:hAnsi="Times New Roman" w:cs="Times New Roman"/>
          <w:sz w:val="24"/>
          <w:szCs w:val="24"/>
        </w:rPr>
      </w:pPr>
      <w:r>
        <w:rPr>
          <w:rFonts w:ascii="Times New Roman" w:hAnsi="Times New Roman" w:cs="Times New Roman"/>
          <w:sz w:val="24"/>
          <w:szCs w:val="24"/>
        </w:rPr>
        <w:t xml:space="preserve">These issues, and perhaps others as well, would benefit from further stakeholder review and input.  With respect to prudence of electric conservation programs, these issues </w:t>
      </w:r>
      <w:r w:rsidR="00D46FD4">
        <w:rPr>
          <w:rFonts w:ascii="Times New Roman" w:hAnsi="Times New Roman" w:cs="Times New Roman"/>
          <w:sz w:val="24"/>
          <w:szCs w:val="24"/>
        </w:rPr>
        <w:t>could</w:t>
      </w:r>
      <w:r>
        <w:rPr>
          <w:rFonts w:ascii="Times New Roman" w:hAnsi="Times New Roman" w:cs="Times New Roman"/>
          <w:sz w:val="24"/>
          <w:szCs w:val="24"/>
        </w:rPr>
        <w:t xml:space="preserve"> be considered in the Commission's EIA rulemaking proceeding.  </w:t>
      </w:r>
      <w:r w:rsidR="00D46FD4">
        <w:rPr>
          <w:rFonts w:ascii="Times New Roman" w:hAnsi="Times New Roman" w:cs="Times New Roman"/>
          <w:sz w:val="24"/>
          <w:szCs w:val="24"/>
        </w:rPr>
        <w:t xml:space="preserve">With respect to the process for prudence review of gas conservation programs, the Commission may need to initiate a rulemaking proceeding </w:t>
      </w:r>
      <w:r w:rsidR="007B63A3">
        <w:rPr>
          <w:rFonts w:ascii="Times New Roman" w:hAnsi="Times New Roman" w:cs="Times New Roman"/>
          <w:sz w:val="24"/>
          <w:szCs w:val="24"/>
        </w:rPr>
        <w:t xml:space="preserve">or policy docket </w:t>
      </w:r>
      <w:r w:rsidR="00D46FD4">
        <w:rPr>
          <w:rFonts w:ascii="Times New Roman" w:hAnsi="Times New Roman" w:cs="Times New Roman"/>
          <w:sz w:val="24"/>
          <w:szCs w:val="24"/>
        </w:rPr>
        <w:t xml:space="preserve">to develop consistent requirements for the natural gas </w:t>
      </w:r>
      <w:r w:rsidR="00FD43F1">
        <w:rPr>
          <w:rFonts w:ascii="Times New Roman" w:hAnsi="Times New Roman" w:cs="Times New Roman"/>
          <w:sz w:val="24"/>
          <w:szCs w:val="24"/>
        </w:rPr>
        <w:t>companies</w:t>
      </w:r>
      <w:r w:rsidR="00D46FD4">
        <w:rPr>
          <w:rFonts w:ascii="Times New Roman" w:hAnsi="Times New Roman" w:cs="Times New Roman"/>
          <w:sz w:val="24"/>
          <w:szCs w:val="24"/>
        </w:rPr>
        <w:t xml:space="preserve"> regarding prudence review, reporting, and evaluation.</w:t>
      </w:r>
    </w:p>
    <w:p w:rsidR="00427170" w:rsidRDefault="00502730">
      <w:pPr>
        <w:rPr>
          <w:rFonts w:ascii="Times New Roman" w:hAnsi="Times New Roman" w:cs="Times New Roman"/>
          <w:sz w:val="24"/>
          <w:szCs w:val="24"/>
        </w:rPr>
      </w:pPr>
      <w:r>
        <w:rPr>
          <w:rFonts w:ascii="Times New Roman" w:hAnsi="Times New Roman" w:cs="Times New Roman"/>
          <w:sz w:val="24"/>
          <w:szCs w:val="24"/>
        </w:rPr>
        <w:t xml:space="preserve">We also recognize that </w:t>
      </w:r>
      <w:r w:rsidR="00855C07">
        <w:rPr>
          <w:rFonts w:ascii="Times New Roman" w:hAnsi="Times New Roman" w:cs="Times New Roman"/>
          <w:sz w:val="24"/>
          <w:szCs w:val="24"/>
        </w:rPr>
        <w:t xml:space="preserve">Staff proposes discontinuing the requirement for a finding of prudence at a particular time for </w:t>
      </w:r>
      <w:r w:rsidR="0007176C">
        <w:rPr>
          <w:rFonts w:ascii="Times New Roman" w:hAnsi="Times New Roman" w:cs="Times New Roman"/>
          <w:sz w:val="24"/>
          <w:szCs w:val="24"/>
        </w:rPr>
        <w:t xml:space="preserve">Avista’s </w:t>
      </w:r>
      <w:r w:rsidR="00855C07">
        <w:rPr>
          <w:rFonts w:ascii="Times New Roman" w:hAnsi="Times New Roman" w:cs="Times New Roman"/>
          <w:sz w:val="24"/>
          <w:szCs w:val="24"/>
        </w:rPr>
        <w:t>gas conservation</w:t>
      </w:r>
      <w:r w:rsidR="0007176C">
        <w:rPr>
          <w:rFonts w:ascii="Times New Roman" w:hAnsi="Times New Roman" w:cs="Times New Roman"/>
          <w:sz w:val="24"/>
          <w:szCs w:val="24"/>
        </w:rPr>
        <w:t xml:space="preserve"> programs</w:t>
      </w:r>
      <w:r w:rsidR="00855C07">
        <w:rPr>
          <w:rFonts w:ascii="Times New Roman" w:hAnsi="Times New Roman" w:cs="Times New Roman"/>
          <w:sz w:val="24"/>
          <w:szCs w:val="24"/>
        </w:rPr>
        <w:t xml:space="preserve">, and asks Avista to begin </w:t>
      </w:r>
      <w:r w:rsidR="00B83FD4">
        <w:rPr>
          <w:rFonts w:ascii="Times New Roman" w:hAnsi="Times New Roman" w:cs="Times New Roman"/>
          <w:sz w:val="24"/>
          <w:szCs w:val="24"/>
        </w:rPr>
        <w:t>developing</w:t>
      </w:r>
      <w:r w:rsidR="00855C07">
        <w:rPr>
          <w:rFonts w:ascii="Times New Roman" w:hAnsi="Times New Roman" w:cs="Times New Roman"/>
          <w:sz w:val="24"/>
          <w:szCs w:val="24"/>
        </w:rPr>
        <w:t xml:space="preserve"> a joint petition to be filed in the Avista 2011 GRC dockets.</w:t>
      </w:r>
      <w:r>
        <w:rPr>
          <w:rStyle w:val="FootnoteReference"/>
          <w:rFonts w:ascii="Times New Roman" w:hAnsi="Times New Roman" w:cs="Times New Roman"/>
          <w:sz w:val="24"/>
          <w:szCs w:val="24"/>
        </w:rPr>
        <w:footnoteReference w:id="9"/>
      </w:r>
      <w:r w:rsidR="00B83FD4">
        <w:rPr>
          <w:rFonts w:ascii="Times New Roman" w:hAnsi="Times New Roman" w:cs="Times New Roman"/>
          <w:sz w:val="24"/>
          <w:szCs w:val="24"/>
        </w:rPr>
        <w:t xml:space="preserve">  To date, no discussions among the parties to the MOU have o</w:t>
      </w:r>
      <w:r>
        <w:rPr>
          <w:rFonts w:ascii="Times New Roman" w:hAnsi="Times New Roman" w:cs="Times New Roman"/>
          <w:sz w:val="24"/>
          <w:szCs w:val="24"/>
        </w:rPr>
        <w:t>ccurred regarding a different process for DSM prudence review.  Public Counsel’s preference is to develop a consistent approach for all electric and gas companies, through rulemaking or policy dockets, as appropriate.</w:t>
      </w:r>
    </w:p>
    <w:p w:rsidR="00427170" w:rsidRPr="0080655F" w:rsidRDefault="005A7198">
      <w:pPr>
        <w:rPr>
          <w:rFonts w:ascii="Times New Roman" w:hAnsi="Times New Roman" w:cs="Times New Roman"/>
          <w:b/>
          <w:sz w:val="24"/>
          <w:szCs w:val="24"/>
        </w:rPr>
      </w:pPr>
      <w:r>
        <w:rPr>
          <w:rFonts w:ascii="Times New Roman" w:hAnsi="Times New Roman" w:cs="Times New Roman"/>
          <w:b/>
          <w:sz w:val="24"/>
          <w:szCs w:val="24"/>
        </w:rPr>
        <w:t xml:space="preserve">2012-2013 </w:t>
      </w:r>
      <w:r w:rsidR="00352B82">
        <w:rPr>
          <w:rFonts w:ascii="Times New Roman" w:hAnsi="Times New Roman" w:cs="Times New Roman"/>
          <w:b/>
          <w:sz w:val="24"/>
          <w:szCs w:val="24"/>
        </w:rPr>
        <w:t>DSM Prudence Review</w:t>
      </w:r>
    </w:p>
    <w:p w:rsidR="00427170" w:rsidRDefault="0058063A">
      <w:pPr>
        <w:rPr>
          <w:rFonts w:ascii="Times New Roman" w:hAnsi="Times New Roman" w:cs="Times New Roman"/>
          <w:sz w:val="24"/>
          <w:szCs w:val="24"/>
        </w:rPr>
      </w:pPr>
      <w:r>
        <w:rPr>
          <w:rFonts w:ascii="Times New Roman" w:hAnsi="Times New Roman" w:cs="Times New Roman"/>
          <w:sz w:val="24"/>
          <w:szCs w:val="24"/>
        </w:rPr>
        <w:t>Avista’s filing in these dockets included testimony and exhibits supporting the prudency of its electric and natural gas DSM programs.  In our June 30, 2014</w:t>
      </w:r>
      <w:r w:rsidR="00CF4512">
        <w:rPr>
          <w:rFonts w:ascii="Times New Roman" w:hAnsi="Times New Roman" w:cs="Times New Roman"/>
          <w:sz w:val="24"/>
          <w:szCs w:val="24"/>
        </w:rPr>
        <w:t>,</w:t>
      </w:r>
      <w:r>
        <w:rPr>
          <w:rFonts w:ascii="Times New Roman" w:hAnsi="Times New Roman" w:cs="Times New Roman"/>
          <w:sz w:val="24"/>
          <w:szCs w:val="24"/>
        </w:rPr>
        <w:t xml:space="preserve"> comments, Public Counsel stated we were not requesting adjudication of the prudence review.  </w:t>
      </w:r>
      <w:r w:rsidR="0080655F">
        <w:rPr>
          <w:rFonts w:ascii="Times New Roman" w:hAnsi="Times New Roman" w:cs="Times New Roman"/>
          <w:sz w:val="24"/>
          <w:szCs w:val="24"/>
        </w:rPr>
        <w:t xml:space="preserve">Avista’s filing in these dockets is voluminous, and so our review of the materials and follow-up with the Company on </w:t>
      </w:r>
      <w:r w:rsidR="00855C07">
        <w:rPr>
          <w:rFonts w:ascii="Times New Roman" w:hAnsi="Times New Roman" w:cs="Times New Roman"/>
          <w:sz w:val="24"/>
          <w:szCs w:val="24"/>
        </w:rPr>
        <w:t>some issues</w:t>
      </w:r>
      <w:r w:rsidR="0080655F">
        <w:rPr>
          <w:rFonts w:ascii="Times New Roman" w:hAnsi="Times New Roman" w:cs="Times New Roman"/>
          <w:sz w:val="24"/>
          <w:szCs w:val="24"/>
        </w:rPr>
        <w:t xml:space="preserve"> has been ongoing.  </w:t>
      </w:r>
      <w:r w:rsidR="00D25DAF">
        <w:rPr>
          <w:rFonts w:ascii="Times New Roman" w:hAnsi="Times New Roman" w:cs="Times New Roman"/>
          <w:sz w:val="24"/>
          <w:szCs w:val="24"/>
        </w:rPr>
        <w:t xml:space="preserve">An issue discussed in Avista’s testimony, and in comments of Staff and Public Counsel, concerns </w:t>
      </w:r>
      <w:r w:rsidR="00097CF2">
        <w:rPr>
          <w:rFonts w:ascii="Times New Roman" w:hAnsi="Times New Roman" w:cs="Times New Roman"/>
          <w:sz w:val="24"/>
          <w:szCs w:val="24"/>
        </w:rPr>
        <w:t xml:space="preserve">the findings and recommendations of the Cadmus process evaluation regarding quality control, review, and verification of nonresidential projects.  </w:t>
      </w:r>
      <w:r w:rsidR="00792039">
        <w:rPr>
          <w:rFonts w:ascii="Times New Roman" w:hAnsi="Times New Roman" w:cs="Times New Roman"/>
          <w:sz w:val="24"/>
          <w:szCs w:val="24"/>
        </w:rPr>
        <w:t xml:space="preserve">Avista has recently </w:t>
      </w:r>
      <w:r w:rsidR="00792039">
        <w:rPr>
          <w:rFonts w:ascii="Times New Roman" w:hAnsi="Times New Roman" w:cs="Times New Roman"/>
          <w:sz w:val="24"/>
          <w:szCs w:val="24"/>
        </w:rPr>
        <w:lastRenderedPageBreak/>
        <w:t>provided additional information to Staff and Public Counsel regarding the results of Avista’s internal review of large nonresidential projects.</w:t>
      </w:r>
      <w:r w:rsidR="00177C04">
        <w:rPr>
          <w:rStyle w:val="FootnoteReference"/>
          <w:rFonts w:ascii="Times New Roman" w:hAnsi="Times New Roman" w:cs="Times New Roman"/>
          <w:sz w:val="24"/>
          <w:szCs w:val="24"/>
        </w:rPr>
        <w:footnoteReference w:id="10"/>
      </w:r>
      <w:r w:rsidR="00792039">
        <w:rPr>
          <w:rFonts w:ascii="Times New Roman" w:hAnsi="Times New Roman" w:cs="Times New Roman"/>
          <w:sz w:val="24"/>
          <w:szCs w:val="24"/>
        </w:rPr>
        <w:t xml:space="preserve">  </w:t>
      </w:r>
    </w:p>
    <w:p w:rsidR="00310F23" w:rsidRDefault="00310F23">
      <w:pPr>
        <w:rPr>
          <w:rFonts w:ascii="Times New Roman" w:hAnsi="Times New Roman" w:cs="Times New Roman"/>
          <w:sz w:val="24"/>
          <w:szCs w:val="24"/>
        </w:rPr>
      </w:pPr>
      <w:r>
        <w:rPr>
          <w:rFonts w:ascii="Times New Roman" w:hAnsi="Times New Roman" w:cs="Times New Roman"/>
          <w:sz w:val="24"/>
          <w:szCs w:val="24"/>
        </w:rPr>
        <w:t xml:space="preserve">Public Counsel is still reviewing this additional information </w:t>
      </w:r>
      <w:r w:rsidR="00B95904">
        <w:rPr>
          <w:rFonts w:ascii="Times New Roman" w:hAnsi="Times New Roman" w:cs="Times New Roman"/>
          <w:sz w:val="24"/>
          <w:szCs w:val="24"/>
        </w:rPr>
        <w:t>that Avista has provided.</w:t>
      </w:r>
      <w:r w:rsidR="00B54D11">
        <w:rPr>
          <w:rFonts w:ascii="Times New Roman" w:hAnsi="Times New Roman" w:cs="Times New Roman"/>
          <w:sz w:val="24"/>
          <w:szCs w:val="24"/>
        </w:rPr>
        <w:t xml:space="preserve">  We will continue to review this information to better understand the results of </w:t>
      </w:r>
      <w:r w:rsidR="00352B82">
        <w:rPr>
          <w:rFonts w:ascii="Times New Roman" w:hAnsi="Times New Roman" w:cs="Times New Roman"/>
          <w:sz w:val="24"/>
          <w:szCs w:val="24"/>
        </w:rPr>
        <w:t xml:space="preserve">the Company’s internal review. </w:t>
      </w:r>
      <w:r w:rsidR="007D0E07">
        <w:rPr>
          <w:rFonts w:ascii="Times New Roman" w:hAnsi="Times New Roman" w:cs="Times New Roman"/>
          <w:sz w:val="24"/>
          <w:szCs w:val="24"/>
        </w:rPr>
        <w:t xml:space="preserve"> </w:t>
      </w:r>
      <w:r w:rsidR="00A55896">
        <w:rPr>
          <w:rFonts w:ascii="Times New Roman" w:hAnsi="Times New Roman" w:cs="Times New Roman"/>
          <w:sz w:val="24"/>
          <w:szCs w:val="24"/>
        </w:rPr>
        <w:t>Since</w:t>
      </w:r>
      <w:r w:rsidR="00B54D11">
        <w:rPr>
          <w:rFonts w:ascii="Times New Roman" w:hAnsi="Times New Roman" w:cs="Times New Roman"/>
          <w:sz w:val="24"/>
          <w:szCs w:val="24"/>
        </w:rPr>
        <w:t xml:space="preserve"> our review is ongoing, </w:t>
      </w:r>
      <w:r w:rsidR="00D1531C">
        <w:rPr>
          <w:rFonts w:ascii="Times New Roman" w:hAnsi="Times New Roman" w:cs="Times New Roman"/>
          <w:sz w:val="24"/>
          <w:szCs w:val="24"/>
        </w:rPr>
        <w:t>if we have any</w:t>
      </w:r>
      <w:r w:rsidR="00A55896">
        <w:rPr>
          <w:rFonts w:ascii="Times New Roman" w:hAnsi="Times New Roman" w:cs="Times New Roman"/>
          <w:sz w:val="24"/>
          <w:szCs w:val="24"/>
        </w:rPr>
        <w:t xml:space="preserve"> further update to our </w:t>
      </w:r>
      <w:r w:rsidR="007D0E07">
        <w:rPr>
          <w:rFonts w:ascii="Times New Roman" w:hAnsi="Times New Roman" w:cs="Times New Roman"/>
          <w:sz w:val="24"/>
          <w:szCs w:val="24"/>
        </w:rPr>
        <w:t xml:space="preserve">recommendation we will provide </w:t>
      </w:r>
      <w:r w:rsidR="00A55896">
        <w:rPr>
          <w:rFonts w:ascii="Times New Roman" w:hAnsi="Times New Roman" w:cs="Times New Roman"/>
          <w:sz w:val="24"/>
          <w:szCs w:val="24"/>
        </w:rPr>
        <w:t>that at the Commission's July 25, 2014</w:t>
      </w:r>
      <w:r w:rsidR="007D0E07">
        <w:rPr>
          <w:rFonts w:ascii="Times New Roman" w:hAnsi="Times New Roman" w:cs="Times New Roman"/>
          <w:sz w:val="24"/>
          <w:szCs w:val="24"/>
        </w:rPr>
        <w:t>,</w:t>
      </w:r>
      <w:r w:rsidR="00A55896">
        <w:rPr>
          <w:rFonts w:ascii="Times New Roman" w:hAnsi="Times New Roman" w:cs="Times New Roman"/>
          <w:sz w:val="24"/>
          <w:szCs w:val="24"/>
        </w:rPr>
        <w:t xml:space="preserve"> Open Meeting.  </w:t>
      </w:r>
      <w:r w:rsidR="00462ABC">
        <w:rPr>
          <w:rFonts w:ascii="Times New Roman" w:hAnsi="Times New Roman" w:cs="Times New Roman"/>
          <w:sz w:val="24"/>
          <w:szCs w:val="24"/>
        </w:rPr>
        <w:t xml:space="preserve">  </w:t>
      </w:r>
    </w:p>
    <w:p w:rsidR="00462ABC" w:rsidRDefault="003870D3">
      <w:pPr>
        <w:rPr>
          <w:rFonts w:ascii="Times New Roman" w:hAnsi="Times New Roman" w:cs="Times New Roman"/>
          <w:sz w:val="24"/>
          <w:szCs w:val="24"/>
        </w:rPr>
      </w:pPr>
      <w:r>
        <w:rPr>
          <w:rFonts w:ascii="Times New Roman" w:hAnsi="Times New Roman" w:cs="Times New Roman"/>
          <w:sz w:val="24"/>
          <w:szCs w:val="24"/>
        </w:rPr>
        <w:t>We</w:t>
      </w:r>
      <w:r w:rsidR="00462ABC">
        <w:rPr>
          <w:rFonts w:ascii="Times New Roman" w:hAnsi="Times New Roman" w:cs="Times New Roman"/>
          <w:sz w:val="24"/>
          <w:szCs w:val="24"/>
        </w:rPr>
        <w:t xml:space="preserve"> recommend that Avista engage the Advisory Group in review and discussion of these issues and recommendations as soon as practicable.</w:t>
      </w:r>
      <w:r w:rsidR="00B81160">
        <w:rPr>
          <w:rFonts w:ascii="Times New Roman" w:hAnsi="Times New Roman" w:cs="Times New Roman"/>
          <w:sz w:val="24"/>
          <w:szCs w:val="24"/>
        </w:rPr>
        <w:t xml:space="preserve">  Cadmus identifies various steps Avista has taken to seek to address these issues, including retaining an outside consultant in 2013 to examine DSM team roles and respons</w:t>
      </w:r>
      <w:r w:rsidR="005A7198">
        <w:rPr>
          <w:rFonts w:ascii="Times New Roman" w:hAnsi="Times New Roman" w:cs="Times New Roman"/>
          <w:sz w:val="24"/>
          <w:szCs w:val="24"/>
        </w:rPr>
        <w:t>ibilities, implementation a</w:t>
      </w:r>
      <w:r w:rsidR="00B81160">
        <w:rPr>
          <w:rFonts w:ascii="Times New Roman" w:hAnsi="Times New Roman" w:cs="Times New Roman"/>
          <w:sz w:val="24"/>
          <w:szCs w:val="24"/>
        </w:rPr>
        <w:t xml:space="preserve"> new </w:t>
      </w:r>
      <w:r w:rsidR="005A7198">
        <w:rPr>
          <w:rFonts w:ascii="Times New Roman" w:hAnsi="Times New Roman" w:cs="Times New Roman"/>
          <w:sz w:val="24"/>
          <w:szCs w:val="24"/>
        </w:rPr>
        <w:t>review process (referenced as '</w:t>
      </w:r>
      <w:r w:rsidR="00B81160">
        <w:rPr>
          <w:rFonts w:ascii="Times New Roman" w:hAnsi="Times New Roman" w:cs="Times New Roman"/>
          <w:sz w:val="24"/>
          <w:szCs w:val="24"/>
        </w:rPr>
        <w:t>Top Sheets</w:t>
      </w:r>
      <w:r w:rsidR="005A7198">
        <w:rPr>
          <w:rFonts w:ascii="Times New Roman" w:hAnsi="Times New Roman" w:cs="Times New Roman"/>
          <w:sz w:val="24"/>
          <w:szCs w:val="24"/>
        </w:rPr>
        <w:t>')</w:t>
      </w:r>
      <w:r w:rsidR="00B81160">
        <w:rPr>
          <w:rFonts w:ascii="Times New Roman" w:hAnsi="Times New Roman" w:cs="Times New Roman"/>
          <w:sz w:val="24"/>
          <w:szCs w:val="24"/>
        </w:rPr>
        <w:t>, and internal audit department memos.</w:t>
      </w:r>
      <w:r w:rsidR="005A7198" w:rsidRPr="005A7198">
        <w:rPr>
          <w:rStyle w:val="FootnoteReference"/>
          <w:rFonts w:ascii="Times New Roman" w:hAnsi="Times New Roman" w:cs="Times New Roman"/>
          <w:sz w:val="24"/>
          <w:szCs w:val="24"/>
        </w:rPr>
        <w:t xml:space="preserve"> </w:t>
      </w:r>
      <w:r w:rsidR="005A7198">
        <w:rPr>
          <w:rStyle w:val="FootnoteReference"/>
          <w:rFonts w:ascii="Times New Roman" w:hAnsi="Times New Roman" w:cs="Times New Roman"/>
          <w:sz w:val="24"/>
          <w:szCs w:val="24"/>
        </w:rPr>
        <w:footnoteReference w:id="11"/>
      </w:r>
      <w:r w:rsidR="00B81160">
        <w:rPr>
          <w:rFonts w:ascii="Times New Roman" w:hAnsi="Times New Roman" w:cs="Times New Roman"/>
          <w:sz w:val="24"/>
          <w:szCs w:val="24"/>
        </w:rPr>
        <w:t xml:space="preserve">  Public Counsel was not aware of these acti</w:t>
      </w:r>
      <w:r w:rsidR="005A7198">
        <w:rPr>
          <w:rFonts w:ascii="Times New Roman" w:hAnsi="Times New Roman" w:cs="Times New Roman"/>
          <w:sz w:val="24"/>
          <w:szCs w:val="24"/>
        </w:rPr>
        <w:t xml:space="preserve">vities </w:t>
      </w:r>
      <w:r>
        <w:rPr>
          <w:rFonts w:ascii="Times New Roman" w:hAnsi="Times New Roman" w:cs="Times New Roman"/>
          <w:sz w:val="24"/>
          <w:szCs w:val="24"/>
        </w:rPr>
        <w:t>until now.</w:t>
      </w:r>
      <w:r w:rsidR="005A7198">
        <w:rPr>
          <w:rFonts w:ascii="Times New Roman" w:hAnsi="Times New Roman" w:cs="Times New Roman"/>
          <w:sz w:val="24"/>
          <w:szCs w:val="24"/>
        </w:rPr>
        <w:t xml:space="preserve">  </w:t>
      </w:r>
      <w:r>
        <w:rPr>
          <w:rFonts w:ascii="Times New Roman" w:hAnsi="Times New Roman" w:cs="Times New Roman"/>
          <w:sz w:val="24"/>
          <w:szCs w:val="24"/>
        </w:rPr>
        <w:t>It</w:t>
      </w:r>
      <w:r w:rsidR="005A7198">
        <w:rPr>
          <w:rFonts w:ascii="Times New Roman" w:hAnsi="Times New Roman" w:cs="Times New Roman"/>
          <w:sz w:val="24"/>
          <w:szCs w:val="24"/>
        </w:rPr>
        <w:t xml:space="preserve"> would be beneficial and appropriate for Avista to consult with the full Advisory Group </w:t>
      </w:r>
      <w:r w:rsidR="00CE5C4A">
        <w:rPr>
          <w:rFonts w:ascii="Times New Roman" w:hAnsi="Times New Roman" w:cs="Times New Roman"/>
          <w:sz w:val="24"/>
          <w:szCs w:val="24"/>
        </w:rPr>
        <w:t>on the Company’s actions to respond to the evaluation findings and recommendations.</w:t>
      </w:r>
      <w:r w:rsidR="00B81160">
        <w:rPr>
          <w:rFonts w:ascii="Times New Roman" w:hAnsi="Times New Roman" w:cs="Times New Roman"/>
          <w:sz w:val="24"/>
          <w:szCs w:val="24"/>
        </w:rPr>
        <w:t xml:space="preserve"> </w:t>
      </w:r>
      <w:r w:rsidR="00462ABC">
        <w:rPr>
          <w:rFonts w:ascii="Times New Roman" w:hAnsi="Times New Roman" w:cs="Times New Roman"/>
          <w:sz w:val="24"/>
          <w:szCs w:val="24"/>
        </w:rPr>
        <w:t xml:space="preserve">   </w:t>
      </w:r>
    </w:p>
    <w:p w:rsidR="0080655F" w:rsidRDefault="0080655F">
      <w:pPr>
        <w:rPr>
          <w:rFonts w:ascii="Times New Roman" w:hAnsi="Times New Roman" w:cs="Times New Roman"/>
          <w:sz w:val="24"/>
          <w:szCs w:val="24"/>
        </w:rPr>
      </w:pPr>
      <w:r>
        <w:rPr>
          <w:rFonts w:ascii="Times New Roman" w:hAnsi="Times New Roman" w:cs="Times New Roman"/>
          <w:sz w:val="24"/>
          <w:szCs w:val="24"/>
        </w:rPr>
        <w:t>I am not able to attend the Commission’s July 25, 2014</w:t>
      </w:r>
      <w:r w:rsidR="007D0E07">
        <w:rPr>
          <w:rFonts w:ascii="Times New Roman" w:hAnsi="Times New Roman" w:cs="Times New Roman"/>
          <w:sz w:val="24"/>
          <w:szCs w:val="24"/>
        </w:rPr>
        <w:t>, Open Meeting</w:t>
      </w:r>
      <w:r>
        <w:rPr>
          <w:rFonts w:ascii="Times New Roman" w:hAnsi="Times New Roman" w:cs="Times New Roman"/>
          <w:sz w:val="24"/>
          <w:szCs w:val="24"/>
        </w:rPr>
        <w:t xml:space="preserve"> due to a planned vacation, but Lea Fisher and Stefanie Johnson will be present on behalf of Public Counsel to discuss these comments.</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Sincerely,</w:t>
      </w:r>
    </w:p>
    <w:p w:rsidR="00B15E2F" w:rsidRPr="00B15E2F" w:rsidRDefault="00B15E2F" w:rsidP="00B15E2F">
      <w:pPr>
        <w:pStyle w:val="NoSpacing"/>
        <w:rPr>
          <w:rFonts w:ascii="Times New Roman" w:hAnsi="Times New Roman" w:cs="Times New Roman"/>
          <w:sz w:val="24"/>
          <w:szCs w:val="24"/>
        </w:rPr>
      </w:pPr>
    </w:p>
    <w:p w:rsidR="00B15E2F" w:rsidRDefault="00B15E2F" w:rsidP="00B15E2F">
      <w:pPr>
        <w:pStyle w:val="NoSpacing"/>
        <w:rPr>
          <w:rFonts w:ascii="Times New Roman" w:hAnsi="Times New Roman" w:cs="Times New Roman"/>
          <w:sz w:val="24"/>
          <w:szCs w:val="24"/>
        </w:rPr>
      </w:pPr>
    </w:p>
    <w:p w:rsidR="00967574" w:rsidRPr="00B15E2F" w:rsidRDefault="00967574" w:rsidP="00B15E2F">
      <w:pPr>
        <w:pStyle w:val="NoSpacing"/>
        <w:rPr>
          <w:rFonts w:ascii="Times New Roman" w:hAnsi="Times New Roman" w:cs="Times New Roman"/>
          <w:sz w:val="24"/>
          <w:szCs w:val="24"/>
        </w:rPr>
      </w:pP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Mary M. Kimball</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Senior Policy Analyst</w:t>
      </w:r>
    </w:p>
    <w:p w:rsid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 xml:space="preserve">Public Counsel </w:t>
      </w:r>
      <w:r w:rsidR="00C91445">
        <w:rPr>
          <w:rFonts w:ascii="Times New Roman" w:hAnsi="Times New Roman" w:cs="Times New Roman"/>
          <w:sz w:val="24"/>
          <w:szCs w:val="24"/>
        </w:rPr>
        <w:t>Section</w:t>
      </w:r>
    </w:p>
    <w:p w:rsidR="00C91445" w:rsidRPr="00B15E2F" w:rsidRDefault="00C91445" w:rsidP="00B15E2F">
      <w:pPr>
        <w:pStyle w:val="NoSpacing"/>
        <w:rPr>
          <w:rFonts w:ascii="Times New Roman" w:hAnsi="Times New Roman" w:cs="Times New Roman"/>
          <w:sz w:val="24"/>
          <w:szCs w:val="24"/>
        </w:rPr>
      </w:pPr>
      <w:r>
        <w:rPr>
          <w:rFonts w:ascii="Times New Roman" w:hAnsi="Times New Roman" w:cs="Times New Roman"/>
          <w:sz w:val="24"/>
          <w:szCs w:val="24"/>
        </w:rPr>
        <w:t>(206) 389-2529</w:t>
      </w:r>
    </w:p>
    <w:p w:rsidR="00B15E2F" w:rsidRPr="00B15E2F" w:rsidRDefault="00B15E2F" w:rsidP="00B15E2F">
      <w:pPr>
        <w:pStyle w:val="NoSpacing"/>
        <w:rPr>
          <w:rFonts w:ascii="Times New Roman" w:hAnsi="Times New Roman" w:cs="Times New Roman"/>
          <w:sz w:val="24"/>
          <w:szCs w:val="24"/>
        </w:rPr>
      </w:pPr>
    </w:p>
    <w:p w:rsidR="00B15E2F" w:rsidRPr="00B15E2F" w:rsidRDefault="000C6C05" w:rsidP="00B15E2F">
      <w:pPr>
        <w:pStyle w:val="NoSpacing"/>
        <w:rPr>
          <w:rFonts w:ascii="Times New Roman" w:hAnsi="Times New Roman" w:cs="Times New Roman"/>
          <w:sz w:val="24"/>
          <w:szCs w:val="24"/>
        </w:rPr>
      </w:pPr>
      <w:r>
        <w:rPr>
          <w:rFonts w:ascii="Times New Roman" w:hAnsi="Times New Roman" w:cs="Times New Roman"/>
          <w:sz w:val="24"/>
          <w:szCs w:val="24"/>
        </w:rPr>
        <w:t>MMK</w:t>
      </w:r>
      <w:r w:rsidR="00967574">
        <w:rPr>
          <w:rFonts w:ascii="Times New Roman" w:hAnsi="Times New Roman" w:cs="Times New Roman"/>
          <w:sz w:val="24"/>
          <w:szCs w:val="24"/>
        </w:rPr>
        <w:t>:cm</w:t>
      </w:r>
    </w:p>
    <w:p w:rsidR="00B15E2F" w:rsidRPr="00B15E2F" w:rsidRDefault="00B15E2F" w:rsidP="00B15E2F">
      <w:pPr>
        <w:pStyle w:val="NoSpacing"/>
        <w:rPr>
          <w:rFonts w:ascii="Times New Roman" w:hAnsi="Times New Roman" w:cs="Times New Roman"/>
          <w:sz w:val="24"/>
          <w:szCs w:val="24"/>
        </w:rPr>
      </w:pPr>
      <w:r w:rsidRPr="00B15E2F">
        <w:rPr>
          <w:rFonts w:ascii="Times New Roman" w:hAnsi="Times New Roman" w:cs="Times New Roman"/>
          <w:sz w:val="24"/>
          <w:szCs w:val="24"/>
        </w:rPr>
        <w:t xml:space="preserve"> </w:t>
      </w:r>
    </w:p>
    <w:p w:rsidR="007F4658" w:rsidRDefault="00B15E2F" w:rsidP="007F4658">
      <w:pPr>
        <w:pStyle w:val="NoSpacing"/>
        <w:tabs>
          <w:tab w:val="left" w:pos="360"/>
          <w:tab w:val="left" w:pos="540"/>
        </w:tabs>
        <w:rPr>
          <w:rFonts w:ascii="Times New Roman" w:hAnsi="Times New Roman" w:cs="Times New Roman"/>
          <w:sz w:val="24"/>
          <w:szCs w:val="24"/>
        </w:rPr>
      </w:pPr>
      <w:r w:rsidRPr="00B15E2F">
        <w:rPr>
          <w:rFonts w:ascii="Times New Roman" w:hAnsi="Times New Roman" w:cs="Times New Roman"/>
          <w:sz w:val="24"/>
          <w:szCs w:val="24"/>
        </w:rPr>
        <w:t>cc:</w:t>
      </w:r>
      <w:r w:rsidR="007F4658">
        <w:rPr>
          <w:rFonts w:ascii="Times New Roman" w:hAnsi="Times New Roman" w:cs="Times New Roman"/>
          <w:sz w:val="24"/>
          <w:szCs w:val="24"/>
        </w:rPr>
        <w:t xml:space="preserve"> </w:t>
      </w:r>
      <w:r w:rsidR="007F4658">
        <w:rPr>
          <w:rFonts w:ascii="Times New Roman" w:hAnsi="Times New Roman" w:cs="Times New Roman"/>
          <w:sz w:val="24"/>
          <w:szCs w:val="24"/>
        </w:rPr>
        <w:tab/>
        <w:t xml:space="preserve"> </w:t>
      </w:r>
      <w:r w:rsidR="007F4658">
        <w:rPr>
          <w:rFonts w:ascii="Times New Roman" w:hAnsi="Times New Roman" w:cs="Times New Roman"/>
          <w:sz w:val="24"/>
          <w:szCs w:val="24"/>
        </w:rPr>
        <w:tab/>
        <w:t xml:space="preserve"> </w:t>
      </w:r>
      <w:r w:rsidR="007F4658">
        <w:rPr>
          <w:rFonts w:ascii="Times New Roman" w:hAnsi="Times New Roman" w:cs="Times New Roman"/>
          <w:sz w:val="24"/>
          <w:szCs w:val="24"/>
        </w:rPr>
        <w:tab/>
        <w:t>Bradley Cebulk</w:t>
      </w:r>
      <w:r w:rsidR="007D6F60">
        <w:rPr>
          <w:rFonts w:ascii="Times New Roman" w:hAnsi="Times New Roman" w:cs="Times New Roman"/>
          <w:sz w:val="24"/>
          <w:szCs w:val="24"/>
        </w:rPr>
        <w:t>o, UTC Staff (E-mail</w:t>
      </w:r>
      <w:r w:rsidR="007F4658">
        <w:rPr>
          <w:rFonts w:ascii="Times New Roman" w:hAnsi="Times New Roman" w:cs="Times New Roman"/>
          <w:sz w:val="24"/>
          <w:szCs w:val="24"/>
        </w:rPr>
        <w:t xml:space="preserve">)   </w:t>
      </w:r>
    </w:p>
    <w:p w:rsidR="007F4658" w:rsidRDefault="007D6F60" w:rsidP="00B15E2F">
      <w:pPr>
        <w:pStyle w:val="NoSpacing"/>
        <w:rPr>
          <w:rFonts w:ascii="Times New Roman" w:hAnsi="Times New Roman" w:cs="Times New Roman"/>
          <w:sz w:val="24"/>
          <w:szCs w:val="24"/>
        </w:rPr>
      </w:pPr>
      <w:r>
        <w:rPr>
          <w:rFonts w:ascii="Times New Roman" w:hAnsi="Times New Roman" w:cs="Times New Roman"/>
          <w:sz w:val="24"/>
          <w:szCs w:val="24"/>
        </w:rPr>
        <w:tab/>
        <w:t>Linda Gervais, Avista (E-mail)</w:t>
      </w:r>
    </w:p>
    <w:p w:rsidR="0080655F" w:rsidRDefault="0080655F" w:rsidP="00B15E2F">
      <w:pPr>
        <w:spacing w:line="240" w:lineRule="auto"/>
      </w:pPr>
    </w:p>
    <w:sectPr w:rsidR="0080655F" w:rsidSect="00EF002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9B" w:rsidRDefault="0005789B" w:rsidP="00DB454C">
      <w:pPr>
        <w:spacing w:after="0" w:line="240" w:lineRule="auto"/>
      </w:pPr>
      <w:r>
        <w:separator/>
      </w:r>
    </w:p>
  </w:endnote>
  <w:endnote w:type="continuationSeparator" w:id="0">
    <w:p w:rsidR="0005789B" w:rsidRDefault="0005789B" w:rsidP="00DB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D2" w:rsidRDefault="00A831D2" w:rsidP="00A831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9B" w:rsidRDefault="0005789B" w:rsidP="00DB454C">
      <w:pPr>
        <w:spacing w:after="0" w:line="240" w:lineRule="auto"/>
      </w:pPr>
      <w:r>
        <w:separator/>
      </w:r>
    </w:p>
  </w:footnote>
  <w:footnote w:type="continuationSeparator" w:id="0">
    <w:p w:rsidR="0005789B" w:rsidRDefault="0005789B" w:rsidP="00DB454C">
      <w:pPr>
        <w:spacing w:after="0" w:line="240" w:lineRule="auto"/>
      </w:pPr>
      <w:r>
        <w:continuationSeparator/>
      </w:r>
    </w:p>
  </w:footnote>
  <w:footnote w:id="1">
    <w:p w:rsidR="00DB454C" w:rsidRPr="00902921" w:rsidRDefault="00DB454C">
      <w:pPr>
        <w:pStyle w:val="FootnoteText"/>
        <w:rPr>
          <w:rFonts w:ascii="Times New Roman" w:hAnsi="Times New Roman" w:cs="Times New Roman"/>
        </w:rPr>
      </w:pPr>
      <w:r w:rsidRPr="00902921">
        <w:rPr>
          <w:rStyle w:val="FootnoteReference"/>
          <w:rFonts w:ascii="Times New Roman" w:hAnsi="Times New Roman" w:cs="Times New Roman"/>
        </w:rPr>
        <w:footnoteRef/>
      </w:r>
      <w:r w:rsidR="00902921" w:rsidRPr="00902921">
        <w:rPr>
          <w:rFonts w:ascii="Times New Roman" w:hAnsi="Times New Roman" w:cs="Times New Roman"/>
        </w:rPr>
        <w:t xml:space="preserve"> UE-111882, Commission Staff Comments Regarding Avista Corporation d</w:t>
      </w:r>
      <w:r w:rsidR="009822BE">
        <w:rPr>
          <w:rFonts w:ascii="Times New Roman" w:hAnsi="Times New Roman" w:cs="Times New Roman"/>
        </w:rPr>
        <w:t>/</w:t>
      </w:r>
      <w:r w:rsidR="00902921" w:rsidRPr="00902921">
        <w:rPr>
          <w:rFonts w:ascii="Times New Roman" w:hAnsi="Times New Roman" w:cs="Times New Roman"/>
        </w:rPr>
        <w:t>b</w:t>
      </w:r>
      <w:r w:rsidR="009822BE">
        <w:rPr>
          <w:rFonts w:ascii="Times New Roman" w:hAnsi="Times New Roman" w:cs="Times New Roman"/>
        </w:rPr>
        <w:t>/</w:t>
      </w:r>
      <w:r w:rsidR="00902921" w:rsidRPr="00902921">
        <w:rPr>
          <w:rFonts w:ascii="Times New Roman" w:hAnsi="Times New Roman" w:cs="Times New Roman"/>
        </w:rPr>
        <w:t>a</w:t>
      </w:r>
      <w:r w:rsidR="00633541">
        <w:rPr>
          <w:rFonts w:ascii="Times New Roman" w:hAnsi="Times New Roman" w:cs="Times New Roman"/>
        </w:rPr>
        <w:t xml:space="preserve"> Avista Utilities’</w:t>
      </w:r>
      <w:r w:rsidR="00902921" w:rsidRPr="00902921">
        <w:rPr>
          <w:rFonts w:ascii="Times New Roman" w:hAnsi="Times New Roman" w:cs="Times New Roman"/>
        </w:rPr>
        <w:t xml:space="preserve"> 2012-2013 Biennial Conservat</w:t>
      </w:r>
      <w:r w:rsidR="00633541">
        <w:rPr>
          <w:rFonts w:ascii="Times New Roman" w:hAnsi="Times New Roman" w:cs="Times New Roman"/>
        </w:rPr>
        <w:t>ion Report, June 30, 2014, p. 5</w:t>
      </w:r>
      <w:r w:rsidR="00902921" w:rsidRPr="00902921">
        <w:rPr>
          <w:rFonts w:ascii="Times New Roman" w:hAnsi="Times New Roman" w:cs="Times New Roman"/>
        </w:rPr>
        <w:t xml:space="preserve"> (hereafter, ‘Staff Comments’).</w:t>
      </w:r>
    </w:p>
  </w:footnote>
  <w:footnote w:id="2">
    <w:p w:rsidR="006744A2" w:rsidRPr="006744A2" w:rsidRDefault="006744A2">
      <w:pPr>
        <w:pStyle w:val="FootnoteText"/>
        <w:rPr>
          <w:rFonts w:ascii="Times New Roman" w:hAnsi="Times New Roman" w:cs="Times New Roman"/>
        </w:rPr>
      </w:pPr>
      <w:r w:rsidRPr="006744A2">
        <w:rPr>
          <w:rStyle w:val="FootnoteReference"/>
          <w:rFonts w:ascii="Times New Roman" w:hAnsi="Times New Roman" w:cs="Times New Roman"/>
        </w:rPr>
        <w:footnoteRef/>
      </w:r>
      <w:r w:rsidRPr="006744A2">
        <w:rPr>
          <w:rFonts w:ascii="Times New Roman" w:hAnsi="Times New Roman" w:cs="Times New Roman"/>
        </w:rPr>
        <w:t xml:space="preserve"> The RTF’s updated baseline reflects that some CFLs are replacing CFLs, for example.</w:t>
      </w:r>
      <w:r>
        <w:rPr>
          <w:rFonts w:ascii="Times New Roman" w:hAnsi="Times New Roman" w:cs="Times New Roman"/>
        </w:rPr>
        <w:t xml:space="preserve">  Avista’s CFL contingency program savings reflect a baseline assumption that CFLs are replacing incandescent bulbs.</w:t>
      </w:r>
    </w:p>
  </w:footnote>
  <w:footnote w:id="3">
    <w:p w:rsidR="00AC7667" w:rsidRPr="00AC7667" w:rsidRDefault="00AC7667">
      <w:pPr>
        <w:pStyle w:val="FootnoteText"/>
        <w:rPr>
          <w:rFonts w:ascii="Times New Roman" w:hAnsi="Times New Roman" w:cs="Times New Roman"/>
        </w:rPr>
      </w:pPr>
      <w:r w:rsidRPr="00AC7667">
        <w:rPr>
          <w:rStyle w:val="FootnoteReference"/>
          <w:rFonts w:ascii="Times New Roman" w:hAnsi="Times New Roman" w:cs="Times New Roman"/>
        </w:rPr>
        <w:footnoteRef/>
      </w:r>
      <w:r w:rsidRPr="00AC7667">
        <w:rPr>
          <w:rFonts w:ascii="Times New Roman" w:hAnsi="Times New Roman" w:cs="Times New Roman"/>
        </w:rPr>
        <w:t xml:space="preserve"> UE-111882, Order 01, February 10, 2012, Conditions (6)(b) and (6)(c), at ¶ 28.</w:t>
      </w:r>
    </w:p>
  </w:footnote>
  <w:footnote w:id="4">
    <w:p w:rsidR="00AC7667" w:rsidRDefault="00AC7667">
      <w:pPr>
        <w:pStyle w:val="FootnoteText"/>
      </w:pPr>
      <w:r>
        <w:rPr>
          <w:rStyle w:val="FootnoteReference"/>
        </w:rPr>
        <w:footnoteRef/>
      </w:r>
      <w:r>
        <w:t xml:space="preserve"> </w:t>
      </w:r>
      <w:r w:rsidRPr="00902921">
        <w:rPr>
          <w:rFonts w:ascii="Times New Roman" w:hAnsi="Times New Roman" w:cs="Times New Roman"/>
        </w:rPr>
        <w:t>UE-111882, Staff Comments</w:t>
      </w:r>
      <w:r>
        <w:rPr>
          <w:rFonts w:ascii="Times New Roman" w:hAnsi="Times New Roman" w:cs="Times New Roman"/>
        </w:rPr>
        <w:t>, p. 5.</w:t>
      </w:r>
    </w:p>
  </w:footnote>
  <w:footnote w:id="5">
    <w:p w:rsidR="00AC6C50" w:rsidRPr="007706D9" w:rsidRDefault="00AC6C50">
      <w:pPr>
        <w:pStyle w:val="FootnoteText"/>
        <w:rPr>
          <w:rFonts w:ascii="Times New Roman" w:hAnsi="Times New Roman" w:cs="Times New Roman"/>
        </w:rPr>
      </w:pPr>
      <w:r w:rsidRPr="007706D9">
        <w:rPr>
          <w:rStyle w:val="FootnoteReference"/>
          <w:rFonts w:ascii="Times New Roman" w:hAnsi="Times New Roman" w:cs="Times New Roman"/>
        </w:rPr>
        <w:footnoteRef/>
      </w:r>
      <w:r w:rsidRPr="007706D9">
        <w:rPr>
          <w:rFonts w:ascii="Times New Roman" w:hAnsi="Times New Roman" w:cs="Times New Roman"/>
        </w:rPr>
        <w:t xml:space="preserve"> UE-111882, Staff Comments, p. 4, and UG-141215, Staff</w:t>
      </w:r>
      <w:r w:rsidR="007706D9" w:rsidRPr="007706D9">
        <w:rPr>
          <w:rFonts w:ascii="Times New Roman" w:hAnsi="Times New Roman" w:cs="Times New Roman"/>
        </w:rPr>
        <w:t xml:space="preserve"> Comments, June 30, 2014, p. 2.</w:t>
      </w:r>
    </w:p>
  </w:footnote>
  <w:footnote w:id="6">
    <w:p w:rsidR="00817040" w:rsidRDefault="00817040">
      <w:pPr>
        <w:pStyle w:val="FootnoteText"/>
      </w:pPr>
      <w:r>
        <w:rPr>
          <w:rStyle w:val="FootnoteReference"/>
        </w:rPr>
        <w:footnoteRef/>
      </w:r>
      <w:r>
        <w:t xml:space="preserve"> </w:t>
      </w:r>
      <w:r w:rsidRPr="002C443D">
        <w:rPr>
          <w:rFonts w:ascii="Times New Roman" w:hAnsi="Times New Roman" w:cs="Times New Roman"/>
        </w:rPr>
        <w:t xml:space="preserve">UE-111882, Staff Comments, p. </w:t>
      </w:r>
      <w:r>
        <w:rPr>
          <w:rFonts w:ascii="Times New Roman" w:hAnsi="Times New Roman" w:cs="Times New Roman"/>
        </w:rPr>
        <w:t>9</w:t>
      </w:r>
      <w:r w:rsidR="00633541">
        <w:rPr>
          <w:rFonts w:ascii="Times New Roman" w:hAnsi="Times New Roman" w:cs="Times New Roman"/>
        </w:rPr>
        <w:t>,</w:t>
      </w:r>
      <w:r w:rsidRPr="002C443D">
        <w:rPr>
          <w:rFonts w:ascii="Times New Roman" w:hAnsi="Times New Roman" w:cs="Times New Roman"/>
        </w:rPr>
        <w:t xml:space="preserve"> and UG-141215, Staff Comments, p. </w:t>
      </w:r>
      <w:r>
        <w:rPr>
          <w:rFonts w:ascii="Times New Roman" w:hAnsi="Times New Roman" w:cs="Times New Roman"/>
        </w:rPr>
        <w:t>2.</w:t>
      </w:r>
    </w:p>
  </w:footnote>
  <w:footnote w:id="7">
    <w:p w:rsidR="00946923" w:rsidRPr="00946923" w:rsidRDefault="00946923">
      <w:pPr>
        <w:pStyle w:val="FootnoteText"/>
        <w:rPr>
          <w:rFonts w:ascii="Times New Roman" w:hAnsi="Times New Roman" w:cs="Times New Roman"/>
        </w:rPr>
      </w:pPr>
      <w:r w:rsidRPr="00946923">
        <w:rPr>
          <w:rStyle w:val="FootnoteReference"/>
          <w:rFonts w:ascii="Times New Roman" w:hAnsi="Times New Roman" w:cs="Times New Roman"/>
        </w:rPr>
        <w:footnoteRef/>
      </w:r>
      <w:r w:rsidRPr="00946923">
        <w:rPr>
          <w:rFonts w:ascii="Times New Roman" w:hAnsi="Times New Roman" w:cs="Times New Roman"/>
        </w:rPr>
        <w:t xml:space="preserve"> </w:t>
      </w:r>
      <w:r>
        <w:rPr>
          <w:rFonts w:ascii="Times New Roman" w:hAnsi="Times New Roman" w:cs="Times New Roman"/>
          <w:i/>
        </w:rPr>
        <w:t xml:space="preserve">See </w:t>
      </w:r>
      <w:r w:rsidRPr="00946923">
        <w:rPr>
          <w:rFonts w:ascii="Times New Roman" w:hAnsi="Times New Roman" w:cs="Times New Roman"/>
        </w:rPr>
        <w:t>Dockets UE-100170, UE-100176, and UE-100177, Comments of Public Counsel, August 2, 2012, p. 9.</w:t>
      </w:r>
    </w:p>
  </w:footnote>
  <w:footnote w:id="8">
    <w:p w:rsidR="00A008FC" w:rsidRPr="002C443D" w:rsidRDefault="00A008FC">
      <w:pPr>
        <w:pStyle w:val="FootnoteText"/>
        <w:rPr>
          <w:rFonts w:ascii="Times New Roman" w:hAnsi="Times New Roman" w:cs="Times New Roman"/>
        </w:rPr>
      </w:pPr>
      <w:r w:rsidRPr="002C443D">
        <w:rPr>
          <w:rStyle w:val="FootnoteReference"/>
          <w:rFonts w:ascii="Times New Roman" w:hAnsi="Times New Roman" w:cs="Times New Roman"/>
        </w:rPr>
        <w:footnoteRef/>
      </w:r>
      <w:r w:rsidRPr="002C443D">
        <w:rPr>
          <w:rFonts w:ascii="Times New Roman" w:hAnsi="Times New Roman" w:cs="Times New Roman"/>
        </w:rPr>
        <w:t xml:space="preserve"> UE-111882, Staff Comments, p. 10, and UG-141215, Staff Comments, p. 3.</w:t>
      </w:r>
    </w:p>
  </w:footnote>
  <w:footnote w:id="9">
    <w:p w:rsidR="00502730" w:rsidRPr="00502730" w:rsidRDefault="00502730">
      <w:pPr>
        <w:pStyle w:val="FootnoteText"/>
        <w:rPr>
          <w:rFonts w:ascii="Times New Roman" w:hAnsi="Times New Roman" w:cs="Times New Roman"/>
        </w:rPr>
      </w:pPr>
      <w:r w:rsidRPr="00502730">
        <w:rPr>
          <w:rStyle w:val="FootnoteReference"/>
          <w:rFonts w:ascii="Times New Roman" w:hAnsi="Times New Roman" w:cs="Times New Roman"/>
        </w:rPr>
        <w:footnoteRef/>
      </w:r>
      <w:r w:rsidRPr="00502730">
        <w:rPr>
          <w:rFonts w:ascii="Times New Roman" w:hAnsi="Times New Roman" w:cs="Times New Roman"/>
        </w:rPr>
        <w:t xml:space="preserve"> UG-141215, Staff Comments, p. 5.</w:t>
      </w:r>
    </w:p>
  </w:footnote>
  <w:footnote w:id="10">
    <w:p w:rsidR="00177C04" w:rsidRPr="00177C04" w:rsidRDefault="00177C04">
      <w:pPr>
        <w:pStyle w:val="FootnoteText"/>
        <w:rPr>
          <w:rFonts w:ascii="Times New Roman" w:hAnsi="Times New Roman" w:cs="Times New Roman"/>
        </w:rPr>
      </w:pPr>
      <w:r w:rsidRPr="00177C04">
        <w:rPr>
          <w:rStyle w:val="FootnoteReference"/>
          <w:rFonts w:ascii="Times New Roman" w:hAnsi="Times New Roman" w:cs="Times New Roman"/>
        </w:rPr>
        <w:footnoteRef/>
      </w:r>
      <w:r w:rsidRPr="00177C04">
        <w:rPr>
          <w:rFonts w:ascii="Times New Roman" w:hAnsi="Times New Roman" w:cs="Times New Roman"/>
        </w:rPr>
        <w:t xml:space="preserve"> Avista’s internal Review of Large Projects is discussed in Exhibit</w:t>
      </w:r>
      <w:r w:rsidR="00633541">
        <w:rPr>
          <w:rFonts w:ascii="Times New Roman" w:hAnsi="Times New Roman" w:cs="Times New Roman"/>
        </w:rPr>
        <w:t xml:space="preserve"> No.</w:t>
      </w:r>
      <w:r>
        <w:rPr>
          <w:rFonts w:ascii="Times New Roman" w:hAnsi="Times New Roman" w:cs="Times New Roman"/>
        </w:rPr>
        <w:t xml:space="preserve"> MSK-5, Appendix C, pp. 106-108</w:t>
      </w:r>
      <w:r w:rsidRPr="00177C04">
        <w:rPr>
          <w:rFonts w:ascii="Times New Roman" w:hAnsi="Times New Roman" w:cs="Times New Roman"/>
        </w:rPr>
        <w:t>.</w:t>
      </w:r>
    </w:p>
  </w:footnote>
  <w:footnote w:id="11">
    <w:p w:rsidR="005A7198" w:rsidRDefault="005A7198" w:rsidP="005A7198">
      <w:pPr>
        <w:pStyle w:val="FootnoteText"/>
      </w:pPr>
      <w:r>
        <w:rPr>
          <w:rStyle w:val="FootnoteReference"/>
        </w:rPr>
        <w:footnoteRef/>
      </w:r>
      <w:r>
        <w:t xml:space="preserve"> </w:t>
      </w:r>
      <w:r w:rsidRPr="00177C04">
        <w:rPr>
          <w:rFonts w:ascii="Times New Roman" w:hAnsi="Times New Roman" w:cs="Times New Roman"/>
        </w:rPr>
        <w:t>Exhibit</w:t>
      </w:r>
      <w:r>
        <w:rPr>
          <w:rFonts w:ascii="Times New Roman" w:hAnsi="Times New Roman" w:cs="Times New Roman"/>
        </w:rPr>
        <w:t xml:space="preserve"> No. MSK-5, p.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6C" w:rsidRDefault="001D636C">
    <w:pPr>
      <w:pStyle w:val="Header"/>
      <w:rPr>
        <w:rFonts w:ascii="Times New Roman" w:hAnsi="Times New Roman" w:cs="Times New Roman"/>
      </w:rPr>
    </w:pPr>
  </w:p>
  <w:p w:rsidR="001D636C" w:rsidRDefault="001D636C">
    <w:pPr>
      <w:pStyle w:val="Header"/>
      <w:rPr>
        <w:rFonts w:ascii="Times New Roman" w:hAnsi="Times New Roman" w:cs="Times New Roman"/>
      </w:rPr>
    </w:pPr>
  </w:p>
  <w:p w:rsidR="007D0E07" w:rsidRPr="00A831D2" w:rsidRDefault="007D0E07">
    <w:pPr>
      <w:pStyle w:val="Header"/>
      <w:rPr>
        <w:rFonts w:ascii="Times New Roman" w:hAnsi="Times New Roman" w:cs="Times New Roman"/>
      </w:rPr>
    </w:pPr>
    <w:r w:rsidRPr="00A831D2">
      <w:rPr>
        <w:rFonts w:ascii="Times New Roman" w:hAnsi="Times New Roman" w:cs="Times New Roman"/>
      </w:rPr>
      <w:t>To:  Mr. Steven V. King</w:t>
    </w:r>
  </w:p>
  <w:p w:rsidR="007D0E07" w:rsidRDefault="009B081B" w:rsidP="009B081B">
    <w:pPr>
      <w:pStyle w:val="Header"/>
      <w:tabs>
        <w:tab w:val="left" w:pos="360"/>
      </w:tabs>
      <w:rPr>
        <w:rFonts w:ascii="Times New Roman" w:hAnsi="Times New Roman" w:cs="Times New Roman"/>
      </w:rPr>
    </w:pPr>
    <w:r>
      <w:rPr>
        <w:rFonts w:ascii="Times New Roman" w:hAnsi="Times New Roman" w:cs="Times New Roman"/>
      </w:rPr>
      <w:t>Re:</w:t>
    </w:r>
    <w:r>
      <w:rPr>
        <w:rFonts w:ascii="Times New Roman" w:hAnsi="Times New Roman" w:cs="Times New Roman"/>
      </w:rPr>
      <w:tab/>
    </w:r>
    <w:r w:rsidR="007D0E07" w:rsidRPr="00A831D2">
      <w:rPr>
        <w:rFonts w:ascii="Times New Roman" w:hAnsi="Times New Roman" w:cs="Times New Roman"/>
      </w:rPr>
      <w:t>Avista 2012-2013 Biennial Conservation Report</w:t>
    </w:r>
  </w:p>
  <w:p w:rsidR="002D7F6D" w:rsidRPr="00A831D2" w:rsidRDefault="009B081B" w:rsidP="009B081B">
    <w:pPr>
      <w:pStyle w:val="Header"/>
      <w:tabs>
        <w:tab w:val="left" w:pos="360"/>
        <w:tab w:val="left" w:pos="720"/>
      </w:tabs>
      <w:rPr>
        <w:rFonts w:ascii="Times New Roman" w:hAnsi="Times New Roman" w:cs="Times New Roman"/>
      </w:rPr>
    </w:pPr>
    <w:r>
      <w:rPr>
        <w:rFonts w:ascii="Times New Roman" w:hAnsi="Times New Roman" w:cs="Times New Roman"/>
      </w:rPr>
      <w:tab/>
    </w:r>
    <w:r w:rsidR="002D7F6D">
      <w:rPr>
        <w:rFonts w:ascii="Times New Roman" w:hAnsi="Times New Roman" w:cs="Times New Roman"/>
      </w:rPr>
      <w:t>Docket</w:t>
    </w:r>
    <w:r>
      <w:rPr>
        <w:rFonts w:ascii="Times New Roman" w:hAnsi="Times New Roman" w:cs="Times New Roman"/>
      </w:rPr>
      <w:t>s</w:t>
    </w:r>
    <w:r w:rsidR="002D7F6D">
      <w:rPr>
        <w:rFonts w:ascii="Times New Roman" w:hAnsi="Times New Roman" w:cs="Times New Roman"/>
      </w:rPr>
      <w:t xml:space="preserve"> UE-</w:t>
    </w:r>
    <w:r>
      <w:rPr>
        <w:rFonts w:ascii="Times New Roman" w:hAnsi="Times New Roman" w:cs="Times New Roman"/>
      </w:rPr>
      <w:t>11182 andUG-141215</w:t>
    </w:r>
    <w:r w:rsidR="002D7F6D">
      <w:rPr>
        <w:rFonts w:ascii="Times New Roman" w:hAnsi="Times New Roman" w:cs="Times New Roman"/>
      </w:rPr>
      <w:tab/>
    </w:r>
  </w:p>
  <w:p w:rsidR="007D0E07" w:rsidRPr="00A831D2" w:rsidRDefault="007D0E07">
    <w:pPr>
      <w:pStyle w:val="Header"/>
      <w:rPr>
        <w:rFonts w:ascii="Times New Roman" w:hAnsi="Times New Roman" w:cs="Times New Roman"/>
      </w:rPr>
    </w:pPr>
    <w:r w:rsidRPr="00A831D2">
      <w:rPr>
        <w:rFonts w:ascii="Times New Roman" w:hAnsi="Times New Roman" w:cs="Times New Roman"/>
      </w:rPr>
      <w:t>Date:  July 11, 2014</w:t>
    </w:r>
  </w:p>
  <w:p w:rsidR="007D0E07" w:rsidRPr="00A831D2" w:rsidRDefault="007D0E07">
    <w:pPr>
      <w:pStyle w:val="Header"/>
      <w:rPr>
        <w:rFonts w:ascii="Times New Roman" w:hAnsi="Times New Roman" w:cs="Times New Roman"/>
      </w:rPr>
    </w:pPr>
    <w:r w:rsidRPr="00A831D2">
      <w:rPr>
        <w:rFonts w:ascii="Times New Roman" w:hAnsi="Times New Roman" w:cs="Times New Roman"/>
      </w:rPr>
      <w:t xml:space="preserve">Page </w:t>
    </w:r>
    <w:r w:rsidRPr="00A831D2">
      <w:rPr>
        <w:rFonts w:ascii="Times New Roman" w:hAnsi="Times New Roman" w:cs="Times New Roman"/>
      </w:rPr>
      <w:fldChar w:fldCharType="begin"/>
    </w:r>
    <w:r w:rsidRPr="00A831D2">
      <w:rPr>
        <w:rFonts w:ascii="Times New Roman" w:hAnsi="Times New Roman" w:cs="Times New Roman"/>
      </w:rPr>
      <w:instrText xml:space="preserve"> PAGE   \* MERGEFORMAT </w:instrText>
    </w:r>
    <w:r w:rsidRPr="00A831D2">
      <w:rPr>
        <w:rFonts w:ascii="Times New Roman" w:hAnsi="Times New Roman" w:cs="Times New Roman"/>
      </w:rPr>
      <w:fldChar w:fldCharType="separate"/>
    </w:r>
    <w:r w:rsidR="004D1862">
      <w:rPr>
        <w:rFonts w:ascii="Times New Roman" w:hAnsi="Times New Roman" w:cs="Times New Roman"/>
        <w:noProof/>
      </w:rPr>
      <w:t>5</w:t>
    </w:r>
    <w:r w:rsidRPr="00A831D2">
      <w:rPr>
        <w:rFonts w:ascii="Times New Roman" w:hAnsi="Times New Roman" w:cs="Times New Roman"/>
        <w:noProof/>
      </w:rPr>
      <w:fldChar w:fldCharType="end"/>
    </w:r>
    <w:r w:rsidRPr="00A831D2">
      <w:rPr>
        <w:rFonts w:ascii="Times New Roman" w:hAnsi="Times New Roman" w:cs="Times New Roman"/>
        <w:noProof/>
      </w:rPr>
      <w:t xml:space="preserve"> of 5</w:t>
    </w:r>
  </w:p>
  <w:p w:rsidR="007D0E07" w:rsidRDefault="007D0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48"/>
    <w:rsid w:val="000140A4"/>
    <w:rsid w:val="00015ACC"/>
    <w:rsid w:val="000262BF"/>
    <w:rsid w:val="0005789B"/>
    <w:rsid w:val="0007176C"/>
    <w:rsid w:val="00097CF2"/>
    <w:rsid w:val="000B6B4C"/>
    <w:rsid w:val="000C6C05"/>
    <w:rsid w:val="000D79B2"/>
    <w:rsid w:val="000E3061"/>
    <w:rsid w:val="000E787F"/>
    <w:rsid w:val="00131286"/>
    <w:rsid w:val="001466A3"/>
    <w:rsid w:val="00177C04"/>
    <w:rsid w:val="00196B87"/>
    <w:rsid w:val="001A661A"/>
    <w:rsid w:val="001D636C"/>
    <w:rsid w:val="001E5655"/>
    <w:rsid w:val="00234FB6"/>
    <w:rsid w:val="002A3080"/>
    <w:rsid w:val="002C443D"/>
    <w:rsid w:val="002D7F6D"/>
    <w:rsid w:val="002E56F8"/>
    <w:rsid w:val="002F2DE2"/>
    <w:rsid w:val="00310F23"/>
    <w:rsid w:val="00352B82"/>
    <w:rsid w:val="00366E0B"/>
    <w:rsid w:val="00380827"/>
    <w:rsid w:val="0038463D"/>
    <w:rsid w:val="003870D3"/>
    <w:rsid w:val="003E3D4B"/>
    <w:rsid w:val="00402BB4"/>
    <w:rsid w:val="00427170"/>
    <w:rsid w:val="00462ABC"/>
    <w:rsid w:val="00470CB6"/>
    <w:rsid w:val="004C6BDC"/>
    <w:rsid w:val="004D1862"/>
    <w:rsid w:val="004F2DDF"/>
    <w:rsid w:val="004F7735"/>
    <w:rsid w:val="00502730"/>
    <w:rsid w:val="00510647"/>
    <w:rsid w:val="005326EF"/>
    <w:rsid w:val="00544BA4"/>
    <w:rsid w:val="00571831"/>
    <w:rsid w:val="0057208C"/>
    <w:rsid w:val="0058063A"/>
    <w:rsid w:val="005A7198"/>
    <w:rsid w:val="005D608A"/>
    <w:rsid w:val="005F31FC"/>
    <w:rsid w:val="00633541"/>
    <w:rsid w:val="006744A2"/>
    <w:rsid w:val="00674CF4"/>
    <w:rsid w:val="006B4B8F"/>
    <w:rsid w:val="007409B3"/>
    <w:rsid w:val="007706D9"/>
    <w:rsid w:val="00792039"/>
    <w:rsid w:val="007A4458"/>
    <w:rsid w:val="007B63A3"/>
    <w:rsid w:val="007D0E07"/>
    <w:rsid w:val="007D6F60"/>
    <w:rsid w:val="007F4658"/>
    <w:rsid w:val="0080655F"/>
    <w:rsid w:val="00817040"/>
    <w:rsid w:val="00820340"/>
    <w:rsid w:val="00826290"/>
    <w:rsid w:val="00855C07"/>
    <w:rsid w:val="00872DB9"/>
    <w:rsid w:val="008D1FC3"/>
    <w:rsid w:val="008F375F"/>
    <w:rsid w:val="00902921"/>
    <w:rsid w:val="00946923"/>
    <w:rsid w:val="00967574"/>
    <w:rsid w:val="009771F9"/>
    <w:rsid w:val="009822BE"/>
    <w:rsid w:val="009B081B"/>
    <w:rsid w:val="009B4B53"/>
    <w:rsid w:val="00A003ED"/>
    <w:rsid w:val="00A008FC"/>
    <w:rsid w:val="00A27074"/>
    <w:rsid w:val="00A55896"/>
    <w:rsid w:val="00A831D2"/>
    <w:rsid w:val="00A83B48"/>
    <w:rsid w:val="00AB1D22"/>
    <w:rsid w:val="00AC6C50"/>
    <w:rsid w:val="00AC7667"/>
    <w:rsid w:val="00AE574B"/>
    <w:rsid w:val="00B15E2F"/>
    <w:rsid w:val="00B54D11"/>
    <w:rsid w:val="00B81160"/>
    <w:rsid w:val="00B83FD4"/>
    <w:rsid w:val="00B86D46"/>
    <w:rsid w:val="00B94881"/>
    <w:rsid w:val="00B95904"/>
    <w:rsid w:val="00BE1728"/>
    <w:rsid w:val="00C153D8"/>
    <w:rsid w:val="00C4534D"/>
    <w:rsid w:val="00C74EF6"/>
    <w:rsid w:val="00C91445"/>
    <w:rsid w:val="00C95A05"/>
    <w:rsid w:val="00CC2DAE"/>
    <w:rsid w:val="00CE5C4A"/>
    <w:rsid w:val="00CF1764"/>
    <w:rsid w:val="00CF4512"/>
    <w:rsid w:val="00D00C62"/>
    <w:rsid w:val="00D01F2A"/>
    <w:rsid w:val="00D07471"/>
    <w:rsid w:val="00D1531C"/>
    <w:rsid w:val="00D25DAF"/>
    <w:rsid w:val="00D46FD4"/>
    <w:rsid w:val="00D609CF"/>
    <w:rsid w:val="00DB454C"/>
    <w:rsid w:val="00DC3DB1"/>
    <w:rsid w:val="00DC52D6"/>
    <w:rsid w:val="00DF2816"/>
    <w:rsid w:val="00E07434"/>
    <w:rsid w:val="00E07AEB"/>
    <w:rsid w:val="00E24288"/>
    <w:rsid w:val="00E408AB"/>
    <w:rsid w:val="00E4574D"/>
    <w:rsid w:val="00E74DA6"/>
    <w:rsid w:val="00EC5A48"/>
    <w:rsid w:val="00EF002B"/>
    <w:rsid w:val="00EF5B73"/>
    <w:rsid w:val="00EF6127"/>
    <w:rsid w:val="00F005B7"/>
    <w:rsid w:val="00F458E4"/>
    <w:rsid w:val="00F702B7"/>
    <w:rsid w:val="00FC61B4"/>
    <w:rsid w:val="00FD43F1"/>
    <w:rsid w:val="00FE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B7"/>
    <w:rPr>
      <w:rFonts w:ascii="Tahoma" w:hAnsi="Tahoma" w:cs="Tahoma"/>
      <w:sz w:val="16"/>
      <w:szCs w:val="16"/>
    </w:rPr>
  </w:style>
  <w:style w:type="paragraph" w:styleId="FootnoteText">
    <w:name w:val="footnote text"/>
    <w:basedOn w:val="Normal"/>
    <w:link w:val="FootnoteTextChar"/>
    <w:uiPriority w:val="99"/>
    <w:semiHidden/>
    <w:unhideWhenUsed/>
    <w:rsid w:val="00DB4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54C"/>
    <w:rPr>
      <w:sz w:val="20"/>
      <w:szCs w:val="20"/>
    </w:rPr>
  </w:style>
  <w:style w:type="character" w:styleId="FootnoteReference">
    <w:name w:val="footnote reference"/>
    <w:basedOn w:val="DefaultParagraphFont"/>
    <w:uiPriority w:val="99"/>
    <w:semiHidden/>
    <w:unhideWhenUsed/>
    <w:rsid w:val="00DB454C"/>
    <w:rPr>
      <w:vertAlign w:val="superscript"/>
    </w:rPr>
  </w:style>
  <w:style w:type="paragraph" w:styleId="NoSpacing">
    <w:name w:val="No Spacing"/>
    <w:uiPriority w:val="1"/>
    <w:qFormat/>
    <w:rsid w:val="00B15E2F"/>
    <w:pPr>
      <w:spacing w:after="0" w:line="240" w:lineRule="auto"/>
    </w:pPr>
  </w:style>
  <w:style w:type="paragraph" w:styleId="Header">
    <w:name w:val="header"/>
    <w:basedOn w:val="Normal"/>
    <w:link w:val="HeaderChar"/>
    <w:uiPriority w:val="99"/>
    <w:unhideWhenUsed/>
    <w:rsid w:val="00A8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D2"/>
  </w:style>
  <w:style w:type="paragraph" w:styleId="Footer">
    <w:name w:val="footer"/>
    <w:basedOn w:val="Normal"/>
    <w:link w:val="FooterChar"/>
    <w:uiPriority w:val="99"/>
    <w:unhideWhenUsed/>
    <w:rsid w:val="00A8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B7"/>
    <w:rPr>
      <w:rFonts w:ascii="Tahoma" w:hAnsi="Tahoma" w:cs="Tahoma"/>
      <w:sz w:val="16"/>
      <w:szCs w:val="16"/>
    </w:rPr>
  </w:style>
  <w:style w:type="paragraph" w:styleId="FootnoteText">
    <w:name w:val="footnote text"/>
    <w:basedOn w:val="Normal"/>
    <w:link w:val="FootnoteTextChar"/>
    <w:uiPriority w:val="99"/>
    <w:semiHidden/>
    <w:unhideWhenUsed/>
    <w:rsid w:val="00DB4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54C"/>
    <w:rPr>
      <w:sz w:val="20"/>
      <w:szCs w:val="20"/>
    </w:rPr>
  </w:style>
  <w:style w:type="character" w:styleId="FootnoteReference">
    <w:name w:val="footnote reference"/>
    <w:basedOn w:val="DefaultParagraphFont"/>
    <w:uiPriority w:val="99"/>
    <w:semiHidden/>
    <w:unhideWhenUsed/>
    <w:rsid w:val="00DB454C"/>
    <w:rPr>
      <w:vertAlign w:val="superscript"/>
    </w:rPr>
  </w:style>
  <w:style w:type="paragraph" w:styleId="NoSpacing">
    <w:name w:val="No Spacing"/>
    <w:uiPriority w:val="1"/>
    <w:qFormat/>
    <w:rsid w:val="00B15E2F"/>
    <w:pPr>
      <w:spacing w:after="0" w:line="240" w:lineRule="auto"/>
    </w:pPr>
  </w:style>
  <w:style w:type="paragraph" w:styleId="Header">
    <w:name w:val="header"/>
    <w:basedOn w:val="Normal"/>
    <w:link w:val="HeaderChar"/>
    <w:uiPriority w:val="99"/>
    <w:unhideWhenUsed/>
    <w:rsid w:val="00A8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D2"/>
  </w:style>
  <w:style w:type="paragraph" w:styleId="Footer">
    <w:name w:val="footer"/>
    <w:basedOn w:val="Normal"/>
    <w:link w:val="FooterChar"/>
    <w:uiPriority w:val="99"/>
    <w:unhideWhenUsed/>
    <w:rsid w:val="00A8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4C55B-56B4-4174-A0FB-3C33EE5C786A}"/>
</file>

<file path=customXml/itemProps2.xml><?xml version="1.0" encoding="utf-8"?>
<ds:datastoreItem xmlns:ds="http://schemas.openxmlformats.org/officeDocument/2006/customXml" ds:itemID="{B5E272F5-640D-4C1A-A39F-EB323C398021}"/>
</file>

<file path=customXml/itemProps3.xml><?xml version="1.0" encoding="utf-8"?>
<ds:datastoreItem xmlns:ds="http://schemas.openxmlformats.org/officeDocument/2006/customXml" ds:itemID="{E1514EC2-AB7A-49F8-8C56-0FEBAA08D7BF}"/>
</file>

<file path=customXml/itemProps4.xml><?xml version="1.0" encoding="utf-8"?>
<ds:datastoreItem xmlns:ds="http://schemas.openxmlformats.org/officeDocument/2006/customXml" ds:itemID="{BF5961CA-DB85-46BB-B5B7-BA4E9549646C}"/>
</file>

<file path=customXml/itemProps5.xml><?xml version="1.0" encoding="utf-8"?>
<ds:datastoreItem xmlns:ds="http://schemas.openxmlformats.org/officeDocument/2006/customXml" ds:itemID="{C54F0E7F-FE71-4335-8500-C737BABEB710}"/>
</file>

<file path=docProps/app.xml><?xml version="1.0" encoding="utf-8"?>
<Properties xmlns="http://schemas.openxmlformats.org/officeDocument/2006/extended-properties" xmlns:vt="http://schemas.openxmlformats.org/officeDocument/2006/docPropsVTypes">
  <Template>Normal.dotm</Template>
  <TotalTime>13</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and Dan</dc:creator>
  <cp:lastModifiedBy>Mak, Chanda (ATG)</cp:lastModifiedBy>
  <cp:revision>9</cp:revision>
  <cp:lastPrinted>2014-07-11T23:37:00Z</cp:lastPrinted>
  <dcterms:created xsi:type="dcterms:W3CDTF">2014-07-11T23:25:00Z</dcterms:created>
  <dcterms:modified xsi:type="dcterms:W3CDTF">2014-07-11T23:45:00Z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0x0101006E56B4D1795A2E4DB2F0B01679ED314A00F499FC21C6D9A8429D54E830C7D771E1</vt:lpwstr>
  </property>
  <property fmtid="{D5CDD505-2E9C-101B-9397-08002B2CF9AE}" pid="3" name="_docset_NoMedatataSyncRequired">
    <vt:lpwstr>False</vt:lpwstr>
  </property>
</Properties>
</file>