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C2" w:rsidRPr="00E347B4" w:rsidRDefault="005438C2" w:rsidP="005438C2">
      <w:pPr>
        <w:spacing w:after="0" w:line="240" w:lineRule="auto"/>
        <w:outlineLvl w:val="0"/>
        <w:rPr>
          <w:rFonts w:ascii="Times New Roman" w:hAnsi="Times New Roman"/>
          <w:sz w:val="24"/>
          <w:szCs w:val="24"/>
        </w:rPr>
      </w:pPr>
    </w:p>
    <w:p w:rsidR="005438C2" w:rsidRPr="00E347B4" w:rsidRDefault="005438C2" w:rsidP="005438C2">
      <w:pPr>
        <w:spacing w:after="0" w:line="240" w:lineRule="auto"/>
        <w:outlineLvl w:val="0"/>
        <w:rPr>
          <w:rFonts w:ascii="Times New Roman" w:hAnsi="Times New Roman"/>
          <w:sz w:val="24"/>
          <w:szCs w:val="24"/>
        </w:rPr>
      </w:pPr>
      <w:r w:rsidRPr="00E347B4">
        <w:rPr>
          <w:rFonts w:ascii="Times New Roman" w:hAnsi="Times New Roman"/>
          <w:sz w:val="24"/>
          <w:szCs w:val="24"/>
        </w:rPr>
        <w:t xml:space="preserve">Docket UE-110523 </w:t>
      </w:r>
    </w:p>
    <w:p w:rsidR="005438C2" w:rsidRPr="00E347B4" w:rsidRDefault="005438C2" w:rsidP="005438C2">
      <w:pPr>
        <w:spacing w:after="0" w:line="240" w:lineRule="auto"/>
        <w:outlineLvl w:val="0"/>
        <w:rPr>
          <w:rFonts w:ascii="Times New Roman" w:hAnsi="Times New Roman"/>
          <w:sz w:val="24"/>
          <w:szCs w:val="24"/>
        </w:rPr>
      </w:pPr>
      <w:r w:rsidRPr="00E347B4">
        <w:rPr>
          <w:rFonts w:ascii="Times New Roman" w:hAnsi="Times New Roman"/>
          <w:sz w:val="24"/>
          <w:szCs w:val="24"/>
        </w:rPr>
        <w:t>Renewable Portfolio Standards Workgroup</w:t>
      </w:r>
    </w:p>
    <w:p w:rsidR="005438C2" w:rsidRPr="00E347B4" w:rsidRDefault="005438C2" w:rsidP="005438C2">
      <w:pPr>
        <w:spacing w:after="0" w:line="240" w:lineRule="auto"/>
        <w:rPr>
          <w:rFonts w:ascii="Times New Roman" w:hAnsi="Times New Roman"/>
          <w:sz w:val="24"/>
          <w:szCs w:val="24"/>
        </w:rPr>
      </w:pPr>
      <w:r w:rsidRPr="00E347B4">
        <w:rPr>
          <w:rFonts w:ascii="Times New Roman" w:hAnsi="Times New Roman"/>
          <w:sz w:val="24"/>
          <w:szCs w:val="24"/>
        </w:rPr>
        <w:t xml:space="preserve">Consensus January 31, 2012 </w:t>
      </w:r>
    </w:p>
    <w:p w:rsidR="005438C2" w:rsidRPr="00E347B4" w:rsidRDefault="005438C2" w:rsidP="005438C2">
      <w:pPr>
        <w:spacing w:after="0" w:line="240" w:lineRule="auto"/>
        <w:jc w:val="center"/>
        <w:outlineLvl w:val="0"/>
        <w:rPr>
          <w:rFonts w:ascii="Times New Roman" w:hAnsi="Times New Roman"/>
          <w:sz w:val="24"/>
          <w:szCs w:val="24"/>
        </w:rPr>
      </w:pPr>
    </w:p>
    <w:p w:rsidR="00025E5C" w:rsidRPr="00E347B4" w:rsidRDefault="00025E5C" w:rsidP="005438C2">
      <w:pPr>
        <w:spacing w:after="0" w:line="240" w:lineRule="auto"/>
        <w:jc w:val="center"/>
        <w:outlineLvl w:val="0"/>
        <w:rPr>
          <w:rFonts w:ascii="Times New Roman" w:hAnsi="Times New Roman"/>
          <w:b/>
          <w:sz w:val="24"/>
          <w:szCs w:val="24"/>
          <w:u w:val="single"/>
        </w:rPr>
      </w:pPr>
      <w:r w:rsidRPr="00E347B4">
        <w:rPr>
          <w:rFonts w:ascii="Times New Roman" w:hAnsi="Times New Roman"/>
          <w:b/>
          <w:sz w:val="24"/>
          <w:szCs w:val="24"/>
          <w:u w:val="single"/>
        </w:rPr>
        <w:t>Incremental Hydro Electricity Calculation Methodologies</w:t>
      </w:r>
    </w:p>
    <w:p w:rsidR="005A5BE6" w:rsidRPr="00E347B4" w:rsidRDefault="005A5BE6" w:rsidP="00C6154E">
      <w:pPr>
        <w:spacing w:after="0" w:line="240" w:lineRule="auto"/>
        <w:rPr>
          <w:rFonts w:ascii="Times New Roman" w:hAnsi="Times New Roman"/>
          <w:sz w:val="24"/>
          <w:szCs w:val="24"/>
        </w:rPr>
      </w:pPr>
    </w:p>
    <w:p w:rsidR="00025E5C" w:rsidRPr="00E347B4" w:rsidRDefault="00025E5C" w:rsidP="00C6154E">
      <w:pPr>
        <w:spacing w:after="0" w:line="240" w:lineRule="auto"/>
        <w:rPr>
          <w:rFonts w:ascii="Times New Roman" w:hAnsi="Times New Roman"/>
          <w:sz w:val="24"/>
          <w:szCs w:val="24"/>
        </w:rPr>
      </w:pPr>
      <w:r w:rsidRPr="00E347B4">
        <w:rPr>
          <w:rFonts w:ascii="Times New Roman" w:hAnsi="Times New Roman"/>
          <w:sz w:val="24"/>
          <w:szCs w:val="24"/>
        </w:rPr>
        <w:t xml:space="preserve">Under certain circumstances, incremental electricity produced as a result of efficiency improvements completed after March 31, 1999 may qualify as an eligible renewable resource for purposes of compliance with Washington’s Energy Independence Act,  RCW 19.285.030(10)(b).  There are a number of different methodologies that may be used to calculate the amount of incremental hydro electricity associated with efficiency improvements.  This document summarizes these options. </w:t>
      </w:r>
    </w:p>
    <w:p w:rsidR="00025E5C" w:rsidRPr="00E347B4" w:rsidRDefault="00025E5C" w:rsidP="00C6154E">
      <w:pPr>
        <w:spacing w:after="0" w:line="240" w:lineRule="auto"/>
        <w:rPr>
          <w:rFonts w:ascii="Times New Roman" w:hAnsi="Times New Roman"/>
          <w:sz w:val="24"/>
          <w:szCs w:val="24"/>
        </w:rPr>
      </w:pPr>
    </w:p>
    <w:p w:rsidR="00025E5C" w:rsidRPr="00E347B4" w:rsidRDefault="00ED6262" w:rsidP="0071257A">
      <w:pPr>
        <w:spacing w:after="0" w:line="240" w:lineRule="auto"/>
        <w:outlineLvl w:val="0"/>
        <w:rPr>
          <w:rFonts w:ascii="Times New Roman" w:hAnsi="Times New Roman"/>
          <w:sz w:val="24"/>
          <w:szCs w:val="24"/>
        </w:rPr>
      </w:pPr>
      <w:r w:rsidRPr="00E347B4">
        <w:rPr>
          <w:rFonts w:ascii="Times New Roman" w:hAnsi="Times New Roman"/>
          <w:sz w:val="24"/>
          <w:szCs w:val="24"/>
          <w:u w:val="single"/>
        </w:rPr>
        <w:t>Considerations</w:t>
      </w:r>
    </w:p>
    <w:p w:rsidR="00025E5C" w:rsidRPr="00E347B4" w:rsidRDefault="00025E5C" w:rsidP="000024D6">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Hydro modeling tools, requirements and methods may vary significantly across utilities and individual hydro projects due to</w:t>
      </w:r>
      <w:r w:rsidR="00762382" w:rsidRPr="00E347B4">
        <w:rPr>
          <w:rFonts w:ascii="Times New Roman" w:hAnsi="Times New Roman"/>
          <w:sz w:val="24"/>
          <w:szCs w:val="24"/>
        </w:rPr>
        <w:t>, including but not limited to</w:t>
      </w:r>
      <w:r w:rsidRPr="00E347B4">
        <w:rPr>
          <w:rFonts w:ascii="Times New Roman" w:hAnsi="Times New Roman"/>
          <w:sz w:val="24"/>
          <w:szCs w:val="24"/>
        </w:rPr>
        <w:t>:</w:t>
      </w:r>
    </w:p>
    <w:p w:rsidR="00025E5C" w:rsidRPr="00E347B4" w:rsidRDefault="00025E5C" w:rsidP="000024D6">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multi-jurisdictional requirements;</w:t>
      </w:r>
    </w:p>
    <w:p w:rsidR="00025E5C" w:rsidRPr="00E347B4" w:rsidRDefault="00025E5C" w:rsidP="000024D6">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relative significance of hydro in each utility’s portfolio;</w:t>
      </w:r>
    </w:p>
    <w:p w:rsidR="00025E5C" w:rsidRPr="00E347B4" w:rsidRDefault="00025E5C" w:rsidP="000024D6">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plans for additional hydro improvements;</w:t>
      </w:r>
    </w:p>
    <w:p w:rsidR="00025E5C" w:rsidRPr="00E347B4" w:rsidRDefault="00025E5C" w:rsidP="000024D6">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varying needs for hydro data and analysis tools; and</w:t>
      </w:r>
    </w:p>
    <w:p w:rsidR="00025E5C" w:rsidRPr="00E347B4" w:rsidRDefault="00025E5C" w:rsidP="003C2782">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type of hydro project (storage vs. run of river).</w:t>
      </w:r>
    </w:p>
    <w:p w:rsidR="009E375C" w:rsidRPr="00E347B4" w:rsidRDefault="00025E5C">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Renewable electricity generated by upgrades does not necessarily correlate with inflow</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It may be possible to generate more renewable electricity in a poor water year than during a high water year</w:t>
      </w:r>
    </w:p>
    <w:p w:rsidR="009E375C" w:rsidRPr="00E347B4" w:rsidRDefault="00025E5C">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Some methods for calculating incremental hydro provide more stable year-to-year renewable electricity quantities than others</w:t>
      </w:r>
    </w:p>
    <w:p w:rsidR="00025E5C" w:rsidRPr="00E347B4" w:rsidRDefault="00025E5C" w:rsidP="003C2782">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Volatile quantities may lead utilities to acquire excess renewable electricity to ensure compliance in low years. This could lead to higher costs for customers.</w:t>
      </w:r>
    </w:p>
    <w:p w:rsidR="00025E5C" w:rsidRPr="00E347B4" w:rsidRDefault="00025E5C" w:rsidP="000347B7">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Year-to-year stability is particularly important given the non-tradability of renewable electricity from hydro improvements. The inability to trade these attributes limits a utility’s ability to use excess credits in surplus years to offset shortages in deficit years.</w:t>
      </w:r>
    </w:p>
    <w:p w:rsidR="00025E5C" w:rsidRPr="00E347B4" w:rsidRDefault="00025E5C" w:rsidP="00C97071">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The amount of renewable electricity from incremental hydro improvements will vary from year to year depending on the specific calculation method used. However, over time each of the methods outlined below can be expected to result in equal quantities.</w:t>
      </w:r>
    </w:p>
    <w:p w:rsidR="009E375C" w:rsidRPr="00E347B4" w:rsidRDefault="00025E5C">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Given the differences in modeling tools, requirements and methods across utilities</w:t>
      </w:r>
      <w:r w:rsidR="00090B88" w:rsidRPr="00E347B4">
        <w:rPr>
          <w:rFonts w:ascii="Times New Roman" w:hAnsi="Times New Roman"/>
          <w:sz w:val="24"/>
          <w:szCs w:val="24"/>
        </w:rPr>
        <w:t xml:space="preserve"> and between individual projects</w:t>
      </w:r>
      <w:r w:rsidRPr="00E347B4">
        <w:rPr>
          <w:rFonts w:ascii="Times New Roman" w:hAnsi="Times New Roman"/>
          <w:sz w:val="24"/>
          <w:szCs w:val="24"/>
        </w:rPr>
        <w:t>, each utility should select the method most appropriate to its</w:t>
      </w:r>
      <w:r w:rsidR="00090B88" w:rsidRPr="00E347B4">
        <w:rPr>
          <w:rFonts w:ascii="Times New Roman" w:hAnsi="Times New Roman"/>
          <w:sz w:val="24"/>
          <w:szCs w:val="24"/>
        </w:rPr>
        <w:t xml:space="preserve"> projects,</w:t>
      </w:r>
      <w:r w:rsidRPr="00E347B4">
        <w:rPr>
          <w:rFonts w:ascii="Times New Roman" w:hAnsi="Times New Roman"/>
          <w:sz w:val="24"/>
          <w:szCs w:val="24"/>
        </w:rPr>
        <w:t xml:space="preserve"> circumstances</w:t>
      </w:r>
      <w:r w:rsidR="00090B88" w:rsidRPr="00E347B4">
        <w:rPr>
          <w:rFonts w:ascii="Times New Roman" w:hAnsi="Times New Roman"/>
          <w:sz w:val="24"/>
          <w:szCs w:val="24"/>
        </w:rPr>
        <w:t>,</w:t>
      </w:r>
      <w:r w:rsidRPr="00E347B4">
        <w:rPr>
          <w:rFonts w:ascii="Times New Roman" w:hAnsi="Times New Roman"/>
          <w:sz w:val="24"/>
          <w:szCs w:val="24"/>
        </w:rPr>
        <w:t xml:space="preserve"> and the improvements being quantified.</w:t>
      </w:r>
    </w:p>
    <w:p w:rsidR="009E375C" w:rsidRPr="00E347B4" w:rsidRDefault="009E375C">
      <w:pPr>
        <w:spacing w:after="0" w:line="240" w:lineRule="auto"/>
        <w:rPr>
          <w:rFonts w:ascii="Times New Roman" w:hAnsi="Times New Roman"/>
          <w:sz w:val="24"/>
          <w:szCs w:val="24"/>
        </w:rPr>
      </w:pPr>
    </w:p>
    <w:p w:rsidR="00E347B4" w:rsidRDefault="00E347B4" w:rsidP="0071257A">
      <w:pPr>
        <w:spacing w:after="0" w:line="240" w:lineRule="auto"/>
        <w:outlineLvl w:val="0"/>
        <w:rPr>
          <w:rFonts w:ascii="Times New Roman" w:hAnsi="Times New Roman"/>
          <w:sz w:val="24"/>
          <w:szCs w:val="24"/>
          <w:u w:val="single"/>
        </w:rPr>
      </w:pPr>
    </w:p>
    <w:p w:rsidR="00025E5C" w:rsidRPr="00E347B4" w:rsidRDefault="00ED6262" w:rsidP="0071257A">
      <w:pPr>
        <w:spacing w:after="0" w:line="240" w:lineRule="auto"/>
        <w:outlineLvl w:val="0"/>
        <w:rPr>
          <w:rFonts w:ascii="Times New Roman" w:hAnsi="Times New Roman"/>
          <w:sz w:val="24"/>
          <w:szCs w:val="24"/>
          <w:u w:val="single"/>
        </w:rPr>
      </w:pPr>
      <w:bookmarkStart w:id="0" w:name="_GoBack"/>
      <w:bookmarkEnd w:id="0"/>
      <w:r w:rsidRPr="00E347B4">
        <w:rPr>
          <w:rFonts w:ascii="Times New Roman" w:hAnsi="Times New Roman"/>
          <w:sz w:val="24"/>
          <w:szCs w:val="24"/>
          <w:u w:val="single"/>
        </w:rPr>
        <w:lastRenderedPageBreak/>
        <w:t>Methods</w:t>
      </w:r>
    </w:p>
    <w:p w:rsidR="009E375C" w:rsidRPr="00E347B4" w:rsidRDefault="00025E5C">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Each method considers the hydroelectric system configuration in two steady states</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First, electricity produced by the system </w:t>
      </w:r>
      <w:r w:rsidR="00ED6262" w:rsidRPr="00E347B4">
        <w:rPr>
          <w:rFonts w:ascii="Times New Roman" w:hAnsi="Times New Roman"/>
          <w:i/>
          <w:sz w:val="24"/>
          <w:szCs w:val="24"/>
        </w:rPr>
        <w:t>without</w:t>
      </w:r>
      <w:r w:rsidRPr="00E347B4">
        <w:rPr>
          <w:rFonts w:ascii="Times New Roman" w:hAnsi="Times New Roman"/>
          <w:sz w:val="24"/>
          <w:szCs w:val="24"/>
        </w:rPr>
        <w:t xml:space="preserve"> incremental improvements is determined.</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Second, electricity produced by the system </w:t>
      </w:r>
      <w:r w:rsidR="00ED6262" w:rsidRPr="00E347B4">
        <w:rPr>
          <w:rFonts w:ascii="Times New Roman" w:hAnsi="Times New Roman"/>
          <w:i/>
          <w:sz w:val="24"/>
          <w:szCs w:val="24"/>
        </w:rPr>
        <w:t>with</w:t>
      </w:r>
      <w:r w:rsidRPr="00E347B4">
        <w:rPr>
          <w:rFonts w:ascii="Times New Roman" w:hAnsi="Times New Roman"/>
          <w:sz w:val="24"/>
          <w:szCs w:val="24"/>
        </w:rPr>
        <w:t xml:space="preserve"> incremental improvements is determined.</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The difference between the first and second state determines the incremental renewable electricity attributable to the improvements.</w:t>
      </w:r>
    </w:p>
    <w:p w:rsidR="009E375C" w:rsidRPr="00E347B4" w:rsidRDefault="009E375C">
      <w:pPr>
        <w:pStyle w:val="ListParagraph"/>
        <w:ind w:left="360"/>
        <w:rPr>
          <w:rFonts w:ascii="Times New Roman" w:hAnsi="Times New Roman"/>
          <w:sz w:val="24"/>
          <w:szCs w:val="24"/>
        </w:rPr>
      </w:pPr>
    </w:p>
    <w:p w:rsidR="009E375C" w:rsidRPr="00E347B4" w:rsidRDefault="00ED6262">
      <w:pPr>
        <w:pStyle w:val="ListParagraph"/>
        <w:numPr>
          <w:ilvl w:val="0"/>
          <w:numId w:val="1"/>
        </w:numPr>
        <w:ind w:left="360"/>
        <w:rPr>
          <w:rFonts w:ascii="Times New Roman" w:hAnsi="Times New Roman"/>
          <w:sz w:val="24"/>
          <w:szCs w:val="24"/>
        </w:rPr>
      </w:pPr>
      <w:r w:rsidRPr="00E347B4">
        <w:rPr>
          <w:rFonts w:ascii="Times New Roman" w:hAnsi="Times New Roman"/>
          <w:sz w:val="24"/>
          <w:szCs w:val="24"/>
          <w:u w:val="single"/>
        </w:rPr>
        <w:t>Identified Method 1</w:t>
      </w:r>
      <w:r w:rsidR="00025E5C" w:rsidRPr="00E347B4">
        <w:rPr>
          <w:rFonts w:ascii="Times New Roman" w:hAnsi="Times New Roman"/>
          <w:sz w:val="24"/>
          <w:szCs w:val="24"/>
        </w:rPr>
        <w:t>: Annual calculation using hydro model and actual inflows</w:t>
      </w:r>
      <w:r w:rsidR="00EE2604" w:rsidRPr="00E347B4">
        <w:rPr>
          <w:rFonts w:ascii="Times New Roman" w:hAnsi="Times New Roman"/>
          <w:sz w:val="24"/>
          <w:szCs w:val="24"/>
        </w:rPr>
        <w:t xml:space="preserve"> or generation</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The difference between the two states determines the amount of renewable electricity available for that specific calendar year.</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Requires </w:t>
      </w:r>
      <w:r w:rsidR="00953B51" w:rsidRPr="00E347B4">
        <w:rPr>
          <w:rFonts w:ascii="Times New Roman" w:hAnsi="Times New Roman"/>
          <w:sz w:val="24"/>
          <w:szCs w:val="24"/>
        </w:rPr>
        <w:t xml:space="preserve">an </w:t>
      </w:r>
      <w:r w:rsidRPr="00E347B4">
        <w:rPr>
          <w:rFonts w:ascii="Times New Roman" w:hAnsi="Times New Roman"/>
          <w:sz w:val="24"/>
          <w:szCs w:val="24"/>
        </w:rPr>
        <w:t>annual model run to determine amount of electricity that would have been produced without the improvements</w:t>
      </w:r>
      <w:r w:rsidR="00953B51" w:rsidRPr="00E347B4">
        <w:rPr>
          <w:rFonts w:ascii="Times New Roman" w:hAnsi="Times New Roman"/>
          <w:sz w:val="24"/>
          <w:szCs w:val="24"/>
        </w:rPr>
        <w:t xml:space="preserve"> in each year</w:t>
      </w:r>
      <w:r w:rsidRPr="00E347B4">
        <w:rPr>
          <w:rFonts w:ascii="Times New Roman" w:hAnsi="Times New Roman"/>
          <w:sz w:val="24"/>
          <w:szCs w:val="24"/>
        </w:rPr>
        <w:t>.</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Renewable electricity quantity may vary from year to year depending on inflow</w:t>
      </w:r>
    </w:p>
    <w:p w:rsidR="009E375C" w:rsidRPr="00E347B4" w:rsidRDefault="009E375C">
      <w:pPr>
        <w:pStyle w:val="ListParagraph"/>
        <w:ind w:left="360"/>
        <w:rPr>
          <w:rFonts w:ascii="Times New Roman" w:hAnsi="Times New Roman"/>
          <w:sz w:val="24"/>
          <w:szCs w:val="24"/>
        </w:rPr>
      </w:pPr>
    </w:p>
    <w:p w:rsidR="009E375C" w:rsidRPr="00E347B4" w:rsidRDefault="00ED6262">
      <w:pPr>
        <w:pStyle w:val="ListParagraph"/>
        <w:numPr>
          <w:ilvl w:val="0"/>
          <w:numId w:val="1"/>
        </w:numPr>
        <w:ind w:left="360"/>
        <w:rPr>
          <w:rFonts w:ascii="Times New Roman" w:hAnsi="Times New Roman"/>
          <w:sz w:val="24"/>
          <w:szCs w:val="24"/>
        </w:rPr>
      </w:pPr>
      <w:r w:rsidRPr="00E347B4">
        <w:rPr>
          <w:rFonts w:ascii="Times New Roman" w:hAnsi="Times New Roman"/>
          <w:sz w:val="24"/>
          <w:szCs w:val="24"/>
          <w:u w:val="single"/>
        </w:rPr>
        <w:t>Identified Method 2</w:t>
      </w:r>
      <w:r w:rsidR="00025E5C" w:rsidRPr="00E347B4">
        <w:rPr>
          <w:rFonts w:ascii="Times New Roman" w:hAnsi="Times New Roman"/>
          <w:sz w:val="24"/>
          <w:szCs w:val="24"/>
        </w:rPr>
        <w:t xml:space="preserve">: One-time calculation of renewable electricity </w:t>
      </w:r>
      <w:r w:rsidRPr="00E347B4">
        <w:rPr>
          <w:rFonts w:ascii="Times New Roman" w:hAnsi="Times New Roman"/>
          <w:i/>
          <w:sz w:val="24"/>
          <w:szCs w:val="24"/>
        </w:rPr>
        <w:t>percentage</w:t>
      </w:r>
      <w:r w:rsidR="00025E5C" w:rsidRPr="00E347B4">
        <w:rPr>
          <w:rFonts w:ascii="Times New Roman" w:hAnsi="Times New Roman"/>
          <w:sz w:val="24"/>
          <w:szCs w:val="24"/>
        </w:rPr>
        <w:t xml:space="preserve"> using an historical period of inflow </w:t>
      </w:r>
      <w:r w:rsidR="00EE2604" w:rsidRPr="00E347B4">
        <w:rPr>
          <w:rFonts w:ascii="Times New Roman" w:hAnsi="Times New Roman"/>
          <w:sz w:val="24"/>
          <w:szCs w:val="24"/>
        </w:rPr>
        <w:t>or generation</w:t>
      </w:r>
      <w:r w:rsidR="00DB3DFC" w:rsidRPr="00E347B4">
        <w:rPr>
          <w:rFonts w:ascii="Times New Roman" w:hAnsi="Times New Roman"/>
          <w:sz w:val="24"/>
          <w:szCs w:val="24"/>
        </w:rPr>
        <w:t>.</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Historical inflow </w:t>
      </w:r>
      <w:r w:rsidR="00EE2604" w:rsidRPr="00E347B4">
        <w:rPr>
          <w:rFonts w:ascii="Times New Roman" w:hAnsi="Times New Roman"/>
          <w:sz w:val="24"/>
          <w:szCs w:val="24"/>
        </w:rPr>
        <w:t xml:space="preserve">or generation </w:t>
      </w:r>
      <w:r w:rsidRPr="00E347B4">
        <w:rPr>
          <w:rFonts w:ascii="Times New Roman" w:hAnsi="Times New Roman"/>
          <w:sz w:val="24"/>
          <w:szCs w:val="24"/>
        </w:rPr>
        <w:t>based on minimum of 5-years</w:t>
      </w:r>
      <w:r w:rsidR="00EE2604" w:rsidRPr="00E347B4">
        <w:rPr>
          <w:rFonts w:ascii="Times New Roman" w:hAnsi="Times New Roman"/>
          <w:sz w:val="24"/>
          <w:szCs w:val="24"/>
        </w:rPr>
        <w:t>,</w:t>
      </w:r>
      <w:r w:rsidRPr="00E347B4">
        <w:rPr>
          <w:rFonts w:ascii="Times New Roman" w:hAnsi="Times New Roman"/>
          <w:sz w:val="24"/>
          <w:szCs w:val="24"/>
        </w:rPr>
        <w:t xml:space="preserve"> or up to the entire available inflow record</w:t>
      </w:r>
      <w:r w:rsidR="00C563A2" w:rsidRPr="00E347B4">
        <w:rPr>
          <w:rFonts w:ascii="Times New Roman" w:hAnsi="Times New Roman"/>
          <w:sz w:val="24"/>
          <w:szCs w:val="24"/>
        </w:rPr>
        <w:t xml:space="preserve"> or generation</w:t>
      </w:r>
      <w:r w:rsidRPr="00E347B4">
        <w:rPr>
          <w:rFonts w:ascii="Times New Roman" w:hAnsi="Times New Roman"/>
          <w:sz w:val="24"/>
          <w:szCs w:val="24"/>
        </w:rPr>
        <w:t>, as determined by the utility.</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Electricity output in each state is </w:t>
      </w:r>
      <w:r w:rsidR="00947B3B" w:rsidRPr="00E347B4">
        <w:rPr>
          <w:rFonts w:ascii="Times New Roman" w:hAnsi="Times New Roman"/>
          <w:sz w:val="24"/>
          <w:szCs w:val="24"/>
        </w:rPr>
        <w:t>calculated</w:t>
      </w:r>
      <w:r w:rsidR="00C563A2" w:rsidRPr="00E347B4">
        <w:rPr>
          <w:rFonts w:ascii="Times New Roman" w:hAnsi="Times New Roman"/>
          <w:sz w:val="24"/>
          <w:szCs w:val="24"/>
        </w:rPr>
        <w:t xml:space="preserve"> using a hydro model</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The difference between the two states, as a percentage, is then </w:t>
      </w:r>
      <w:r w:rsidR="00947B3B" w:rsidRPr="00E347B4">
        <w:rPr>
          <w:rFonts w:ascii="Times New Roman" w:hAnsi="Times New Roman"/>
          <w:sz w:val="24"/>
          <w:szCs w:val="24"/>
        </w:rPr>
        <w:t xml:space="preserve">applied to </w:t>
      </w:r>
      <w:r w:rsidRPr="00E347B4">
        <w:rPr>
          <w:rFonts w:ascii="Times New Roman" w:hAnsi="Times New Roman"/>
          <w:sz w:val="24"/>
          <w:szCs w:val="24"/>
        </w:rPr>
        <w:t>the actual generation in all future years to determine the available renewable electricity in each year</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Renewable electricity quantity will vary from year to year depending on inflow</w:t>
      </w:r>
    </w:p>
    <w:p w:rsidR="009E375C" w:rsidRPr="00E347B4" w:rsidRDefault="009E375C">
      <w:pPr>
        <w:pStyle w:val="ListParagraph"/>
        <w:ind w:left="360"/>
        <w:rPr>
          <w:rFonts w:ascii="Times New Roman" w:hAnsi="Times New Roman"/>
          <w:sz w:val="24"/>
          <w:szCs w:val="24"/>
        </w:rPr>
      </w:pPr>
    </w:p>
    <w:p w:rsidR="009E375C" w:rsidRPr="00E347B4" w:rsidRDefault="00ED6262">
      <w:pPr>
        <w:pStyle w:val="ListParagraph"/>
        <w:numPr>
          <w:ilvl w:val="0"/>
          <w:numId w:val="1"/>
        </w:numPr>
        <w:ind w:left="360"/>
        <w:rPr>
          <w:rFonts w:ascii="Times New Roman" w:hAnsi="Times New Roman"/>
          <w:sz w:val="24"/>
          <w:szCs w:val="24"/>
        </w:rPr>
      </w:pPr>
      <w:r w:rsidRPr="00E347B4">
        <w:rPr>
          <w:rFonts w:ascii="Times New Roman" w:hAnsi="Times New Roman"/>
          <w:sz w:val="24"/>
          <w:szCs w:val="24"/>
          <w:u w:val="single"/>
        </w:rPr>
        <w:t>Identified Method 3</w:t>
      </w:r>
      <w:r w:rsidR="00025E5C" w:rsidRPr="00E347B4">
        <w:rPr>
          <w:rFonts w:ascii="Times New Roman" w:hAnsi="Times New Roman"/>
          <w:sz w:val="24"/>
          <w:szCs w:val="24"/>
        </w:rPr>
        <w:t>: One-time calculation of renewable electricity using an historical period of inflow</w:t>
      </w:r>
      <w:r w:rsidR="00DB3DFC" w:rsidRPr="00E347B4">
        <w:rPr>
          <w:rFonts w:ascii="Times New Roman" w:hAnsi="Times New Roman"/>
          <w:sz w:val="24"/>
          <w:szCs w:val="24"/>
        </w:rPr>
        <w:t xml:space="preserve"> </w:t>
      </w:r>
      <w:r w:rsidR="00EE2604" w:rsidRPr="00E347B4">
        <w:rPr>
          <w:rFonts w:ascii="Times New Roman" w:hAnsi="Times New Roman"/>
          <w:sz w:val="24"/>
          <w:szCs w:val="24"/>
        </w:rPr>
        <w:t>or generation</w:t>
      </w:r>
      <w:r w:rsidR="00025E5C" w:rsidRPr="00E347B4">
        <w:rPr>
          <w:rFonts w:ascii="Times New Roman" w:hAnsi="Times New Roman"/>
          <w:sz w:val="24"/>
          <w:szCs w:val="24"/>
        </w:rPr>
        <w:t>.</w:t>
      </w:r>
    </w:p>
    <w:p w:rsidR="00025E5C" w:rsidRPr="00E347B4" w:rsidRDefault="00025E5C" w:rsidP="00E81387">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Historical inflow </w:t>
      </w:r>
      <w:r w:rsidR="00EE2604" w:rsidRPr="00E347B4">
        <w:rPr>
          <w:rFonts w:ascii="Times New Roman" w:hAnsi="Times New Roman"/>
          <w:sz w:val="24"/>
          <w:szCs w:val="24"/>
        </w:rPr>
        <w:t xml:space="preserve">or generation </w:t>
      </w:r>
      <w:r w:rsidRPr="00E347B4">
        <w:rPr>
          <w:rFonts w:ascii="Times New Roman" w:hAnsi="Times New Roman"/>
          <w:sz w:val="24"/>
          <w:szCs w:val="24"/>
        </w:rPr>
        <w:t>based on minimum of 5-years or up to the entire available inflow record</w:t>
      </w:r>
      <w:r w:rsidR="00C563A2" w:rsidRPr="00E347B4">
        <w:rPr>
          <w:rFonts w:ascii="Times New Roman" w:hAnsi="Times New Roman"/>
          <w:sz w:val="24"/>
          <w:szCs w:val="24"/>
        </w:rPr>
        <w:t xml:space="preserve"> or generation</w:t>
      </w:r>
      <w:r w:rsidRPr="00E347B4">
        <w:rPr>
          <w:rFonts w:ascii="Times New Roman" w:hAnsi="Times New Roman"/>
          <w:sz w:val="24"/>
          <w:szCs w:val="24"/>
        </w:rPr>
        <w:t>, as determined by the utility</w:t>
      </w:r>
      <w:r w:rsidR="003A1E7A" w:rsidRPr="00E347B4">
        <w:rPr>
          <w:rFonts w:ascii="Times New Roman" w:hAnsi="Times New Roman"/>
          <w:sz w:val="24"/>
          <w:szCs w:val="24"/>
        </w:rPr>
        <w:t>.</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 xml:space="preserve">Electricity output in each state is </w:t>
      </w:r>
      <w:r w:rsidR="00C563A2" w:rsidRPr="00E347B4">
        <w:rPr>
          <w:rFonts w:ascii="Times New Roman" w:hAnsi="Times New Roman"/>
          <w:sz w:val="24"/>
          <w:szCs w:val="24"/>
        </w:rPr>
        <w:t>calculated</w:t>
      </w:r>
      <w:r w:rsidRPr="00E347B4">
        <w:rPr>
          <w:rFonts w:ascii="Times New Roman" w:hAnsi="Times New Roman"/>
          <w:sz w:val="24"/>
          <w:szCs w:val="24"/>
        </w:rPr>
        <w:t xml:space="preserve"> using a hydro model</w:t>
      </w:r>
    </w:p>
    <w:p w:rsidR="009E375C" w:rsidRPr="00E347B4" w:rsidRDefault="00025E5C">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The difference between the two states, as a MWh value, is then used for future years as the available renewable electricity</w:t>
      </w:r>
    </w:p>
    <w:p w:rsidR="009E375C" w:rsidRPr="00E347B4" w:rsidRDefault="009E375C">
      <w:pPr>
        <w:pStyle w:val="ListParagraph"/>
        <w:ind w:left="360"/>
        <w:rPr>
          <w:rFonts w:ascii="Times New Roman" w:hAnsi="Times New Roman"/>
          <w:sz w:val="24"/>
          <w:szCs w:val="24"/>
        </w:rPr>
      </w:pPr>
    </w:p>
    <w:p w:rsidR="009E375C" w:rsidRPr="00E347B4" w:rsidRDefault="00ED6262">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 xml:space="preserve">Other methods as determined by </w:t>
      </w:r>
      <w:r w:rsidR="00025E5C" w:rsidRPr="00E347B4">
        <w:rPr>
          <w:rFonts w:ascii="Times New Roman" w:hAnsi="Times New Roman"/>
          <w:sz w:val="24"/>
          <w:szCs w:val="24"/>
        </w:rPr>
        <w:t xml:space="preserve">a </w:t>
      </w:r>
      <w:r w:rsidRPr="00E347B4">
        <w:rPr>
          <w:rFonts w:ascii="Times New Roman" w:hAnsi="Times New Roman"/>
          <w:sz w:val="24"/>
          <w:szCs w:val="24"/>
        </w:rPr>
        <w:t xml:space="preserve">utility and approved by </w:t>
      </w:r>
      <w:r w:rsidR="00025E5C" w:rsidRPr="00E347B4">
        <w:rPr>
          <w:rFonts w:ascii="Times New Roman" w:hAnsi="Times New Roman"/>
          <w:sz w:val="24"/>
          <w:szCs w:val="24"/>
        </w:rPr>
        <w:t>the Commission</w:t>
      </w:r>
    </w:p>
    <w:p w:rsidR="00025E5C" w:rsidRPr="00E347B4" w:rsidRDefault="00025E5C" w:rsidP="000024D6">
      <w:pPr>
        <w:pStyle w:val="ListParagraph"/>
        <w:ind w:left="360"/>
        <w:rPr>
          <w:rFonts w:ascii="Times New Roman" w:hAnsi="Times New Roman"/>
          <w:sz w:val="24"/>
          <w:szCs w:val="24"/>
        </w:rPr>
      </w:pPr>
    </w:p>
    <w:p w:rsidR="00025E5C" w:rsidRPr="00E347B4" w:rsidRDefault="00025E5C" w:rsidP="000024D6">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 xml:space="preserve">Regardless of method chosen, </w:t>
      </w:r>
      <w:r w:rsidR="003C4F97" w:rsidRPr="00E347B4">
        <w:rPr>
          <w:rFonts w:ascii="Times New Roman" w:hAnsi="Times New Roman"/>
          <w:sz w:val="24"/>
          <w:szCs w:val="24"/>
        </w:rPr>
        <w:t xml:space="preserve">for all projects completed after December 31, 2008, </w:t>
      </w:r>
      <w:r w:rsidRPr="00E347B4">
        <w:rPr>
          <w:rFonts w:ascii="Times New Roman" w:hAnsi="Times New Roman"/>
          <w:sz w:val="24"/>
          <w:szCs w:val="24"/>
        </w:rPr>
        <w:t>a utility or Commission Staff may request to update its studies after 5 years of actual operation</w:t>
      </w:r>
      <w:r w:rsidR="003A1E7A" w:rsidRPr="00E347B4">
        <w:rPr>
          <w:rFonts w:ascii="Times New Roman" w:hAnsi="Times New Roman"/>
          <w:sz w:val="24"/>
          <w:szCs w:val="24"/>
        </w:rPr>
        <w:t>.</w:t>
      </w:r>
    </w:p>
    <w:p w:rsidR="00025E5C" w:rsidRPr="00E347B4" w:rsidRDefault="00025E5C" w:rsidP="00003E05">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t>Actual generation results can vary from modeling</w:t>
      </w:r>
    </w:p>
    <w:p w:rsidR="00025E5C" w:rsidRPr="00E347B4" w:rsidRDefault="00025E5C" w:rsidP="00003E05">
      <w:pPr>
        <w:pStyle w:val="ListParagraph"/>
        <w:numPr>
          <w:ilvl w:val="2"/>
          <w:numId w:val="1"/>
        </w:numPr>
        <w:ind w:left="1080"/>
        <w:rPr>
          <w:rFonts w:ascii="Times New Roman" w:hAnsi="Times New Roman"/>
          <w:sz w:val="24"/>
          <w:szCs w:val="24"/>
        </w:rPr>
      </w:pPr>
      <w:r w:rsidRPr="00E347B4">
        <w:rPr>
          <w:rFonts w:ascii="Times New Roman" w:hAnsi="Times New Roman"/>
          <w:sz w:val="24"/>
          <w:szCs w:val="24"/>
        </w:rPr>
        <w:t>Adjust updated results where the recent 5-year period does not reflect long-term inflow averages used in the modeling</w:t>
      </w:r>
      <w:r w:rsidR="003A1E7A" w:rsidRPr="00E347B4">
        <w:rPr>
          <w:rFonts w:ascii="Times New Roman" w:hAnsi="Times New Roman"/>
          <w:sz w:val="24"/>
          <w:szCs w:val="24"/>
        </w:rPr>
        <w:t>.</w:t>
      </w:r>
    </w:p>
    <w:p w:rsidR="00025E5C" w:rsidRPr="00E347B4" w:rsidRDefault="00025E5C" w:rsidP="00003E05">
      <w:pPr>
        <w:pStyle w:val="ListParagraph"/>
        <w:numPr>
          <w:ilvl w:val="1"/>
          <w:numId w:val="1"/>
        </w:numPr>
        <w:ind w:left="720"/>
        <w:rPr>
          <w:rFonts w:ascii="Times New Roman" w:hAnsi="Times New Roman"/>
          <w:sz w:val="24"/>
          <w:szCs w:val="24"/>
        </w:rPr>
      </w:pPr>
      <w:r w:rsidRPr="00E347B4">
        <w:rPr>
          <w:rFonts w:ascii="Times New Roman" w:hAnsi="Times New Roman"/>
          <w:sz w:val="24"/>
          <w:szCs w:val="24"/>
        </w:rPr>
        <w:lastRenderedPageBreak/>
        <w:t>Where study suggests a modification of renewable electricity quantities, such renewable electricity quantities shall be adjusted for future years; changes will not be retroactive into the past.</w:t>
      </w:r>
    </w:p>
    <w:p w:rsidR="003C4F97" w:rsidRPr="00E347B4" w:rsidRDefault="003C4F97" w:rsidP="003C4F97">
      <w:pPr>
        <w:pStyle w:val="ListParagraph"/>
        <w:numPr>
          <w:ilvl w:val="0"/>
          <w:numId w:val="1"/>
        </w:numPr>
        <w:ind w:left="360"/>
        <w:rPr>
          <w:rFonts w:ascii="Times New Roman" w:hAnsi="Times New Roman"/>
          <w:sz w:val="24"/>
          <w:szCs w:val="24"/>
        </w:rPr>
      </w:pPr>
      <w:r w:rsidRPr="00E347B4">
        <w:rPr>
          <w:rFonts w:ascii="Times New Roman" w:hAnsi="Times New Roman"/>
          <w:sz w:val="24"/>
          <w:szCs w:val="24"/>
        </w:rPr>
        <w:t>Documentation</w:t>
      </w:r>
    </w:p>
    <w:p w:rsidR="003C4F97" w:rsidRPr="00E347B4" w:rsidRDefault="003C4F97" w:rsidP="003C4F97">
      <w:pPr>
        <w:pStyle w:val="ListParagraph"/>
        <w:numPr>
          <w:ilvl w:val="2"/>
          <w:numId w:val="1"/>
        </w:numPr>
        <w:ind w:left="1080"/>
        <w:rPr>
          <w:rFonts w:ascii="Times New Roman" w:hAnsi="Times New Roman"/>
          <w:sz w:val="24"/>
          <w:szCs w:val="24"/>
        </w:rPr>
      </w:pPr>
      <w:r w:rsidRPr="00E347B4">
        <w:rPr>
          <w:rFonts w:ascii="Times New Roman" w:eastAsia="Times New Roman" w:hAnsi="Times New Roman"/>
          <w:sz w:val="24"/>
          <w:szCs w:val="24"/>
        </w:rPr>
        <w:t>The increase in annual megawatt-hours of generation attributable to the qualified incremental hydropower efficiency improvements shall be documented by engineering studies or with before and after generation data. The documentation shall clearly explain w</w:t>
      </w:r>
      <w:r w:rsidRPr="00E347B4">
        <w:rPr>
          <w:rFonts w:ascii="Times New Roman" w:hAnsi="Times New Roman"/>
          <w:sz w:val="24"/>
          <w:szCs w:val="24"/>
        </w:rPr>
        <w:t>here the facility is located, when the improvements were made, how the amount of incremental generation was calculated, what other factors might have caused an increase in electricity production and how the amount attributable to the qualified improvements was extracted from the total increase, how and why the qualified improvements increased hydropower production, and how the utility came to acquire the incremental output associated with the qualified improvements.</w:t>
      </w:r>
    </w:p>
    <w:sectPr w:rsidR="003C4F97" w:rsidRPr="00E347B4" w:rsidSect="008334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C2" w:rsidRDefault="005438C2" w:rsidP="005438C2">
      <w:pPr>
        <w:spacing w:after="0" w:line="240" w:lineRule="auto"/>
      </w:pPr>
      <w:r>
        <w:separator/>
      </w:r>
    </w:p>
  </w:endnote>
  <w:endnote w:type="continuationSeparator" w:id="0">
    <w:p w:rsidR="005438C2" w:rsidRDefault="005438C2" w:rsidP="0054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C2" w:rsidRDefault="005438C2" w:rsidP="005438C2">
      <w:pPr>
        <w:spacing w:after="0" w:line="240" w:lineRule="auto"/>
      </w:pPr>
      <w:r>
        <w:separator/>
      </w:r>
    </w:p>
  </w:footnote>
  <w:footnote w:type="continuationSeparator" w:id="0">
    <w:p w:rsidR="005438C2" w:rsidRDefault="005438C2" w:rsidP="00543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477648756"/>
      <w:docPartObj>
        <w:docPartGallery w:val="Page Numbers (Top of Page)"/>
        <w:docPartUnique/>
      </w:docPartObj>
    </w:sdtPr>
    <w:sdtEndPr/>
    <w:sdtContent>
      <w:p w:rsidR="005438C2" w:rsidRPr="00E347B4" w:rsidRDefault="005438C2" w:rsidP="005438C2">
        <w:pPr>
          <w:pStyle w:val="Header"/>
          <w:jc w:val="right"/>
          <w:rPr>
            <w:rFonts w:ascii="Times New Roman" w:hAnsi="Times New Roman"/>
            <w:sz w:val="20"/>
            <w:szCs w:val="20"/>
          </w:rPr>
        </w:pPr>
        <w:r w:rsidRPr="00E347B4">
          <w:rPr>
            <w:rFonts w:ascii="Times New Roman" w:hAnsi="Times New Roman"/>
            <w:sz w:val="20"/>
            <w:szCs w:val="20"/>
          </w:rPr>
          <w:t xml:space="preserve">Page </w:t>
        </w:r>
        <w:r w:rsidRPr="00E347B4">
          <w:rPr>
            <w:rFonts w:ascii="Times New Roman" w:hAnsi="Times New Roman"/>
            <w:bCs/>
            <w:sz w:val="20"/>
            <w:szCs w:val="20"/>
          </w:rPr>
          <w:fldChar w:fldCharType="begin"/>
        </w:r>
        <w:r w:rsidRPr="00E347B4">
          <w:rPr>
            <w:rFonts w:ascii="Times New Roman" w:hAnsi="Times New Roman"/>
            <w:bCs/>
            <w:sz w:val="20"/>
            <w:szCs w:val="20"/>
          </w:rPr>
          <w:instrText xml:space="preserve"> PAGE </w:instrText>
        </w:r>
        <w:r w:rsidRPr="00E347B4">
          <w:rPr>
            <w:rFonts w:ascii="Times New Roman" w:hAnsi="Times New Roman"/>
            <w:bCs/>
            <w:sz w:val="20"/>
            <w:szCs w:val="20"/>
          </w:rPr>
          <w:fldChar w:fldCharType="separate"/>
        </w:r>
        <w:r w:rsidR="00E347B4">
          <w:rPr>
            <w:rFonts w:ascii="Times New Roman" w:hAnsi="Times New Roman"/>
            <w:bCs/>
            <w:noProof/>
            <w:sz w:val="20"/>
            <w:szCs w:val="20"/>
          </w:rPr>
          <w:t>2</w:t>
        </w:r>
        <w:r w:rsidRPr="00E347B4">
          <w:rPr>
            <w:rFonts w:ascii="Times New Roman" w:hAnsi="Times New Roman"/>
            <w:bCs/>
            <w:sz w:val="20"/>
            <w:szCs w:val="20"/>
          </w:rPr>
          <w:fldChar w:fldCharType="end"/>
        </w:r>
        <w:r w:rsidRPr="00E347B4">
          <w:rPr>
            <w:rFonts w:ascii="Times New Roman" w:hAnsi="Times New Roman"/>
            <w:sz w:val="20"/>
            <w:szCs w:val="20"/>
          </w:rPr>
          <w:t xml:space="preserve"> of </w:t>
        </w:r>
        <w:r w:rsidRPr="00E347B4">
          <w:rPr>
            <w:rFonts w:ascii="Times New Roman" w:hAnsi="Times New Roman"/>
            <w:bCs/>
            <w:sz w:val="20"/>
            <w:szCs w:val="20"/>
          </w:rPr>
          <w:fldChar w:fldCharType="begin"/>
        </w:r>
        <w:r w:rsidRPr="00E347B4">
          <w:rPr>
            <w:rFonts w:ascii="Times New Roman" w:hAnsi="Times New Roman"/>
            <w:bCs/>
            <w:sz w:val="20"/>
            <w:szCs w:val="20"/>
          </w:rPr>
          <w:instrText xml:space="preserve"> NUMPAGES  </w:instrText>
        </w:r>
        <w:r w:rsidRPr="00E347B4">
          <w:rPr>
            <w:rFonts w:ascii="Times New Roman" w:hAnsi="Times New Roman"/>
            <w:bCs/>
            <w:sz w:val="20"/>
            <w:szCs w:val="20"/>
          </w:rPr>
          <w:fldChar w:fldCharType="separate"/>
        </w:r>
        <w:r w:rsidR="00E347B4">
          <w:rPr>
            <w:rFonts w:ascii="Times New Roman" w:hAnsi="Times New Roman"/>
            <w:bCs/>
            <w:noProof/>
            <w:sz w:val="20"/>
            <w:szCs w:val="20"/>
          </w:rPr>
          <w:t>3</w:t>
        </w:r>
        <w:r w:rsidRPr="00E347B4">
          <w:rPr>
            <w:rFonts w:ascii="Times New Roman" w:hAnsi="Times New Roman"/>
            <w:bCs/>
            <w:sz w:val="20"/>
            <w:szCs w:val="20"/>
          </w:rPr>
          <w:fldChar w:fldCharType="end"/>
        </w:r>
      </w:p>
    </w:sdtContent>
  </w:sdt>
  <w:p w:rsidR="005438C2" w:rsidRPr="00E347B4" w:rsidRDefault="005438C2" w:rsidP="005438C2">
    <w:pPr>
      <w:pStyle w:val="Header"/>
      <w:rPr>
        <w:rFonts w:ascii="Times New Roman" w:hAnsi="Times New Roman"/>
        <w:sz w:val="20"/>
        <w:szCs w:val="20"/>
      </w:rPr>
    </w:pPr>
    <w:r w:rsidRPr="00E347B4">
      <w:rPr>
        <w:rFonts w:ascii="Times New Roman" w:hAnsi="Times New Roman"/>
        <w:sz w:val="20"/>
        <w:szCs w:val="20"/>
      </w:rPr>
      <w:t>RPS Workgroup Report Attachment 4</w:t>
    </w:r>
  </w:p>
  <w:p w:rsidR="005438C2" w:rsidRPr="00E347B4" w:rsidRDefault="005438C2" w:rsidP="005438C2">
    <w:pPr>
      <w:pStyle w:val="Header"/>
      <w:rPr>
        <w:rFonts w:ascii="Times New Roman" w:hAnsi="Times New Roman"/>
        <w:sz w:val="20"/>
        <w:szCs w:val="20"/>
      </w:rPr>
    </w:pPr>
    <w:r w:rsidRPr="00E347B4">
      <w:rPr>
        <w:rFonts w:ascii="Times New Roman" w:hAnsi="Times New Roman"/>
        <w:sz w:val="20"/>
        <w:szCs w:val="20"/>
      </w:rPr>
      <w:t>January 31, 2012</w:t>
    </w:r>
  </w:p>
  <w:p w:rsidR="00ED6F47" w:rsidRPr="00E347B4" w:rsidRDefault="00ED6F47" w:rsidP="005438C2">
    <w:pPr>
      <w:pStyle w:val="Header"/>
      <w:rPr>
        <w:rFonts w:ascii="Times New Roman" w:hAnsi="Times New Roman"/>
        <w:sz w:val="20"/>
        <w:szCs w:val="20"/>
      </w:rPr>
    </w:pPr>
    <w:r w:rsidRPr="00E347B4">
      <w:rPr>
        <w:rFonts w:ascii="Times New Roman" w:hAnsi="Times New Roman"/>
        <w:sz w:val="20"/>
        <w:szCs w:val="20"/>
      </w:rPr>
      <w:t>Consensus</w:t>
    </w:r>
  </w:p>
  <w:p w:rsidR="005438C2" w:rsidRPr="00CF14E0" w:rsidRDefault="005438C2">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CD"/>
    <w:rsid w:val="000024D6"/>
    <w:rsid w:val="00003E05"/>
    <w:rsid w:val="00025E5C"/>
    <w:rsid w:val="000347B7"/>
    <w:rsid w:val="00090B88"/>
    <w:rsid w:val="00100E3C"/>
    <w:rsid w:val="00136218"/>
    <w:rsid w:val="00163B48"/>
    <w:rsid w:val="001D15AA"/>
    <w:rsid w:val="001E5032"/>
    <w:rsid w:val="00246BA4"/>
    <w:rsid w:val="002A1716"/>
    <w:rsid w:val="002A37F4"/>
    <w:rsid w:val="002B0956"/>
    <w:rsid w:val="002D19BB"/>
    <w:rsid w:val="002E76FE"/>
    <w:rsid w:val="003971CE"/>
    <w:rsid w:val="003A1E7A"/>
    <w:rsid w:val="003B5C45"/>
    <w:rsid w:val="003C1545"/>
    <w:rsid w:val="003C22FC"/>
    <w:rsid w:val="003C2782"/>
    <w:rsid w:val="003C4F97"/>
    <w:rsid w:val="003C7400"/>
    <w:rsid w:val="003D6D8D"/>
    <w:rsid w:val="004D1D35"/>
    <w:rsid w:val="004E67FC"/>
    <w:rsid w:val="0053714D"/>
    <w:rsid w:val="005438C2"/>
    <w:rsid w:val="005A5BE6"/>
    <w:rsid w:val="005D67A0"/>
    <w:rsid w:val="006A49CD"/>
    <w:rsid w:val="006C667E"/>
    <w:rsid w:val="007007C5"/>
    <w:rsid w:val="0071257A"/>
    <w:rsid w:val="00762382"/>
    <w:rsid w:val="0077061B"/>
    <w:rsid w:val="007D1E39"/>
    <w:rsid w:val="00810E6B"/>
    <w:rsid w:val="008334D6"/>
    <w:rsid w:val="00841E4A"/>
    <w:rsid w:val="00944884"/>
    <w:rsid w:val="00947B3B"/>
    <w:rsid w:val="00953B51"/>
    <w:rsid w:val="009E375C"/>
    <w:rsid w:val="00A4002B"/>
    <w:rsid w:val="00A61605"/>
    <w:rsid w:val="00B23D69"/>
    <w:rsid w:val="00B37C83"/>
    <w:rsid w:val="00B90018"/>
    <w:rsid w:val="00BF2696"/>
    <w:rsid w:val="00C563A2"/>
    <w:rsid w:val="00C6154E"/>
    <w:rsid w:val="00C8431A"/>
    <w:rsid w:val="00C97071"/>
    <w:rsid w:val="00CD5291"/>
    <w:rsid w:val="00CF14E0"/>
    <w:rsid w:val="00D112AF"/>
    <w:rsid w:val="00D444BD"/>
    <w:rsid w:val="00D4693E"/>
    <w:rsid w:val="00D6426B"/>
    <w:rsid w:val="00DB3DFC"/>
    <w:rsid w:val="00DD04EA"/>
    <w:rsid w:val="00E14BC0"/>
    <w:rsid w:val="00E347B4"/>
    <w:rsid w:val="00E805D0"/>
    <w:rsid w:val="00E81387"/>
    <w:rsid w:val="00ED6262"/>
    <w:rsid w:val="00ED6F47"/>
    <w:rsid w:val="00EE2604"/>
    <w:rsid w:val="00F06EAD"/>
    <w:rsid w:val="00F84783"/>
    <w:rsid w:val="00F97702"/>
    <w:rsid w:val="00FE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49CD"/>
    <w:pPr>
      <w:ind w:left="720"/>
      <w:contextualSpacing/>
    </w:pPr>
  </w:style>
  <w:style w:type="paragraph" w:styleId="BalloonText">
    <w:name w:val="Balloon Text"/>
    <w:basedOn w:val="Normal"/>
    <w:link w:val="BalloonTextChar"/>
    <w:uiPriority w:val="99"/>
    <w:semiHidden/>
    <w:rsid w:val="0000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4D6"/>
    <w:rPr>
      <w:rFonts w:ascii="Tahoma" w:hAnsi="Tahoma" w:cs="Tahoma"/>
      <w:sz w:val="16"/>
      <w:szCs w:val="16"/>
    </w:rPr>
  </w:style>
  <w:style w:type="character" w:styleId="CommentReference">
    <w:name w:val="annotation reference"/>
    <w:basedOn w:val="DefaultParagraphFont"/>
    <w:uiPriority w:val="99"/>
    <w:semiHidden/>
    <w:rsid w:val="003971CE"/>
    <w:rPr>
      <w:rFonts w:cs="Times New Roman"/>
      <w:sz w:val="16"/>
      <w:szCs w:val="16"/>
    </w:rPr>
  </w:style>
  <w:style w:type="paragraph" w:styleId="CommentText">
    <w:name w:val="annotation text"/>
    <w:basedOn w:val="Normal"/>
    <w:link w:val="CommentTextChar"/>
    <w:uiPriority w:val="99"/>
    <w:semiHidden/>
    <w:rsid w:val="003971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71CE"/>
    <w:rPr>
      <w:rFonts w:cs="Times New Roman"/>
      <w:sz w:val="20"/>
      <w:szCs w:val="20"/>
    </w:rPr>
  </w:style>
  <w:style w:type="paragraph" w:styleId="CommentSubject">
    <w:name w:val="annotation subject"/>
    <w:basedOn w:val="CommentText"/>
    <w:next w:val="CommentText"/>
    <w:link w:val="CommentSubjectChar"/>
    <w:uiPriority w:val="99"/>
    <w:semiHidden/>
    <w:rsid w:val="003971CE"/>
    <w:rPr>
      <w:b/>
      <w:bCs/>
    </w:rPr>
  </w:style>
  <w:style w:type="character" w:customStyle="1" w:styleId="CommentSubjectChar">
    <w:name w:val="Comment Subject Char"/>
    <w:basedOn w:val="CommentTextChar"/>
    <w:link w:val="CommentSubject"/>
    <w:uiPriority w:val="99"/>
    <w:semiHidden/>
    <w:locked/>
    <w:rsid w:val="003971CE"/>
    <w:rPr>
      <w:rFonts w:cs="Times New Roman"/>
      <w:b/>
      <w:bCs/>
      <w:sz w:val="20"/>
      <w:szCs w:val="20"/>
    </w:rPr>
  </w:style>
  <w:style w:type="paragraph" w:styleId="DocumentMap">
    <w:name w:val="Document Map"/>
    <w:basedOn w:val="Normal"/>
    <w:link w:val="DocumentMapChar"/>
    <w:uiPriority w:val="99"/>
    <w:semiHidden/>
    <w:rsid w:val="0071257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66F7F"/>
    <w:rPr>
      <w:rFonts w:ascii="Times New Roman" w:hAnsi="Times New Roman"/>
      <w:sz w:val="0"/>
      <w:szCs w:val="0"/>
    </w:rPr>
  </w:style>
  <w:style w:type="paragraph" w:styleId="Header">
    <w:name w:val="header"/>
    <w:basedOn w:val="Normal"/>
    <w:link w:val="HeaderChar"/>
    <w:uiPriority w:val="99"/>
    <w:unhideWhenUsed/>
    <w:rsid w:val="00543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C2"/>
  </w:style>
  <w:style w:type="paragraph" w:styleId="Footer">
    <w:name w:val="footer"/>
    <w:basedOn w:val="Normal"/>
    <w:link w:val="FooterChar"/>
    <w:uiPriority w:val="99"/>
    <w:unhideWhenUsed/>
    <w:rsid w:val="00543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49CD"/>
    <w:pPr>
      <w:ind w:left="720"/>
      <w:contextualSpacing/>
    </w:pPr>
  </w:style>
  <w:style w:type="paragraph" w:styleId="BalloonText">
    <w:name w:val="Balloon Text"/>
    <w:basedOn w:val="Normal"/>
    <w:link w:val="BalloonTextChar"/>
    <w:uiPriority w:val="99"/>
    <w:semiHidden/>
    <w:rsid w:val="0000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4D6"/>
    <w:rPr>
      <w:rFonts w:ascii="Tahoma" w:hAnsi="Tahoma" w:cs="Tahoma"/>
      <w:sz w:val="16"/>
      <w:szCs w:val="16"/>
    </w:rPr>
  </w:style>
  <w:style w:type="character" w:styleId="CommentReference">
    <w:name w:val="annotation reference"/>
    <w:basedOn w:val="DefaultParagraphFont"/>
    <w:uiPriority w:val="99"/>
    <w:semiHidden/>
    <w:rsid w:val="003971CE"/>
    <w:rPr>
      <w:rFonts w:cs="Times New Roman"/>
      <w:sz w:val="16"/>
      <w:szCs w:val="16"/>
    </w:rPr>
  </w:style>
  <w:style w:type="paragraph" w:styleId="CommentText">
    <w:name w:val="annotation text"/>
    <w:basedOn w:val="Normal"/>
    <w:link w:val="CommentTextChar"/>
    <w:uiPriority w:val="99"/>
    <w:semiHidden/>
    <w:rsid w:val="003971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71CE"/>
    <w:rPr>
      <w:rFonts w:cs="Times New Roman"/>
      <w:sz w:val="20"/>
      <w:szCs w:val="20"/>
    </w:rPr>
  </w:style>
  <w:style w:type="paragraph" w:styleId="CommentSubject">
    <w:name w:val="annotation subject"/>
    <w:basedOn w:val="CommentText"/>
    <w:next w:val="CommentText"/>
    <w:link w:val="CommentSubjectChar"/>
    <w:uiPriority w:val="99"/>
    <w:semiHidden/>
    <w:rsid w:val="003971CE"/>
    <w:rPr>
      <w:b/>
      <w:bCs/>
    </w:rPr>
  </w:style>
  <w:style w:type="character" w:customStyle="1" w:styleId="CommentSubjectChar">
    <w:name w:val="Comment Subject Char"/>
    <w:basedOn w:val="CommentTextChar"/>
    <w:link w:val="CommentSubject"/>
    <w:uiPriority w:val="99"/>
    <w:semiHidden/>
    <w:locked/>
    <w:rsid w:val="003971CE"/>
    <w:rPr>
      <w:rFonts w:cs="Times New Roman"/>
      <w:b/>
      <w:bCs/>
      <w:sz w:val="20"/>
      <w:szCs w:val="20"/>
    </w:rPr>
  </w:style>
  <w:style w:type="paragraph" w:styleId="DocumentMap">
    <w:name w:val="Document Map"/>
    <w:basedOn w:val="Normal"/>
    <w:link w:val="DocumentMapChar"/>
    <w:uiPriority w:val="99"/>
    <w:semiHidden/>
    <w:rsid w:val="0071257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66F7F"/>
    <w:rPr>
      <w:rFonts w:ascii="Times New Roman" w:hAnsi="Times New Roman"/>
      <w:sz w:val="0"/>
      <w:szCs w:val="0"/>
    </w:rPr>
  </w:style>
  <w:style w:type="paragraph" w:styleId="Header">
    <w:name w:val="header"/>
    <w:basedOn w:val="Normal"/>
    <w:link w:val="HeaderChar"/>
    <w:uiPriority w:val="99"/>
    <w:unhideWhenUsed/>
    <w:rsid w:val="00543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C2"/>
  </w:style>
  <w:style w:type="paragraph" w:styleId="Footer">
    <w:name w:val="footer"/>
    <w:basedOn w:val="Normal"/>
    <w:link w:val="FooterChar"/>
    <w:uiPriority w:val="99"/>
    <w:unhideWhenUsed/>
    <w:rsid w:val="00543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2011-03-23T07:00:00+00:00</OpenedDate>
    <Date1 xmlns="dc463f71-b30c-4ab2-9473-d307f9d35888">2012-05-01T07:00:00+00:00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75A0E5804F54E8465AC0EE212CE33" ma:contentTypeVersion="143" ma:contentTypeDescription="" ma:contentTypeScope="" ma:versionID="0c42fd81cbd967a0a9d7db5d487fdd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FDF463E-4A42-47E8-A84E-AC03E22FE3C4}"/>
</file>

<file path=customXml/itemProps2.xml><?xml version="1.0" encoding="utf-8"?>
<ds:datastoreItem xmlns:ds="http://schemas.openxmlformats.org/officeDocument/2006/customXml" ds:itemID="{653F2138-85C9-4988-8270-DB44B75BC366}"/>
</file>

<file path=customXml/itemProps3.xml><?xml version="1.0" encoding="utf-8"?>
<ds:datastoreItem xmlns:ds="http://schemas.openxmlformats.org/officeDocument/2006/customXml" ds:itemID="{1AAE3D5B-7340-4C26-8781-D98015DD0FFB}"/>
</file>

<file path=customXml/itemProps4.xml><?xml version="1.0" encoding="utf-8"?>
<ds:datastoreItem xmlns:ds="http://schemas.openxmlformats.org/officeDocument/2006/customXml" ds:itemID="{88019027-66B5-4C80-B607-CECE2E2C5B7D}"/>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Docket UE-110523</vt:lpstr>
    </vt:vector>
  </TitlesOfParts>
  <Company>Washington Utilities and Transportation Commission</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UE-110523</dc:title>
  <dc:creator>Kalich, Clint</dc:creator>
  <cp:lastModifiedBy>Beaton, Rebecca (UTC)</cp:lastModifiedBy>
  <cp:revision>2</cp:revision>
  <cp:lastPrinted>2011-11-09T17:33:00Z</cp:lastPrinted>
  <dcterms:created xsi:type="dcterms:W3CDTF">2012-05-01T23:21:00Z</dcterms:created>
  <dcterms:modified xsi:type="dcterms:W3CDTF">2012-05-01T23:21:00Z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0x0101006E56B4D1795A2E4DB2F0B01679ED314A004F575A0E5804F54E8465AC0EE212CE33</vt:lpwstr>
  </property>
  <property fmtid="{D5CDD505-2E9C-101B-9397-08002B2CF9AE}" pid="3" name="_docset_NoMedatataSyncRequired">
    <vt:lpwstr>False</vt:lpwstr>
  </property>
</Properties>
</file>