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F4902F5F-F26C-45E6-A5B2-4774E1BA1E66}"/>
</file>

<file path=customXml/itemProps5.xml><?xml version="1.0" encoding="utf-8"?>
<ds:datastoreItem xmlns:ds="http://schemas.openxmlformats.org/officeDocument/2006/customXml" ds:itemID="{52A894AB-408F-42E6-8B24-4E5531FE5A7A}"/>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