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6F5B" w14:textId="77777777" w:rsidR="00D57785" w:rsidRDefault="00D57785">
      <w:pPr>
        <w:pStyle w:val="Title"/>
      </w:pPr>
    </w:p>
    <w:p w14:paraId="4279ED45" w14:textId="77777777" w:rsidR="00AF1736" w:rsidRDefault="00AF1736" w:rsidP="002F3E1D">
      <w:pPr>
        <w:jc w:val="center"/>
        <w:outlineLvl w:val="0"/>
        <w:rPr>
          <w:b/>
          <w:bCs/>
        </w:rPr>
      </w:pPr>
      <w:r>
        <w:rPr>
          <w:b/>
          <w:bCs/>
        </w:rPr>
        <w:t xml:space="preserve">BEFORE THE WASHINGTON </w:t>
      </w:r>
    </w:p>
    <w:p w14:paraId="4A5B06D8" w14:textId="77777777" w:rsidR="0096084F" w:rsidRDefault="0096084F">
      <w:pPr>
        <w:jc w:val="center"/>
        <w:rPr>
          <w:b/>
          <w:bCs/>
        </w:rPr>
      </w:pPr>
    </w:p>
    <w:p w14:paraId="5A90499B" w14:textId="77777777" w:rsidR="00B43A04" w:rsidRDefault="00AF1736" w:rsidP="002F3E1D">
      <w:pPr>
        <w:jc w:val="center"/>
        <w:outlineLvl w:val="0"/>
        <w:rPr>
          <w:b/>
          <w:bCs/>
        </w:rPr>
      </w:pPr>
      <w:r>
        <w:rPr>
          <w:b/>
          <w:bCs/>
        </w:rPr>
        <w:t xml:space="preserve">UTILITIES AND TRANSPORTATION COMMISSION </w:t>
      </w:r>
    </w:p>
    <w:p w14:paraId="6C649B78" w14:textId="77777777" w:rsidR="00B43A04" w:rsidRDefault="00B43A04">
      <w:pPr>
        <w:jc w:val="center"/>
      </w:pP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B43A04" w14:paraId="1E00A790" w14:textId="77777777" w:rsidTr="00714FC1">
        <w:trPr>
          <w:trHeight w:val="3015"/>
        </w:trPr>
        <w:tc>
          <w:tcPr>
            <w:tcW w:w="4508" w:type="dxa"/>
            <w:tcBorders>
              <w:bottom w:val="single" w:sz="4" w:space="0" w:color="auto"/>
            </w:tcBorders>
          </w:tcPr>
          <w:p w14:paraId="6AAD3477" w14:textId="77777777" w:rsidR="00AF1736" w:rsidRDefault="00AF1736" w:rsidP="00AF1736">
            <w:pPr>
              <w:tabs>
                <w:tab w:val="left" w:pos="2160"/>
              </w:tabs>
              <w:rPr>
                <w:bCs/>
              </w:rPr>
            </w:pPr>
            <w:r>
              <w:rPr>
                <w:bCs/>
              </w:rPr>
              <w:t>WASHINGTON UTILITIES AND TRANSPORTATION COMMISSION,</w:t>
            </w:r>
          </w:p>
          <w:p w14:paraId="11C2AC66" w14:textId="77777777" w:rsidR="00AF1736" w:rsidRDefault="00AF1736" w:rsidP="00AF1736">
            <w:pPr>
              <w:tabs>
                <w:tab w:val="left" w:pos="2160"/>
              </w:tabs>
              <w:rPr>
                <w:bCs/>
              </w:rPr>
            </w:pPr>
          </w:p>
          <w:p w14:paraId="745C7F7F" w14:textId="77777777" w:rsidR="00AF1736" w:rsidRDefault="00AF1736" w:rsidP="00525E22">
            <w:pPr>
              <w:tabs>
                <w:tab w:val="left" w:pos="1440"/>
              </w:tabs>
              <w:rPr>
                <w:bCs/>
              </w:rPr>
            </w:pPr>
            <w:r>
              <w:rPr>
                <w:bCs/>
              </w:rPr>
              <w:tab/>
              <w:t>Complainant,</w:t>
            </w:r>
          </w:p>
          <w:p w14:paraId="1B941F0E" w14:textId="77777777" w:rsidR="00AF1736" w:rsidRDefault="00AF1736" w:rsidP="00AF1736">
            <w:pPr>
              <w:tabs>
                <w:tab w:val="left" w:pos="2160"/>
              </w:tabs>
              <w:rPr>
                <w:bCs/>
              </w:rPr>
            </w:pPr>
          </w:p>
          <w:p w14:paraId="1C780F90" w14:textId="77777777" w:rsidR="00AF1736" w:rsidRDefault="00AF1736" w:rsidP="00AF1736">
            <w:pPr>
              <w:rPr>
                <w:bCs/>
              </w:rPr>
            </w:pPr>
            <w:r>
              <w:rPr>
                <w:bCs/>
              </w:rPr>
              <w:t>v.</w:t>
            </w:r>
          </w:p>
          <w:p w14:paraId="44F9D8FC" w14:textId="77777777" w:rsidR="00AF1736" w:rsidRDefault="00AF1736" w:rsidP="00AF1736">
            <w:pPr>
              <w:tabs>
                <w:tab w:val="left" w:pos="2160"/>
              </w:tabs>
              <w:rPr>
                <w:bCs/>
              </w:rPr>
            </w:pPr>
          </w:p>
          <w:p w14:paraId="400614F0" w14:textId="54E431E6" w:rsidR="00AF1736" w:rsidRDefault="0046324C" w:rsidP="00AF1736">
            <w:pPr>
              <w:tabs>
                <w:tab w:val="left" w:pos="2160"/>
              </w:tabs>
              <w:rPr>
                <w:bCs/>
              </w:rPr>
            </w:pPr>
            <w:r>
              <w:rPr>
                <w:bCs/>
              </w:rPr>
              <w:t>PUGET SOUND ENERGY</w:t>
            </w:r>
            <w:r w:rsidR="00AF1736" w:rsidRPr="001A5EFC">
              <w:rPr>
                <w:bCs/>
              </w:rPr>
              <w:t xml:space="preserve">, </w:t>
            </w:r>
          </w:p>
          <w:p w14:paraId="445E096A" w14:textId="77777777" w:rsidR="00AF1736" w:rsidRDefault="00AF1736" w:rsidP="00AF1736">
            <w:pPr>
              <w:tabs>
                <w:tab w:val="left" w:pos="2160"/>
              </w:tabs>
              <w:rPr>
                <w:bCs/>
              </w:rPr>
            </w:pPr>
          </w:p>
          <w:p w14:paraId="669BF342" w14:textId="77777777" w:rsidR="00454391" w:rsidRPr="00625777" w:rsidRDefault="00AF1736" w:rsidP="00AF1736">
            <w:pPr>
              <w:tabs>
                <w:tab w:val="left" w:pos="1456"/>
              </w:tabs>
              <w:autoSpaceDE w:val="0"/>
              <w:autoSpaceDN w:val="0"/>
              <w:adjustRightInd w:val="0"/>
              <w:rPr>
                <w:color w:val="000000"/>
              </w:rPr>
            </w:pPr>
            <w:r>
              <w:rPr>
                <w:bCs/>
              </w:rPr>
              <w:tab/>
              <w:t>Respondent.</w:t>
            </w:r>
          </w:p>
        </w:tc>
        <w:tc>
          <w:tcPr>
            <w:tcW w:w="310" w:type="dxa"/>
          </w:tcPr>
          <w:p w14:paraId="07D01D52" w14:textId="77777777" w:rsidR="00B43A04" w:rsidRDefault="00B43A04">
            <w:pPr>
              <w:pStyle w:val="SingleSpacing"/>
              <w:spacing w:line="240" w:lineRule="auto"/>
            </w:pPr>
            <w:r>
              <w:t>)</w:t>
            </w:r>
          </w:p>
          <w:p w14:paraId="56018D4F" w14:textId="77777777" w:rsidR="00B43A04" w:rsidRDefault="00B43A04">
            <w:pPr>
              <w:pStyle w:val="SingleSpacing"/>
              <w:spacing w:line="240" w:lineRule="auto"/>
            </w:pPr>
            <w:r>
              <w:t>)</w:t>
            </w:r>
          </w:p>
          <w:p w14:paraId="1496E439" w14:textId="77777777" w:rsidR="00B43A04" w:rsidRDefault="00B43A04">
            <w:pPr>
              <w:pStyle w:val="SingleSpacing"/>
              <w:spacing w:line="240" w:lineRule="auto"/>
            </w:pPr>
            <w:r>
              <w:t>)</w:t>
            </w:r>
          </w:p>
          <w:p w14:paraId="7BBE0DFC" w14:textId="77777777" w:rsidR="00B43A04" w:rsidRDefault="00B43A04">
            <w:pPr>
              <w:pStyle w:val="SingleSpacing"/>
              <w:spacing w:line="240" w:lineRule="auto"/>
            </w:pPr>
            <w:r>
              <w:t>)</w:t>
            </w:r>
          </w:p>
          <w:p w14:paraId="452B6DFD" w14:textId="77777777" w:rsidR="00625777" w:rsidRDefault="00B43A04">
            <w:pPr>
              <w:pStyle w:val="SingleSpacing"/>
              <w:spacing w:line="240" w:lineRule="auto"/>
            </w:pPr>
            <w:r>
              <w:t>)</w:t>
            </w:r>
          </w:p>
          <w:p w14:paraId="2E275D0D" w14:textId="77777777" w:rsidR="00E34B0B" w:rsidRDefault="00E34B0B">
            <w:pPr>
              <w:pStyle w:val="SingleSpacing"/>
              <w:spacing w:line="240" w:lineRule="auto"/>
            </w:pPr>
            <w:r>
              <w:t>)</w:t>
            </w:r>
          </w:p>
          <w:p w14:paraId="372982E8" w14:textId="77777777" w:rsidR="00AF1736" w:rsidRDefault="00AF1736">
            <w:pPr>
              <w:pStyle w:val="SingleSpacing"/>
              <w:spacing w:line="240" w:lineRule="auto"/>
            </w:pPr>
            <w:r>
              <w:t>)</w:t>
            </w:r>
          </w:p>
          <w:p w14:paraId="4E8FC730" w14:textId="77777777" w:rsidR="00AF1736" w:rsidRDefault="00AF1736">
            <w:pPr>
              <w:pStyle w:val="SingleSpacing"/>
              <w:spacing w:line="240" w:lineRule="auto"/>
            </w:pPr>
            <w:r>
              <w:t>)</w:t>
            </w:r>
          </w:p>
          <w:p w14:paraId="7CD94C28" w14:textId="77777777" w:rsidR="00AF1736" w:rsidRDefault="00AF1736">
            <w:pPr>
              <w:pStyle w:val="SingleSpacing"/>
              <w:spacing w:line="240" w:lineRule="auto"/>
            </w:pPr>
            <w:r>
              <w:t>)</w:t>
            </w:r>
          </w:p>
          <w:p w14:paraId="374BA4ED" w14:textId="77777777" w:rsidR="00AF1736" w:rsidRDefault="00AF1736">
            <w:pPr>
              <w:pStyle w:val="SingleSpacing"/>
              <w:spacing w:line="240" w:lineRule="auto"/>
            </w:pPr>
            <w:r>
              <w:t>)</w:t>
            </w:r>
          </w:p>
          <w:p w14:paraId="6C02DE74" w14:textId="77777777" w:rsidR="00AF1736" w:rsidRDefault="00AF1736">
            <w:pPr>
              <w:pStyle w:val="SingleSpacing"/>
              <w:spacing w:line="240" w:lineRule="auto"/>
            </w:pPr>
            <w:r>
              <w:t>)</w:t>
            </w:r>
          </w:p>
        </w:tc>
        <w:tc>
          <w:tcPr>
            <w:tcW w:w="4542" w:type="dxa"/>
          </w:tcPr>
          <w:p w14:paraId="451CF77C" w14:textId="6A0A2BE3" w:rsidR="00B43A04" w:rsidRPr="0096084F" w:rsidRDefault="00AF1736" w:rsidP="00EA17EA">
            <w:pPr>
              <w:pStyle w:val="SingleSpacing"/>
              <w:spacing w:line="240" w:lineRule="auto"/>
              <w:ind w:left="492" w:hanging="90"/>
            </w:pPr>
            <w:bookmarkStart w:id="0" w:name="CaseNumber"/>
            <w:bookmarkEnd w:id="0"/>
            <w:r w:rsidRPr="0096084F">
              <w:t>DOCKET NO. UE-</w:t>
            </w:r>
            <w:r w:rsidR="00F865D1" w:rsidRPr="0096084F">
              <w:t>161123</w:t>
            </w:r>
          </w:p>
          <w:p w14:paraId="034F26E5" w14:textId="77777777" w:rsidR="00B43A04" w:rsidRPr="0096084F" w:rsidRDefault="00B43A04">
            <w:pPr>
              <w:pStyle w:val="SingleSpacing"/>
              <w:spacing w:line="240" w:lineRule="auto"/>
            </w:pPr>
          </w:p>
          <w:p w14:paraId="0E93C050" w14:textId="77777777" w:rsidR="00AF1736" w:rsidRPr="0096084F" w:rsidRDefault="00AF1736" w:rsidP="00AF1736">
            <w:pPr>
              <w:pStyle w:val="BodyText2"/>
              <w:ind w:left="410"/>
              <w:rPr>
                <w:b w:val="0"/>
                <w:bCs w:val="0"/>
              </w:rPr>
            </w:pPr>
          </w:p>
          <w:p w14:paraId="55457B7B" w14:textId="77777777" w:rsidR="00AF1736" w:rsidRPr="0096084F" w:rsidRDefault="00AF1736" w:rsidP="00AF1736">
            <w:pPr>
              <w:pStyle w:val="BodyText2"/>
              <w:ind w:left="410"/>
              <w:rPr>
                <w:b w:val="0"/>
                <w:bCs w:val="0"/>
              </w:rPr>
            </w:pPr>
          </w:p>
          <w:p w14:paraId="659EF3ED" w14:textId="70098B35" w:rsidR="00B43A04" w:rsidRPr="008249F9" w:rsidRDefault="00B43A04" w:rsidP="0091706D">
            <w:pPr>
              <w:pStyle w:val="BodyText2"/>
              <w:ind w:left="410"/>
              <w:rPr>
                <w:bCs w:val="0"/>
              </w:rPr>
            </w:pPr>
            <w:r w:rsidRPr="0096084F">
              <w:rPr>
                <w:b w:val="0"/>
                <w:bCs w:val="0"/>
              </w:rPr>
              <w:t>PETITION</w:t>
            </w:r>
            <w:r w:rsidR="000A4BD2" w:rsidRPr="0096084F">
              <w:rPr>
                <w:b w:val="0"/>
                <w:bCs w:val="0"/>
              </w:rPr>
              <w:t xml:space="preserve"> </w:t>
            </w:r>
            <w:r w:rsidR="00714FC1">
              <w:rPr>
                <w:b w:val="0"/>
                <w:bCs w:val="0"/>
              </w:rPr>
              <w:t xml:space="preserve">FOR </w:t>
            </w:r>
            <w:r w:rsidR="0091706D">
              <w:rPr>
                <w:b w:val="0"/>
                <w:bCs w:val="0"/>
              </w:rPr>
              <w:t>ADMINISTR</w:t>
            </w:r>
            <w:r w:rsidR="0068045A">
              <w:rPr>
                <w:b w:val="0"/>
                <w:bCs w:val="0"/>
              </w:rPr>
              <w:t>A</w:t>
            </w:r>
            <w:r w:rsidR="0091706D">
              <w:rPr>
                <w:b w:val="0"/>
                <w:bCs w:val="0"/>
              </w:rPr>
              <w:t>TIVE</w:t>
            </w:r>
            <w:r w:rsidR="00714FC1">
              <w:rPr>
                <w:b w:val="0"/>
                <w:bCs w:val="0"/>
              </w:rPr>
              <w:t xml:space="preserve"> REVIEW </w:t>
            </w:r>
            <w:r w:rsidR="00443EC1" w:rsidRPr="0096084F">
              <w:rPr>
                <w:b w:val="0"/>
                <w:bCs w:val="0"/>
              </w:rPr>
              <w:t>OF</w:t>
            </w:r>
            <w:r w:rsidR="00B11CD9" w:rsidRPr="0096084F">
              <w:rPr>
                <w:b w:val="0"/>
                <w:bCs w:val="0"/>
              </w:rPr>
              <w:t xml:space="preserve"> </w:t>
            </w:r>
            <w:r w:rsidR="0091706D">
              <w:rPr>
                <w:b w:val="0"/>
                <w:bCs w:val="0"/>
              </w:rPr>
              <w:t xml:space="preserve">AN INTERLOCUTORY ORDER DENYING INTERVENTION OF </w:t>
            </w:r>
            <w:r w:rsidR="00AF1736" w:rsidRPr="0096084F">
              <w:rPr>
                <w:b w:val="0"/>
                <w:bCs w:val="0"/>
              </w:rPr>
              <w:t xml:space="preserve">THE </w:t>
            </w:r>
            <w:r w:rsidR="00A50BD4" w:rsidRPr="0096084F">
              <w:rPr>
                <w:b w:val="0"/>
                <w:bCs w:val="0"/>
              </w:rPr>
              <w:t xml:space="preserve">NORTHWEST AND INTERMOUNTAIN POWER PRODUCERS </w:t>
            </w:r>
            <w:r w:rsidR="00E34C41" w:rsidRPr="0096084F">
              <w:rPr>
                <w:b w:val="0"/>
                <w:bCs w:val="0"/>
              </w:rPr>
              <w:t>COALITION</w:t>
            </w:r>
            <w:r w:rsidR="00E34C41" w:rsidRPr="008249F9">
              <w:rPr>
                <w:bCs w:val="0"/>
              </w:rPr>
              <w:t xml:space="preserve"> </w:t>
            </w:r>
          </w:p>
        </w:tc>
      </w:tr>
    </w:tbl>
    <w:p w14:paraId="1A28F856" w14:textId="77777777" w:rsidR="00B43A04" w:rsidRPr="006A3AAB" w:rsidRDefault="00B43A04" w:rsidP="00656B7E">
      <w:pPr>
        <w:ind w:hanging="540"/>
      </w:pPr>
    </w:p>
    <w:p w14:paraId="368CDD97" w14:textId="7031891F" w:rsidR="0091706D" w:rsidRPr="0091706D" w:rsidRDefault="0091706D" w:rsidP="0091706D">
      <w:pPr>
        <w:spacing w:line="480" w:lineRule="auto"/>
      </w:pPr>
      <w:r w:rsidRPr="0091706D">
        <w:t>To The Commission:</w:t>
      </w:r>
    </w:p>
    <w:p w14:paraId="0DF8226A" w14:textId="472D9D04" w:rsidR="00714FC1" w:rsidRPr="00714FC1" w:rsidRDefault="00714FC1" w:rsidP="00714FC1">
      <w:pPr>
        <w:spacing w:line="480" w:lineRule="auto"/>
        <w:jc w:val="center"/>
        <w:rPr>
          <w:b/>
        </w:rPr>
      </w:pPr>
      <w:r>
        <w:rPr>
          <w:b/>
        </w:rPr>
        <w:t>I.</w:t>
      </w:r>
      <w:r>
        <w:rPr>
          <w:b/>
        </w:rPr>
        <w:tab/>
        <w:t>INTRODUCTION</w:t>
      </w:r>
      <w:r w:rsidR="00C30E31">
        <w:tab/>
      </w:r>
    </w:p>
    <w:p w14:paraId="32E95287" w14:textId="77777777" w:rsidR="00857CE2" w:rsidRDefault="0091706D" w:rsidP="00D1166C">
      <w:pPr>
        <w:pStyle w:val="ListParagraph"/>
        <w:numPr>
          <w:ilvl w:val="0"/>
          <w:numId w:val="27"/>
        </w:numPr>
        <w:spacing w:line="480" w:lineRule="auto"/>
        <w:ind w:hanging="540"/>
      </w:pPr>
      <w:r>
        <w:tab/>
      </w:r>
      <w:r w:rsidR="00AF1736">
        <w:t>Pursuant to Washington Admi</w:t>
      </w:r>
      <w:r>
        <w:t xml:space="preserve">nistrative Code (“WAC”) </w:t>
      </w:r>
      <w:r w:rsidR="00AF1736">
        <w:t>480-07-</w:t>
      </w:r>
      <w:r>
        <w:t>810</w:t>
      </w:r>
      <w:r w:rsidR="00AF1736">
        <w:t>, the</w:t>
      </w:r>
      <w:r w:rsidR="007932B6">
        <w:t xml:space="preserve"> </w:t>
      </w:r>
      <w:r w:rsidR="00A22901" w:rsidRPr="00501FAA">
        <w:rPr>
          <w:rFonts w:eastAsia="ＭＳ 明朝"/>
          <w:szCs w:val="24"/>
          <w:lang w:eastAsia="ja-JP"/>
        </w:rPr>
        <w:t>Northwest and Intermountain Power Producers Coalition</w:t>
      </w:r>
      <w:r w:rsidR="00B11CD9">
        <w:t xml:space="preserve"> </w:t>
      </w:r>
      <w:r w:rsidR="008732C9">
        <w:t>(</w:t>
      </w:r>
      <w:r w:rsidR="00AF1736">
        <w:t>“</w:t>
      </w:r>
      <w:r w:rsidR="00A22901">
        <w:t>NIPPC</w:t>
      </w:r>
      <w:r w:rsidR="008732C9">
        <w:t>”)</w:t>
      </w:r>
      <w:r w:rsidR="00A15373">
        <w:t xml:space="preserve"> </w:t>
      </w:r>
      <w:r w:rsidR="00EA17EA">
        <w:t>pe</w:t>
      </w:r>
      <w:r w:rsidR="00AF1736">
        <w:t>titions the Washington Utilities and Transportation</w:t>
      </w:r>
      <w:r w:rsidR="00EA17EA">
        <w:t xml:space="preserve"> Commission (the “Commission”)</w:t>
      </w:r>
      <w:r w:rsidR="006866C4">
        <w:t xml:space="preserve"> to </w:t>
      </w:r>
      <w:r>
        <w:t>review</w:t>
      </w:r>
      <w:r w:rsidR="00AF1736">
        <w:t xml:space="preserve"> </w:t>
      </w:r>
      <w:r>
        <w:t xml:space="preserve">the </w:t>
      </w:r>
      <w:r w:rsidR="007C08DB">
        <w:t>presiding officer’s</w:t>
      </w:r>
      <w:r>
        <w:t xml:space="preserve"> initial order</w:t>
      </w:r>
      <w:r w:rsidR="008161C6">
        <w:rPr>
          <w:rStyle w:val="FootnoteReference"/>
        </w:rPr>
        <w:footnoteReference w:id="1"/>
      </w:r>
      <w:r>
        <w:t xml:space="preserve"> (“Order 04”) denying NIPPC’s petition </w:t>
      </w:r>
      <w:r w:rsidR="00C55E8B">
        <w:t>to intervene.</w:t>
      </w:r>
      <w:r w:rsidR="00D66701">
        <w:t xml:space="preserve"> </w:t>
      </w:r>
      <w:r w:rsidR="00857CE2">
        <w:t xml:space="preserve"> </w:t>
      </w:r>
      <w:r w:rsidR="00857CE2" w:rsidRPr="00857CE2">
        <w:t xml:space="preserve">Because NIPPC’s participation in this proceeding has been terminated by Order 04, interlocutory review is warranted. </w:t>
      </w:r>
    </w:p>
    <w:p w14:paraId="0F632F30" w14:textId="1AAA3FB2" w:rsidR="00304BFE" w:rsidRDefault="00857CE2" w:rsidP="00D1166C">
      <w:pPr>
        <w:pStyle w:val="ListParagraph"/>
        <w:numPr>
          <w:ilvl w:val="0"/>
          <w:numId w:val="27"/>
        </w:numPr>
        <w:spacing w:line="480" w:lineRule="auto"/>
        <w:ind w:hanging="540"/>
      </w:pPr>
      <w:r>
        <w:tab/>
      </w:r>
      <w:r w:rsidR="00627024">
        <w:t>U</w:t>
      </w:r>
      <w:r w:rsidR="006A5BDA" w:rsidRPr="006A5BDA">
        <w:t xml:space="preserve">nder WAC 480-07-355, </w:t>
      </w:r>
      <w:r w:rsidR="00627024">
        <w:t xml:space="preserve">the Commission </w:t>
      </w:r>
      <w:r w:rsidR="006A5BDA" w:rsidRPr="006A5BDA">
        <w:t>grant</w:t>
      </w:r>
      <w:r w:rsidR="00172519">
        <w:t>s</w:t>
      </w:r>
      <w:r w:rsidR="006A5BDA" w:rsidRPr="006A5BDA">
        <w:t xml:space="preserve"> petitions to intervene</w:t>
      </w:r>
      <w:r w:rsidR="00627024">
        <w:t>,</w:t>
      </w:r>
      <w:r w:rsidR="006A5BDA" w:rsidRPr="006A5BDA">
        <w:t xml:space="preserve"> if the intervenor has a substantial interest in the proceeding or if its participation is within the public interest. </w:t>
      </w:r>
      <w:r w:rsidR="00D66701">
        <w:t xml:space="preserve"> NIPPC</w:t>
      </w:r>
      <w:r w:rsidR="00A967A6">
        <w:t>’s intervention should be granted because it</w:t>
      </w:r>
      <w:r w:rsidR="00D66701">
        <w:t xml:space="preserve"> has a unique</w:t>
      </w:r>
      <w:r w:rsidR="007076BA">
        <w:t xml:space="preserve"> and</w:t>
      </w:r>
      <w:r w:rsidR="00D66701">
        <w:t xml:space="preserve"> substantial interest in the proceeding</w:t>
      </w:r>
      <w:r w:rsidR="002F1A26">
        <w:t>,</w:t>
      </w:r>
      <w:r w:rsidR="00C55E8B">
        <w:t xml:space="preserve"> </w:t>
      </w:r>
      <w:r w:rsidR="00D66701">
        <w:t>and its expertise in competitive electricity markets</w:t>
      </w:r>
      <w:r w:rsidR="00627024">
        <w:t xml:space="preserve"> and retail wheeling</w:t>
      </w:r>
      <w:r w:rsidR="00D66701">
        <w:t xml:space="preserve"> will </w:t>
      </w:r>
      <w:r w:rsidR="007076BA">
        <w:t xml:space="preserve">benefit the public interest and </w:t>
      </w:r>
      <w:r w:rsidR="00941C10">
        <w:t>help develop</w:t>
      </w:r>
      <w:r w:rsidR="00D66701">
        <w:t xml:space="preserve"> a</w:t>
      </w:r>
      <w:r w:rsidR="002F1A26" w:rsidRPr="002F1A26">
        <w:t xml:space="preserve"> record that more </w:t>
      </w:r>
      <w:r w:rsidR="002F1A26" w:rsidRPr="002F1A26">
        <w:lastRenderedPageBreak/>
        <w:t>fully informs the Commission on key issues than would be the case without NIPPC’s participation</w:t>
      </w:r>
      <w:r w:rsidR="00D66701">
        <w:t>.</w:t>
      </w:r>
      <w:r w:rsidR="00C55E8B">
        <w:t xml:space="preserve"> </w:t>
      </w:r>
      <w:r w:rsidR="00365B22">
        <w:t xml:space="preserve"> </w:t>
      </w:r>
      <w:r w:rsidR="00365B22" w:rsidRPr="00365B22">
        <w:t>The Commission, PSE</w:t>
      </w:r>
      <w:r w:rsidR="00227C69">
        <w:t>,</w:t>
      </w:r>
      <w:r w:rsidR="00365B22" w:rsidRPr="00365B22">
        <w:t xml:space="preserve"> </w:t>
      </w:r>
      <w:r w:rsidR="00972FB8">
        <w:t xml:space="preserve">Staff, Public Counsel, other intervenors, </w:t>
      </w:r>
      <w:r w:rsidR="00365B22" w:rsidRPr="00365B22">
        <w:t xml:space="preserve">and eligible customers will all benefit from NIPPC’s expertise, which may be invaluable in creating a successful program. </w:t>
      </w:r>
      <w:r w:rsidR="00C015A8">
        <w:t xml:space="preserve"> </w:t>
      </w:r>
      <w:r w:rsidR="00365B22" w:rsidRPr="00365B22">
        <w:t xml:space="preserve">Schedule 451 </w:t>
      </w:r>
      <w:r w:rsidR="00A412C9" w:rsidRPr="00A412C9">
        <w:t xml:space="preserve">(Large Customer Retail Wheeling) </w:t>
      </w:r>
      <w:r w:rsidR="00365B22" w:rsidRPr="00365B22">
        <w:t>cannot be successful without entities willing and able to sell power to eligible customers, and it would behoove the Commissio</w:t>
      </w:r>
      <w:r w:rsidR="00C015A8">
        <w:t xml:space="preserve">n to take advantage of the </w:t>
      </w:r>
      <w:r w:rsidR="009E0252">
        <w:t xml:space="preserve">knowledge and experience of the </w:t>
      </w:r>
      <w:r w:rsidR="00C015A8">
        <w:t xml:space="preserve">organization that represents </w:t>
      </w:r>
      <w:r w:rsidR="0071753E">
        <w:t xml:space="preserve">many of </w:t>
      </w:r>
      <w:r w:rsidR="00C015A8">
        <w:t>these potential power suppliers</w:t>
      </w:r>
      <w:r w:rsidR="00365B22" w:rsidRPr="00365B22">
        <w:t xml:space="preserve">. </w:t>
      </w:r>
    </w:p>
    <w:p w14:paraId="0A4806C3" w14:textId="3A186962" w:rsidR="00BC1E34" w:rsidRDefault="00BC1E34" w:rsidP="00D1166C">
      <w:pPr>
        <w:pStyle w:val="ListParagraph"/>
        <w:numPr>
          <w:ilvl w:val="0"/>
          <w:numId w:val="27"/>
        </w:numPr>
        <w:spacing w:line="480" w:lineRule="auto"/>
        <w:ind w:hanging="540"/>
      </w:pPr>
      <w:r>
        <w:t xml:space="preserve"> </w:t>
      </w:r>
      <w:r>
        <w:tab/>
      </w:r>
      <w:r w:rsidR="00F87DF4" w:rsidRPr="00F87DF4">
        <w:t xml:space="preserve">NIPPC’s expertise dovetails perfectly </w:t>
      </w:r>
      <w:r w:rsidR="0071753E">
        <w:t>with</w:t>
      </w:r>
      <w:r w:rsidR="00F87DF4" w:rsidRPr="00F87DF4">
        <w:t xml:space="preserve"> the issues raised by PSE’s filing</w:t>
      </w:r>
      <w:r w:rsidR="00C11FC2">
        <w:t xml:space="preserve">, which means that NIPPC’s </w:t>
      </w:r>
      <w:r w:rsidR="002009D6">
        <w:t xml:space="preserve">participation </w:t>
      </w:r>
      <w:r w:rsidR="002009D6" w:rsidRPr="00BC1E34">
        <w:t>will</w:t>
      </w:r>
      <w:r w:rsidRPr="00BC1E34">
        <w:t xml:space="preserve"> benefit the public interest and assist the Commission </w:t>
      </w:r>
      <w:r w:rsidR="00D129B5">
        <w:t xml:space="preserve">to </w:t>
      </w:r>
      <w:r w:rsidRPr="00BC1E34">
        <w:t>ultimately approve tariffs that are f</w:t>
      </w:r>
      <w:r w:rsidR="00C11FC2">
        <w:t>air, just and reasonable</w:t>
      </w:r>
      <w:r w:rsidR="0039344D">
        <w:t>.  NIPPC identifies the</w:t>
      </w:r>
      <w:r w:rsidRPr="00BC1E34">
        <w:t xml:space="preserve"> key issues in this proceeding </w:t>
      </w:r>
      <w:r w:rsidR="0039344D">
        <w:t>as</w:t>
      </w:r>
      <w:r w:rsidRPr="00BC1E34">
        <w:t>: 1) determining the eligibilit</w:t>
      </w:r>
      <w:r w:rsidR="00C11FC2">
        <w:t xml:space="preserve">y criteria under which </w:t>
      </w:r>
      <w:r w:rsidRPr="00BC1E34">
        <w:t>customers shall arrange to</w:t>
      </w:r>
      <w:r w:rsidRPr="00BC1E34">
        <w:rPr>
          <w:b/>
        </w:rPr>
        <w:t xml:space="preserve"> </w:t>
      </w:r>
      <w:r w:rsidRPr="00BC1E34">
        <w:t xml:space="preserve">purchase supplied power from one or more third party power suppliers; 2) the jurisdictional and regulatory consequences of approval; </w:t>
      </w:r>
      <w:r w:rsidR="0039344D">
        <w:t>and 3</w:t>
      </w:r>
      <w:r w:rsidRPr="00BC1E34">
        <w:t xml:space="preserve">) calculating the appropriate stranded costs.  </w:t>
      </w:r>
      <w:r w:rsidR="009611CD">
        <w:t>These are within the issues already identified by</w:t>
      </w:r>
      <w:r w:rsidR="00D129B5">
        <w:t xml:space="preserve"> Commission staff</w:t>
      </w:r>
      <w:r w:rsidR="009611CD">
        <w:t xml:space="preserve"> </w:t>
      </w:r>
      <w:r w:rsidR="00D129B5">
        <w:t>(“</w:t>
      </w:r>
      <w:r w:rsidR="009611CD">
        <w:t>Staff</w:t>
      </w:r>
      <w:r w:rsidR="00D129B5">
        <w:t>”)</w:t>
      </w:r>
      <w:r w:rsidR="009611CD">
        <w:t xml:space="preserve"> as </w:t>
      </w:r>
      <w:r w:rsidR="00A75025">
        <w:t>what should be addressed in this proceeding, and NIPPC commits not</w:t>
      </w:r>
      <w:r w:rsidR="00BB2D1A">
        <w:t xml:space="preserve"> to</w:t>
      </w:r>
      <w:r w:rsidR="005A7A2A">
        <w:t xml:space="preserve"> unduly broaden</w:t>
      </w:r>
      <w:r w:rsidR="00A75025">
        <w:t xml:space="preserve"> Staff’s proposed scope of issues. </w:t>
      </w:r>
    </w:p>
    <w:p w14:paraId="380E672B" w14:textId="1890A92B" w:rsidR="00304BFE" w:rsidRPr="00304BFE" w:rsidRDefault="00304BFE" w:rsidP="00D1166C">
      <w:pPr>
        <w:pStyle w:val="ListParagraph"/>
        <w:numPr>
          <w:ilvl w:val="0"/>
          <w:numId w:val="27"/>
        </w:numPr>
        <w:spacing w:line="480" w:lineRule="auto"/>
        <w:ind w:hanging="540"/>
      </w:pPr>
      <w:r>
        <w:tab/>
      </w:r>
      <w:r w:rsidRPr="00304BFE">
        <w:t>NIPPC is a non-profit trade association wh</w:t>
      </w:r>
      <w:r w:rsidR="0071753E">
        <w:t>ich</w:t>
      </w:r>
      <w:r w:rsidRPr="00304BFE">
        <w:t xml:space="preserve"> is</w:t>
      </w:r>
      <w:r w:rsidR="0071753E">
        <w:t xml:space="preserve"> committed</w:t>
      </w:r>
      <w:r w:rsidRPr="00304BFE">
        <w:t xml:space="preserve"> to develop</w:t>
      </w:r>
      <w:r w:rsidR="0071753E">
        <w:t>ing</w:t>
      </w:r>
      <w:r w:rsidRPr="00304BFE">
        <w:t xml:space="preserve"> rules and policies that help achieve a competitive electric power supply market in the Pacific Northwest, including retail wheeling programs.  </w:t>
      </w:r>
      <w:r w:rsidR="00422DB4">
        <w:t>NIPPC and its members are</w:t>
      </w:r>
      <w:r w:rsidR="004B06A9">
        <w:t xml:space="preserve"> active in </w:t>
      </w:r>
      <w:r w:rsidR="00422DB4">
        <w:t xml:space="preserve">regulatory proceedings regarding competitive markets </w:t>
      </w:r>
      <w:r w:rsidR="0063490F">
        <w:t>in numerous states</w:t>
      </w:r>
      <w:r w:rsidR="00B15BD6">
        <w:t xml:space="preserve">, which provides NIPPC with extensive knowledge and familiarity in developing well functioning retail wheeling programs.  In addition, </w:t>
      </w:r>
      <w:r w:rsidR="00AD5D59" w:rsidRPr="00AD5D59">
        <w:t xml:space="preserve">NIPPC’s members could be “power suppliers” under Schedule 451 because some of them already are third party power suppliers that directly </w:t>
      </w:r>
      <w:r w:rsidR="00AD5D59">
        <w:lastRenderedPageBreak/>
        <w:t>sell power to end use consumers</w:t>
      </w:r>
      <w:r w:rsidR="00F616ED">
        <w:t xml:space="preserve">.  No other party has this familiarity and knowledge regarding competitive markets and retail wheeling.  </w:t>
      </w:r>
      <w:r w:rsidR="00626862" w:rsidRPr="00626862">
        <w:t xml:space="preserve">As NIPPC and its </w:t>
      </w:r>
      <w:r w:rsidR="00A412C9">
        <w:t>members have extensive experience</w:t>
      </w:r>
      <w:r w:rsidR="00626862" w:rsidRPr="00626862">
        <w:t xml:space="preserve"> and will provide a unique perspective on these issues, the Commission has a strong interest in seeing that the record is fully developed rel</w:t>
      </w:r>
      <w:r w:rsidR="00626862">
        <w:t>ative to</w:t>
      </w:r>
      <w:r w:rsidR="005A7A2A">
        <w:t xml:space="preserve"> the</w:t>
      </w:r>
      <w:r w:rsidR="00626862">
        <w:t xml:space="preserve"> changes PSE proposes. </w:t>
      </w:r>
      <w:r w:rsidRPr="00304BFE">
        <w:t xml:space="preserve"> </w:t>
      </w:r>
    </w:p>
    <w:p w14:paraId="29C600FB" w14:textId="71DAC870" w:rsidR="00451AC7" w:rsidRDefault="00304BFE">
      <w:pPr>
        <w:pStyle w:val="ListParagraph"/>
        <w:numPr>
          <w:ilvl w:val="0"/>
          <w:numId w:val="27"/>
        </w:numPr>
        <w:spacing w:line="480" w:lineRule="auto"/>
        <w:ind w:hanging="540"/>
      </w:pPr>
      <w:r w:rsidRPr="00304BFE">
        <w:tab/>
        <w:t xml:space="preserve">While NIPPC does not advocate </w:t>
      </w:r>
      <w:r w:rsidR="005A7A2A">
        <w:t xml:space="preserve">on behalf of any specific </w:t>
      </w:r>
      <w:r w:rsidR="00FB6597">
        <w:t xml:space="preserve">company, its </w:t>
      </w:r>
      <w:r w:rsidR="002009D6">
        <w:t>members’</w:t>
      </w:r>
      <w:r w:rsidRPr="00304BFE">
        <w:t xml:space="preserve"> ability to participate in </w:t>
      </w:r>
      <w:r w:rsidR="00905215">
        <w:t xml:space="preserve">any </w:t>
      </w:r>
      <w:r w:rsidRPr="00304BFE">
        <w:t>Commission approved Schedule 451 and sell power to eligible customers may be directly impacted by this proceeding.  This provides NIPPC a substantial interest in the outcome of this proceeding</w:t>
      </w:r>
      <w:r w:rsidR="007D252B">
        <w:t xml:space="preserve"> that warrants granting NIPPC’s petition to intervene</w:t>
      </w:r>
      <w:r w:rsidRPr="00304BFE">
        <w:t xml:space="preserve">. </w:t>
      </w:r>
      <w:r w:rsidR="00AD5D59">
        <w:t xml:space="preserve"> </w:t>
      </w:r>
      <w:r w:rsidRPr="00304BFE">
        <w:t>NIPPC’s member</w:t>
      </w:r>
      <w:r w:rsidR="006F12A7">
        <w:t>s</w:t>
      </w:r>
      <w:r w:rsidRPr="00304BFE">
        <w:t xml:space="preserve"> are generally competitors of PSE in wholesale and retail</w:t>
      </w:r>
      <w:r w:rsidR="006F12A7">
        <w:t xml:space="preserve"> markets,</w:t>
      </w:r>
      <w:r w:rsidR="007B480F">
        <w:t xml:space="preserve"> but</w:t>
      </w:r>
      <w:r w:rsidR="006F12A7">
        <w:t xml:space="preserve"> they will not be</w:t>
      </w:r>
      <w:r w:rsidRPr="00304BFE">
        <w:t xml:space="preserve"> direct</w:t>
      </w:r>
      <w:r w:rsidR="006F12A7">
        <w:t>ly</w:t>
      </w:r>
      <w:r w:rsidRPr="00304BFE">
        <w:t xml:space="preserve"> </w:t>
      </w:r>
      <w:r w:rsidR="006F12A7">
        <w:t>competing with PSE</w:t>
      </w:r>
      <w:r w:rsidRPr="00304BFE">
        <w:t xml:space="preserve"> under Schedule 451 because end use customers will stop buying from PSE and purchase power from third parties</w:t>
      </w:r>
      <w:r w:rsidR="00451AC7">
        <w:t xml:space="preserve">.  </w:t>
      </w:r>
      <w:r w:rsidR="00D337EF">
        <w:t>The Commission will set the</w:t>
      </w:r>
      <w:r w:rsidRPr="00304BFE">
        <w:t xml:space="preserve"> terms and conditions of this retail wheeling program, which</w:t>
      </w:r>
      <w:r w:rsidR="00D337EF">
        <w:t>, depending on how they are designed,</w:t>
      </w:r>
      <w:r w:rsidRPr="00304BFE">
        <w:t xml:space="preserve"> could significantly harm any NIPPC member whose ability to sell power is limited.  </w:t>
      </w:r>
    </w:p>
    <w:p w14:paraId="4E373C3A" w14:textId="3B2E59CE" w:rsidR="00304BFE" w:rsidRDefault="00451AC7">
      <w:pPr>
        <w:pStyle w:val="ListParagraph"/>
        <w:numPr>
          <w:ilvl w:val="0"/>
          <w:numId w:val="27"/>
        </w:numPr>
        <w:spacing w:line="480" w:lineRule="auto"/>
        <w:ind w:hanging="540"/>
      </w:pPr>
      <w:r>
        <w:tab/>
      </w:r>
      <w:r w:rsidR="00C946DE">
        <w:t>NIPPC also understands that the issue of whether any power supplier that sells power to a customer under PSE’s Schedule 451</w:t>
      </w:r>
      <w:r w:rsidR="00AE36BF">
        <w:t xml:space="preserve"> will be subject to Commission regulation as an electric utility may be an issue in this proceeding</w:t>
      </w:r>
      <w:r w:rsidR="00BE69D9">
        <w:t xml:space="preserve">.  NIPPC’s members should not be deprived of the opportunity to participate in a proceeding in which a tariff may require them to subject themselves to the Commission’s jurisdiction in order to sell power to end use consumers.  </w:t>
      </w:r>
      <w:r w:rsidR="00DF1656">
        <w:t>An order the sets the conditions for selling power to end use consumers</w:t>
      </w:r>
      <w:r w:rsidR="00987424">
        <w:t xml:space="preserve"> in a manner that precludes the ability of many eligible companies</w:t>
      </w:r>
      <w:r w:rsidR="00EB5A90">
        <w:t xml:space="preserve"> to sell</w:t>
      </w:r>
      <w:r w:rsidR="00CC6FAD">
        <w:t xml:space="preserve"> power under Sche</w:t>
      </w:r>
      <w:r w:rsidR="00987424">
        <w:t>d</w:t>
      </w:r>
      <w:r w:rsidR="00CC6FAD">
        <w:t>u</w:t>
      </w:r>
      <w:r w:rsidR="00987424">
        <w:t>l</w:t>
      </w:r>
      <w:r w:rsidR="00CC6FAD">
        <w:t>e</w:t>
      </w:r>
      <w:r w:rsidR="00987424">
        <w:t xml:space="preserve"> 451 </w:t>
      </w:r>
      <w:r w:rsidR="00DA5767">
        <w:t>could harm</w:t>
      </w:r>
      <w:r w:rsidR="00B464FC">
        <w:t xml:space="preserve"> NIPPC’</w:t>
      </w:r>
      <w:r w:rsidR="00CC6FAD">
        <w:t>s members as well as</w:t>
      </w:r>
      <w:r w:rsidR="00B464FC">
        <w:t xml:space="preserve"> eligible customers</w:t>
      </w:r>
      <w:r w:rsidR="00304BFE" w:rsidRPr="00304BFE">
        <w:t xml:space="preserve"> whose options </w:t>
      </w:r>
      <w:r w:rsidR="00304BFE" w:rsidRPr="00304BFE">
        <w:lastRenderedPageBreak/>
        <w:t>to purchase power could be severely constrained if insufficient power suppliers can qualify to participate in the program.</w:t>
      </w:r>
    </w:p>
    <w:p w14:paraId="770B048F" w14:textId="3C40A2CB" w:rsidR="00ED0639" w:rsidRPr="005E08D4" w:rsidRDefault="00ED0639" w:rsidP="005E08D4">
      <w:pPr>
        <w:pStyle w:val="ListParagraph"/>
        <w:spacing w:line="480" w:lineRule="auto"/>
        <w:ind w:left="0"/>
        <w:jc w:val="center"/>
        <w:rPr>
          <w:b/>
        </w:rPr>
      </w:pPr>
      <w:r>
        <w:rPr>
          <w:b/>
        </w:rPr>
        <w:t>II.</w:t>
      </w:r>
      <w:r>
        <w:rPr>
          <w:b/>
        </w:rPr>
        <w:tab/>
        <w:t>REVIEW OF ORDER 04</w:t>
      </w:r>
    </w:p>
    <w:p w14:paraId="3D01984F" w14:textId="2FE24B52" w:rsidR="00ED0639" w:rsidRPr="00ED0639" w:rsidRDefault="00ED0639" w:rsidP="008437EA">
      <w:pPr>
        <w:pStyle w:val="ListParagraph"/>
        <w:numPr>
          <w:ilvl w:val="0"/>
          <w:numId w:val="28"/>
        </w:numPr>
        <w:spacing w:line="480" w:lineRule="auto"/>
        <w:ind w:hanging="720"/>
        <w:rPr>
          <w:b/>
        </w:rPr>
      </w:pPr>
      <w:r w:rsidRPr="00ED0639">
        <w:rPr>
          <w:b/>
        </w:rPr>
        <w:t xml:space="preserve">Legal Standard </w:t>
      </w:r>
    </w:p>
    <w:p w14:paraId="3BF7D280" w14:textId="651C0D79" w:rsidR="00B419E8" w:rsidRDefault="00B419E8" w:rsidP="00656B7E">
      <w:pPr>
        <w:pStyle w:val="ListParagraph"/>
        <w:numPr>
          <w:ilvl w:val="0"/>
          <w:numId w:val="27"/>
        </w:numPr>
        <w:spacing w:line="480" w:lineRule="auto"/>
        <w:ind w:hanging="540"/>
      </w:pPr>
      <w:r>
        <w:tab/>
      </w:r>
      <w:r w:rsidR="008D38C4">
        <w:t>Under WAC 480-07-810(2) the Commission has discretion to review an interlocutory order if</w:t>
      </w:r>
      <w:r w:rsidR="00C67818">
        <w:t>: 1)</w:t>
      </w:r>
      <w:r w:rsidR="008D38C4">
        <w:t xml:space="preserve"> the ruling terminates a party’s participation in the proceeding</w:t>
      </w:r>
      <w:r w:rsidR="00C67818">
        <w:t xml:space="preserve"> and the party’s inability to participate could cause substantial and irreparable harm; 2)</w:t>
      </w:r>
      <w:r w:rsidR="008D38C4">
        <w:t xml:space="preserve"> review is necessary to prevent substantial prejudice</w:t>
      </w:r>
      <w:r w:rsidR="00C67818">
        <w:t xml:space="preserve"> to a party that would not be remediable by post-hearing review; </w:t>
      </w:r>
      <w:r w:rsidR="008D38C4">
        <w:t>or</w:t>
      </w:r>
      <w:r w:rsidR="00C67818">
        <w:t xml:space="preserve"> 3) </w:t>
      </w:r>
      <w:r w:rsidR="008D38C4">
        <w:t>review could save the Commission and parties substantial effort or expense</w:t>
      </w:r>
      <w:r w:rsidR="00C67818">
        <w:t>, or some other factor is present</w:t>
      </w:r>
      <w:r>
        <w:t xml:space="preserve"> that outweighs the costs in ti</w:t>
      </w:r>
      <w:r w:rsidR="00C67818">
        <w:t>m</w:t>
      </w:r>
      <w:r>
        <w:t>e</w:t>
      </w:r>
      <w:r w:rsidR="00C67818">
        <w:t xml:space="preserve"> and delay of exercising review</w:t>
      </w:r>
      <w:r w:rsidR="008D38C4">
        <w:t xml:space="preserve">.  </w:t>
      </w:r>
    </w:p>
    <w:p w14:paraId="627D0B45" w14:textId="157775AB" w:rsidR="008161C6" w:rsidRPr="00ED0639" w:rsidRDefault="00B419E8" w:rsidP="003A25A5">
      <w:pPr>
        <w:pStyle w:val="ListParagraph"/>
        <w:numPr>
          <w:ilvl w:val="0"/>
          <w:numId w:val="27"/>
        </w:numPr>
        <w:spacing w:line="480" w:lineRule="auto"/>
        <w:ind w:hanging="540"/>
      </w:pPr>
      <w:r>
        <w:t xml:space="preserve"> </w:t>
      </w:r>
      <w:r>
        <w:tab/>
      </w:r>
      <w:r w:rsidR="00CB5D5F">
        <w:t>Review</w:t>
      </w:r>
      <w:r w:rsidR="004F106E">
        <w:t xml:space="preserve"> is warranted under </w:t>
      </w:r>
      <w:r w:rsidR="00CB5D5F">
        <w:t>any of these criteria</w:t>
      </w:r>
      <w:r w:rsidR="008D38C4">
        <w:t>.</w:t>
      </w:r>
      <w:r>
        <w:t xml:space="preserve"> </w:t>
      </w:r>
      <w:r w:rsidR="008D38C4">
        <w:t xml:space="preserve"> First, </w:t>
      </w:r>
      <w:r>
        <w:t>Order 04</w:t>
      </w:r>
      <w:r w:rsidR="008D38C4">
        <w:t xml:space="preserve"> terminates NIPPC’s participation</w:t>
      </w:r>
      <w:r w:rsidR="00B514F8">
        <w:t xml:space="preserve">.  </w:t>
      </w:r>
      <w:r w:rsidR="008235E4">
        <w:t>Setting</w:t>
      </w:r>
      <w:r w:rsidR="00BE4C65">
        <w:t xml:space="preserve"> onerous</w:t>
      </w:r>
      <w:r w:rsidR="008235E4">
        <w:t xml:space="preserve"> terms and conditions for selling power to Schedule 451 customers</w:t>
      </w:r>
      <w:r w:rsidR="00B514F8">
        <w:t xml:space="preserve"> or unnecessarily subjecting </w:t>
      </w:r>
      <w:r w:rsidR="00BE4C65">
        <w:t>power suppliers</w:t>
      </w:r>
      <w:r w:rsidR="00B514F8">
        <w:t xml:space="preserve"> to regulation as electric utilities could substantially and irreparably harm </w:t>
      </w:r>
      <w:r w:rsidR="0071753E">
        <w:t xml:space="preserve">the competitive power industry generally and </w:t>
      </w:r>
      <w:r w:rsidR="00B514F8">
        <w:t>NIPPC members.</w:t>
      </w:r>
      <w:r w:rsidR="008D38C4">
        <w:t xml:space="preserve"> </w:t>
      </w:r>
      <w:r>
        <w:t xml:space="preserve"> Second,</w:t>
      </w:r>
      <w:r w:rsidR="008D38C4">
        <w:t xml:space="preserve"> </w:t>
      </w:r>
      <w:r w:rsidR="00D21BEC">
        <w:t>this</w:t>
      </w:r>
      <w:r w:rsidR="008D38C4">
        <w:t xml:space="preserve"> substantial prejudice</w:t>
      </w:r>
      <w:r w:rsidR="00D21BEC">
        <w:t xml:space="preserve"> </w:t>
      </w:r>
      <w:r w:rsidR="008D38C4">
        <w:t>cannot be remedied in post-hearing review</w:t>
      </w:r>
      <w:r w:rsidR="00CB5D5F">
        <w:t xml:space="preserve"> because this is the proceeding in which the terms and conditions for selling power under Schedule 451 will be set</w:t>
      </w:r>
      <w:r w:rsidR="008D38C4">
        <w:t xml:space="preserve">. </w:t>
      </w:r>
      <w:r w:rsidR="00B76F2C">
        <w:t xml:space="preserve"> </w:t>
      </w:r>
      <w:r w:rsidR="008D38C4">
        <w:t>Finally, NIPPC</w:t>
      </w:r>
      <w:r>
        <w:t>’s participation will save the Commission and parties</w:t>
      </w:r>
      <w:r w:rsidR="001519A6">
        <w:t>’</w:t>
      </w:r>
      <w:r>
        <w:t xml:space="preserve"> effort and expense, because</w:t>
      </w:r>
      <w:r w:rsidR="008D38C4">
        <w:t xml:space="preserve"> </w:t>
      </w:r>
      <w:r>
        <w:t>as Staff and Public Counsel have suggested, NIPPC’s experience and unique perspective</w:t>
      </w:r>
      <w:r w:rsidR="00C67818">
        <w:t xml:space="preserve"> </w:t>
      </w:r>
      <w:r>
        <w:t>makes NIPPC well suited to</w:t>
      </w:r>
      <w:r w:rsidR="00C67818">
        <w:t xml:space="preserve"> address </w:t>
      </w:r>
      <w:r w:rsidR="004346D0">
        <w:t>the key issues in this proceeding</w:t>
      </w:r>
      <w:r>
        <w:t xml:space="preserve">.  </w:t>
      </w:r>
      <w:r w:rsidR="002D3137">
        <w:t xml:space="preserve">The Commission and the parties will be saved substantial effort and expense </w:t>
      </w:r>
      <w:r w:rsidR="00F03DE2">
        <w:t>due to the valuable experience and perspectives that NIPPC and its members bring to this proceeding</w:t>
      </w:r>
      <w:r w:rsidR="00725E00">
        <w:t>.</w:t>
      </w:r>
    </w:p>
    <w:p w14:paraId="5177AB9E" w14:textId="70F1AA32" w:rsidR="00126194" w:rsidRDefault="00BB2D1A" w:rsidP="00384248">
      <w:pPr>
        <w:pStyle w:val="ListParagraph"/>
        <w:numPr>
          <w:ilvl w:val="0"/>
          <w:numId w:val="28"/>
        </w:numPr>
        <w:ind w:hanging="720"/>
        <w:rPr>
          <w:b/>
        </w:rPr>
      </w:pPr>
      <w:r>
        <w:rPr>
          <w:b/>
        </w:rPr>
        <w:lastRenderedPageBreak/>
        <w:t xml:space="preserve">NIPPC’s Participation is Within the </w:t>
      </w:r>
      <w:r w:rsidR="00126194">
        <w:rPr>
          <w:b/>
        </w:rPr>
        <w:t>Public</w:t>
      </w:r>
      <w:r w:rsidR="00126194" w:rsidRPr="003115F3">
        <w:rPr>
          <w:b/>
        </w:rPr>
        <w:t xml:space="preserve"> Interest</w:t>
      </w:r>
      <w:r>
        <w:rPr>
          <w:b/>
        </w:rPr>
        <w:t xml:space="preserve"> Because </w:t>
      </w:r>
      <w:r w:rsidR="00384248">
        <w:rPr>
          <w:b/>
        </w:rPr>
        <w:t>NIPPC Can Assist the Commission in Developing a Robust Record</w:t>
      </w:r>
      <w:r w:rsidR="00126194" w:rsidRPr="003115F3">
        <w:rPr>
          <w:b/>
        </w:rPr>
        <w:t xml:space="preserve"> </w:t>
      </w:r>
    </w:p>
    <w:p w14:paraId="78ABC6AC" w14:textId="77777777" w:rsidR="00384248" w:rsidRPr="00ED0639" w:rsidRDefault="00384248" w:rsidP="00384248">
      <w:pPr>
        <w:pStyle w:val="ListParagraph"/>
        <w:rPr>
          <w:b/>
        </w:rPr>
      </w:pPr>
    </w:p>
    <w:p w14:paraId="69E021DD" w14:textId="0B09AF18" w:rsidR="00A04EAC" w:rsidRPr="00A04EAC" w:rsidRDefault="00A04EAC" w:rsidP="003A25A5">
      <w:pPr>
        <w:pStyle w:val="ListParagraph"/>
        <w:numPr>
          <w:ilvl w:val="0"/>
          <w:numId w:val="27"/>
        </w:numPr>
        <w:spacing w:line="480" w:lineRule="auto"/>
        <w:ind w:hanging="540"/>
      </w:pPr>
      <w:r>
        <w:tab/>
      </w:r>
      <w:r w:rsidRPr="00A04EAC">
        <w:t xml:space="preserve">NIPPC’s participation in this case will benefit the Commission and the public interest because NIPPC has experience and expertise in all of the key issues that will be addressed in this proceeding.  The success of Schedule 451 depends on the active participation of independent power producers and retail wheeling power suppliers operating under the new tariff.  The public interest and PSE’s current customers eligible for Schedule 451 will be harmed by a more limited record that fails to fully inform the Commission on these matters than would be the case with NIPPC’s participation.  </w:t>
      </w:r>
    </w:p>
    <w:p w14:paraId="3D935CF1" w14:textId="77777777" w:rsidR="00F17362" w:rsidRDefault="00A04EAC">
      <w:pPr>
        <w:pStyle w:val="ListParagraph"/>
        <w:numPr>
          <w:ilvl w:val="0"/>
          <w:numId w:val="27"/>
        </w:numPr>
        <w:spacing w:line="480" w:lineRule="auto"/>
        <w:ind w:hanging="540"/>
      </w:pPr>
      <w:r w:rsidRPr="00A04EAC">
        <w:tab/>
        <w:t xml:space="preserve">The Commission should also grant NIPPC’s intervention because NIPPC is a non-profit trade association whose goals and purposes are to foster healthy electricity markets and not the specific commercial interests of any particular members.  Non-profit trade associations, including those whose members are utility competitors and independent power producers, frequently intervene in Commission proceedings.  </w:t>
      </w:r>
    </w:p>
    <w:p w14:paraId="2B0F5AC6" w14:textId="169667FE" w:rsidR="00DA7477" w:rsidRDefault="00F17362">
      <w:pPr>
        <w:pStyle w:val="ListParagraph"/>
        <w:numPr>
          <w:ilvl w:val="0"/>
          <w:numId w:val="27"/>
        </w:numPr>
        <w:spacing w:line="480" w:lineRule="auto"/>
        <w:ind w:hanging="540"/>
      </w:pPr>
      <w:r>
        <w:tab/>
      </w:r>
      <w:r w:rsidR="00A04EAC" w:rsidRPr="00A04EAC">
        <w:t xml:space="preserve">Finally, </w:t>
      </w:r>
      <w:r w:rsidR="008E3D6D">
        <w:t xml:space="preserve">Order 04’s </w:t>
      </w:r>
      <w:r w:rsidR="00A04EAC" w:rsidRPr="00A04EAC">
        <w:t>characterization of the legal standard for intervention is unduly narrow, which</w:t>
      </w:r>
      <w:r w:rsidR="009E3A29">
        <w:t xml:space="preserve"> does not address much of the</w:t>
      </w:r>
      <w:r w:rsidR="00A04EAC" w:rsidRPr="00A04EAC">
        <w:t xml:space="preserve"> precedent allowing the intervention of entities and companies whose primary purpose was to address potentially anti-competitive utility actions that harmed their business interests.</w:t>
      </w:r>
      <w:r w:rsidR="00A04EAC">
        <w:t xml:space="preserve"> </w:t>
      </w:r>
      <w:r>
        <w:t xml:space="preserve"> The Commission has </w:t>
      </w:r>
      <w:r w:rsidR="00FC7C10">
        <w:t>repeatedly allowed utility competitors in proceedings in which their intervention benefited the public interest, including cases that directly addressed retail wheeling.</w:t>
      </w:r>
    </w:p>
    <w:p w14:paraId="22077F84" w14:textId="77777777" w:rsidR="006B400E" w:rsidRDefault="006B400E" w:rsidP="006B400E">
      <w:pPr>
        <w:spacing w:line="480" w:lineRule="auto"/>
      </w:pPr>
    </w:p>
    <w:p w14:paraId="04FD0380" w14:textId="77777777" w:rsidR="00516B91" w:rsidRDefault="00516B91">
      <w:pPr>
        <w:rPr>
          <w:b/>
        </w:rPr>
      </w:pPr>
      <w:r>
        <w:rPr>
          <w:b/>
        </w:rPr>
        <w:br w:type="page"/>
      </w:r>
    </w:p>
    <w:p w14:paraId="11A40BB8" w14:textId="171E6B09" w:rsidR="00DA7477" w:rsidRDefault="00DA7477" w:rsidP="003A25A5">
      <w:pPr>
        <w:ind w:left="1440" w:hanging="720"/>
        <w:rPr>
          <w:b/>
        </w:rPr>
      </w:pPr>
      <w:bookmarkStart w:id="1" w:name="_GoBack"/>
      <w:bookmarkEnd w:id="1"/>
      <w:r>
        <w:rPr>
          <w:b/>
        </w:rPr>
        <w:lastRenderedPageBreak/>
        <w:t>A.</w:t>
      </w:r>
      <w:r>
        <w:rPr>
          <w:b/>
        </w:rPr>
        <w:tab/>
      </w:r>
      <w:r w:rsidRPr="00DA7477">
        <w:rPr>
          <w:b/>
        </w:rPr>
        <w:t xml:space="preserve">NIPPC’s Purpose Is to </w:t>
      </w:r>
      <w:r w:rsidR="001649E4">
        <w:rPr>
          <w:b/>
        </w:rPr>
        <w:t xml:space="preserve">Ensure </w:t>
      </w:r>
      <w:r w:rsidRPr="00DA7477">
        <w:rPr>
          <w:b/>
        </w:rPr>
        <w:t xml:space="preserve">the </w:t>
      </w:r>
      <w:r w:rsidR="001649E4">
        <w:rPr>
          <w:b/>
        </w:rPr>
        <w:t>Competitive</w:t>
      </w:r>
      <w:r w:rsidRPr="00DA7477">
        <w:rPr>
          <w:b/>
        </w:rPr>
        <w:t xml:space="preserve"> Electricity Markets and Retail Direct Access</w:t>
      </w:r>
      <w:r w:rsidR="001649E4">
        <w:rPr>
          <w:b/>
        </w:rPr>
        <w:t xml:space="preserve"> Programs Function Properly</w:t>
      </w:r>
      <w:r w:rsidR="00FB70E1">
        <w:rPr>
          <w:b/>
        </w:rPr>
        <w:t xml:space="preserve"> and </w:t>
      </w:r>
      <w:r w:rsidR="00BB2D1A">
        <w:rPr>
          <w:b/>
        </w:rPr>
        <w:t xml:space="preserve">Are </w:t>
      </w:r>
      <w:r w:rsidR="00FB70E1">
        <w:rPr>
          <w:b/>
        </w:rPr>
        <w:t>Consistent with State Regulatory Law and Policy</w:t>
      </w:r>
    </w:p>
    <w:p w14:paraId="5CFC9839" w14:textId="77777777" w:rsidR="00076ABF" w:rsidRPr="003A25A5" w:rsidRDefault="00076ABF" w:rsidP="003A25A5">
      <w:pPr>
        <w:ind w:left="1440" w:hanging="720"/>
        <w:rPr>
          <w:b/>
        </w:rPr>
      </w:pPr>
    </w:p>
    <w:p w14:paraId="10E71E49" w14:textId="77777777" w:rsidR="00AD4142" w:rsidRDefault="003B1143" w:rsidP="003A25A5">
      <w:pPr>
        <w:pStyle w:val="ListParagraph"/>
        <w:numPr>
          <w:ilvl w:val="0"/>
          <w:numId w:val="27"/>
        </w:numPr>
        <w:spacing w:line="480" w:lineRule="auto"/>
        <w:ind w:hanging="540"/>
      </w:pPr>
      <w:r w:rsidRPr="00DA7477">
        <w:rPr>
          <w:b/>
        </w:rPr>
        <w:t xml:space="preserve"> </w:t>
      </w:r>
      <w:r w:rsidR="00076ABF">
        <w:tab/>
        <w:t xml:space="preserve">NIPPC’s primary purpose in intervening is not </w:t>
      </w:r>
      <w:r w:rsidRPr="003B1143">
        <w:t>to advocate on behalf of its members</w:t>
      </w:r>
      <w:r w:rsidR="00076ABF">
        <w:t xml:space="preserve"> as PSE’s competitors, but to ensure that whatever retail access program is ultimately adopted </w:t>
      </w:r>
      <w:r w:rsidR="00A8687D">
        <w:t>is successful</w:t>
      </w:r>
      <w:r w:rsidRPr="003B1143">
        <w:t>.  The Commission often looks to the broad public policy goals of particular organizations when justifying the intervention and full participation of particular parties.  For example, the Commission recently allowed the late-filed intervention and full participation of the Northwest Energy Coalition in part because it has a broad and diverse membership including “environmental groups and utilities, low-income advocates and clean energy businesses” and it offered a “unique perspective that isn’t otherwise replicated among the current intervenors.”</w:t>
      </w:r>
      <w:r w:rsidRPr="003B1143">
        <w:rPr>
          <w:vertAlign w:val="superscript"/>
        </w:rPr>
        <w:footnoteReference w:id="2"/>
      </w:r>
      <w:r w:rsidRPr="003B1143">
        <w:t xml:space="preserve">  The Commission has also allowed the intervention of unions, environmental advocates, and </w:t>
      </w:r>
      <w:r w:rsidR="00AD4142">
        <w:t>independent power producer trade associations.</w:t>
      </w:r>
    </w:p>
    <w:p w14:paraId="7793E7A7" w14:textId="0D997E4D" w:rsidR="00242500" w:rsidRDefault="00AD4142" w:rsidP="003A25A5">
      <w:pPr>
        <w:pStyle w:val="ListParagraph"/>
        <w:numPr>
          <w:ilvl w:val="0"/>
          <w:numId w:val="27"/>
        </w:numPr>
        <w:spacing w:line="480" w:lineRule="auto"/>
        <w:ind w:hanging="540"/>
      </w:pPr>
      <w:r>
        <w:tab/>
        <w:t xml:space="preserve">Both Renewable Northwest and the Renewable Energy Coalition are trade associations that include independent power producers that have participated in Commission proceedings.  </w:t>
      </w:r>
      <w:r w:rsidR="00F74EF8">
        <w:t>Renewable Northwest, which is</w:t>
      </w:r>
      <w:r w:rsidR="003B1143" w:rsidRPr="003B1143">
        <w:t xml:space="preserve"> </w:t>
      </w:r>
      <w:r>
        <w:t>also</w:t>
      </w:r>
      <w:r w:rsidR="001F254C">
        <w:t xml:space="preserve"> a</w:t>
      </w:r>
      <w:r>
        <w:t xml:space="preserve"> </w:t>
      </w:r>
      <w:r w:rsidR="00F74EF8">
        <w:t>non-profit, has</w:t>
      </w:r>
      <w:r w:rsidR="003B1143" w:rsidRPr="003B1143">
        <w:t xml:space="preserve"> overlapping members with NIPPC</w:t>
      </w:r>
      <w:r w:rsidR="00F74EF8">
        <w:t xml:space="preserve">, and </w:t>
      </w:r>
      <w:r w:rsidR="003B1143" w:rsidRPr="003B1143">
        <w:t>“supports expanded development of renewable energy and energy efficiency programs in Washington.”</w:t>
      </w:r>
      <w:r w:rsidR="003B1143" w:rsidRPr="003B1143">
        <w:rPr>
          <w:vertAlign w:val="superscript"/>
        </w:rPr>
        <w:footnoteReference w:id="3"/>
      </w:r>
      <w:r w:rsidR="00F74EF8">
        <w:t xml:space="preserve">  The Renewable Energy Coalition </w:t>
      </w:r>
      <w:r w:rsidR="00956754">
        <w:t>is a trade association of independent power producers</w:t>
      </w:r>
      <w:r w:rsidR="000B0AFC">
        <w:t xml:space="preserve"> </w:t>
      </w:r>
      <w:r w:rsidR="000B0AFC" w:rsidRPr="000B0AFC">
        <w:t xml:space="preserve">comprised of </w:t>
      </w:r>
      <w:r w:rsidR="00390FB4">
        <w:t xml:space="preserve">mostly </w:t>
      </w:r>
      <w:r w:rsidR="000B0AFC" w:rsidRPr="000B0AFC">
        <w:lastRenderedPageBreak/>
        <w:t xml:space="preserve">small </w:t>
      </w:r>
      <w:r w:rsidR="00F864F7">
        <w:t>entities</w:t>
      </w:r>
      <w:r w:rsidR="000B0AFC" w:rsidRPr="000B0AFC">
        <w:t xml:space="preserve"> selling power to </w:t>
      </w:r>
      <w:r w:rsidR="00F864F7">
        <w:t>Northwest utilities</w:t>
      </w:r>
      <w:r w:rsidR="000B0AFC">
        <w:t xml:space="preserve"> as qualifying facilities</w:t>
      </w:r>
      <w:r w:rsidR="000B0AFC" w:rsidRPr="000B0AFC">
        <w:t>.</w:t>
      </w:r>
      <w:r w:rsidR="000B0AFC" w:rsidRPr="000B0AFC">
        <w:rPr>
          <w:vertAlign w:val="superscript"/>
        </w:rPr>
        <w:footnoteReference w:id="4"/>
      </w:r>
      <w:r w:rsidR="003B1143" w:rsidRPr="003B1143">
        <w:t xml:space="preserve"> </w:t>
      </w:r>
      <w:r w:rsidR="00F14A32">
        <w:t xml:space="preserve"> </w:t>
      </w:r>
      <w:r w:rsidR="009B7BB6">
        <w:t>In addition, the Commission has allowed publicly owned utility competitors in PSE proceedings to raise issues related to competition and retail wheeling.</w:t>
      </w:r>
      <w:r w:rsidR="009B7BB6">
        <w:rPr>
          <w:rStyle w:val="FootnoteReference"/>
        </w:rPr>
        <w:footnoteReference w:id="5"/>
      </w:r>
      <w:r w:rsidR="009B7BB6">
        <w:t xml:space="preserve">  </w:t>
      </w:r>
      <w:r w:rsidR="00F864F7">
        <w:t>These organizations</w:t>
      </w:r>
      <w:r w:rsidR="008145B9">
        <w:t xml:space="preserve"> include utility competitors </w:t>
      </w:r>
      <w:r w:rsidR="00F864F7">
        <w:t xml:space="preserve">and </w:t>
      </w:r>
      <w:r w:rsidR="008145B9">
        <w:t>have previously</w:t>
      </w:r>
      <w:r w:rsidR="00F14A32">
        <w:t xml:space="preserve"> </w:t>
      </w:r>
      <w:r w:rsidR="00242500" w:rsidRPr="00242500">
        <w:t>established a s</w:t>
      </w:r>
      <w:r w:rsidR="008145B9">
        <w:t>ubstantial interest and that their</w:t>
      </w:r>
      <w:r w:rsidR="00242500" w:rsidRPr="00242500">
        <w:t xml:space="preserve"> participation was in the public interest</w:t>
      </w:r>
      <w:r w:rsidR="008145B9">
        <w:t xml:space="preserve"> in utility proceedings</w:t>
      </w:r>
      <w:r w:rsidR="00242500" w:rsidRPr="00242500">
        <w:t>.</w:t>
      </w:r>
    </w:p>
    <w:p w14:paraId="4C932DFB" w14:textId="40F4FCBA" w:rsidR="00E31D7E" w:rsidRDefault="00954770" w:rsidP="003A25A5">
      <w:pPr>
        <w:pStyle w:val="ListParagraph"/>
        <w:numPr>
          <w:ilvl w:val="0"/>
          <w:numId w:val="27"/>
        </w:numPr>
        <w:spacing w:line="480" w:lineRule="auto"/>
        <w:ind w:hanging="540"/>
      </w:pPr>
      <w:r>
        <w:tab/>
      </w:r>
      <w:r w:rsidR="003B1143" w:rsidRPr="003B1143">
        <w:t>NIPPC is a non-profit trade association whose primary purpose is to promote market competition and retail access.  NIPPC, like Renewable Northwest</w:t>
      </w:r>
      <w:r w:rsidR="001225A8">
        <w:t xml:space="preserve"> and</w:t>
      </w:r>
      <w:r w:rsidR="008145B9">
        <w:t xml:space="preserve"> the Renewable Energy Coalition</w:t>
      </w:r>
      <w:r w:rsidR="003B1143" w:rsidRPr="003B1143">
        <w:t xml:space="preserve">, supports expanded development of competitive markets, independent power producers, and retail access and wheeling. </w:t>
      </w:r>
      <w:r w:rsidR="00E31D7E">
        <w:t xml:space="preserve"> </w:t>
      </w:r>
      <w:r w:rsidR="00F74A27">
        <w:t>NIPPC also competes with and sell powers to PSE</w:t>
      </w:r>
      <w:r w:rsidR="00230EB4">
        <w:t>,</w:t>
      </w:r>
      <w:r w:rsidR="00F74A27">
        <w:t xml:space="preserve"> as do the publicly owned utilities that have been allowed intervention.  </w:t>
      </w:r>
      <w:r w:rsidR="003B1143" w:rsidRPr="003B1143">
        <w:t xml:space="preserve">Similar to the Northwest Energy Coalition, NIPPC offers a unique perspective that is not replicated among the current intervenors. </w:t>
      </w:r>
      <w:r w:rsidR="000101D7">
        <w:t xml:space="preserve"> </w:t>
      </w:r>
      <w:r w:rsidR="000101D7" w:rsidRPr="000101D7">
        <w:t>Order 04 does not explain why it was in the public interest to allow these groups’ participation, but it is not in the public interest to allow NIPPC’s participation</w:t>
      </w:r>
      <w:r w:rsidR="000101D7">
        <w:t>.</w:t>
      </w:r>
    </w:p>
    <w:p w14:paraId="369895CF" w14:textId="3107C259" w:rsidR="003B1143" w:rsidRDefault="00E31D7E" w:rsidP="003A25A5">
      <w:pPr>
        <w:pStyle w:val="ListParagraph"/>
        <w:numPr>
          <w:ilvl w:val="0"/>
          <w:numId w:val="27"/>
        </w:numPr>
        <w:spacing w:line="480" w:lineRule="auto"/>
        <w:ind w:hanging="540"/>
      </w:pPr>
      <w:r>
        <w:tab/>
      </w:r>
      <w:r w:rsidR="003B1143" w:rsidRPr="003B1143">
        <w:t xml:space="preserve">NIPPC also intervenes and participates routinely in other states.  For example, NIPPC has been a party without opposition in </w:t>
      </w:r>
      <w:r w:rsidR="009065DF">
        <w:t xml:space="preserve">numerous proceedings in Oregon and </w:t>
      </w:r>
      <w:r w:rsidR="003B1143" w:rsidRPr="003B1143">
        <w:t>Idaho</w:t>
      </w:r>
      <w:r w:rsidR="009065DF">
        <w:t>,</w:t>
      </w:r>
      <w:r w:rsidR="003B1143" w:rsidRPr="003B1143">
        <w:t xml:space="preserve"> and before the Bonneville Power Administration.</w:t>
      </w:r>
      <w:r w:rsidR="003B1143" w:rsidRPr="003B1143">
        <w:rPr>
          <w:vertAlign w:val="superscript"/>
        </w:rPr>
        <w:footnoteReference w:id="6"/>
      </w:r>
      <w:r w:rsidR="003B1143" w:rsidRPr="003B1143">
        <w:t xml:space="preserve">  </w:t>
      </w:r>
      <w:r w:rsidR="00892DDC">
        <w:t xml:space="preserve">Since its incorporation in 2002, </w:t>
      </w:r>
      <w:r w:rsidR="003B1143" w:rsidRPr="003B1143">
        <w:t>NIPPC has never bee</w:t>
      </w:r>
      <w:r w:rsidR="006B65C1">
        <w:t>n denied intervention in a</w:t>
      </w:r>
      <w:r w:rsidR="003B1143" w:rsidRPr="003B1143">
        <w:t xml:space="preserve"> regulatory proceeding.</w:t>
      </w:r>
    </w:p>
    <w:p w14:paraId="13EF1D4E" w14:textId="6FDCCBBB" w:rsidR="00CF3660" w:rsidRDefault="00CF3660" w:rsidP="003A25A5">
      <w:pPr>
        <w:ind w:left="1354" w:hanging="634"/>
        <w:rPr>
          <w:b/>
        </w:rPr>
      </w:pPr>
      <w:r>
        <w:rPr>
          <w:b/>
        </w:rPr>
        <w:lastRenderedPageBreak/>
        <w:t>B.</w:t>
      </w:r>
      <w:r>
        <w:rPr>
          <w:b/>
        </w:rPr>
        <w:tab/>
      </w:r>
      <w:r w:rsidR="00623B14" w:rsidRPr="00623B14">
        <w:rPr>
          <w:b/>
        </w:rPr>
        <w:t>The Commission Frequently Grants the Intervention of Organizations and Specific Utility Competitors When It Benefits the Public Interest and the Development of the Record</w:t>
      </w:r>
    </w:p>
    <w:p w14:paraId="061F320B" w14:textId="77777777" w:rsidR="00623B14" w:rsidRPr="003A25A5" w:rsidRDefault="00623B14" w:rsidP="003A25A5">
      <w:pPr>
        <w:ind w:left="1354" w:hanging="634"/>
        <w:rPr>
          <w:b/>
        </w:rPr>
      </w:pPr>
    </w:p>
    <w:p w14:paraId="4D947A5A" w14:textId="2BDF9EC6" w:rsidR="00994794" w:rsidRDefault="00CF3660" w:rsidP="003A25A5">
      <w:pPr>
        <w:pStyle w:val="ListParagraph"/>
        <w:numPr>
          <w:ilvl w:val="0"/>
          <w:numId w:val="27"/>
        </w:numPr>
        <w:spacing w:line="480" w:lineRule="auto"/>
        <w:ind w:hanging="540"/>
      </w:pPr>
      <w:r>
        <w:t xml:space="preserve">  </w:t>
      </w:r>
      <w:r w:rsidR="0097354C">
        <w:tab/>
        <w:t>Order 04 denied NIPPC’s intervention recognizing that “</w:t>
      </w:r>
      <w:r w:rsidR="0097354C" w:rsidRPr="0097354C">
        <w:t>issues raised within regulatory proceedings may, occasionally, necessitate the participation of t</w:t>
      </w:r>
      <w:r w:rsidR="00F2677B">
        <w:t>rade associations such as NIPPC</w:t>
      </w:r>
      <w:r w:rsidR="0097354C">
        <w:t>”</w:t>
      </w:r>
      <w:r w:rsidR="0097354C">
        <w:rPr>
          <w:rStyle w:val="FootnoteReference"/>
        </w:rPr>
        <w:footnoteReference w:id="7"/>
      </w:r>
      <w:r w:rsidR="00F2677B">
        <w:t xml:space="preserve"> and that there are some Commission “</w:t>
      </w:r>
      <w:r w:rsidR="00626EF3" w:rsidRPr="00626EF3">
        <w:t>decisions in which we granted nonregulated competitors party status.</w:t>
      </w:r>
      <w:r w:rsidR="00F2677B">
        <w:t>”</w:t>
      </w:r>
      <w:r w:rsidR="00F2677B">
        <w:rPr>
          <w:rStyle w:val="FootnoteReference"/>
        </w:rPr>
        <w:footnoteReference w:id="8"/>
      </w:r>
      <w:r w:rsidR="00626EF3" w:rsidRPr="00626EF3">
        <w:t xml:space="preserve"> </w:t>
      </w:r>
      <w:r w:rsidR="00D47BA3">
        <w:t xml:space="preserve"> Order 04, however, did not discuss most of these proceedings</w:t>
      </w:r>
      <w:r w:rsidR="007B5D6D">
        <w:t xml:space="preserve"> and orders</w:t>
      </w:r>
      <w:r w:rsidR="00D47BA3">
        <w:t xml:space="preserve">, including those in which the Commission granted the intervention of nonregulated competitors to address </w:t>
      </w:r>
      <w:r w:rsidR="009A2E98">
        <w:t>retail wheeling and competition issues for PSE</w:t>
      </w:r>
      <w:r w:rsidR="007B5D6D">
        <w:t xml:space="preserve">.  Instead, Order 04 </w:t>
      </w:r>
      <w:r w:rsidR="000B60FA">
        <w:t>described these as a “minority” of cases and concluded</w:t>
      </w:r>
      <w:r w:rsidR="00F44E94">
        <w:t xml:space="preserve"> that NIPPC had not proven </w:t>
      </w:r>
      <w:r w:rsidR="000D25D7">
        <w:t xml:space="preserve">“that </w:t>
      </w:r>
      <w:r w:rsidR="009A2E98" w:rsidRPr="009A2E98">
        <w:t>this proceeding will</w:t>
      </w:r>
      <w:r w:rsidR="000D25D7">
        <w:t xml:space="preserve"> </w:t>
      </w:r>
      <w:r w:rsidR="009A2E98" w:rsidRPr="009A2E98">
        <w:t>involve issues making NIPPC’s participation necessary or in furtherance of the public interest.</w:t>
      </w:r>
      <w:r w:rsidR="00F44E94">
        <w:t>”</w:t>
      </w:r>
      <w:r w:rsidR="000D25D7">
        <w:rPr>
          <w:rStyle w:val="FootnoteReference"/>
        </w:rPr>
        <w:footnoteReference w:id="9"/>
      </w:r>
      <w:r w:rsidR="00F44E94">
        <w:t xml:space="preserve">  </w:t>
      </w:r>
      <w:r w:rsidR="009A2E98" w:rsidRPr="009A2E98">
        <w:t xml:space="preserve"> </w:t>
      </w:r>
    </w:p>
    <w:p w14:paraId="3CE51CD9" w14:textId="415C2552" w:rsidR="00183862" w:rsidRDefault="00994794">
      <w:pPr>
        <w:pStyle w:val="ListParagraph"/>
        <w:numPr>
          <w:ilvl w:val="0"/>
          <w:numId w:val="27"/>
        </w:numPr>
        <w:spacing w:line="480" w:lineRule="auto"/>
        <w:ind w:hanging="540"/>
      </w:pPr>
      <w:r>
        <w:tab/>
        <w:t>NIPPC</w:t>
      </w:r>
      <w:r w:rsidR="00310DEF">
        <w:t xml:space="preserve"> urges the Commission to conclude otherwise, because it offers a unique perspective that no other </w:t>
      </w:r>
      <w:r w:rsidR="00865F92">
        <w:t>party provides and benefits</w:t>
      </w:r>
      <w:r w:rsidRPr="00994794">
        <w:t xml:space="preserve"> the public interest.  </w:t>
      </w:r>
      <w:r w:rsidR="00865F92">
        <w:t>This is entirely consistent with long standing Commission precedent that e</w:t>
      </w:r>
      <w:r w:rsidRPr="00994794">
        <w:t xml:space="preserve">ntities representing general competitors as well as specific competitors should be granted intervention when they </w:t>
      </w:r>
      <w:r w:rsidRPr="00994794">
        <w:lastRenderedPageBreak/>
        <w:t>“bring an expertise to the table that may assist the Commission” regarding the key issues in the proceeding, including how the case “will affect the Commission policy favoring a competitive model in the electric industry.”</w:t>
      </w:r>
      <w:r w:rsidRPr="00994794">
        <w:rPr>
          <w:vertAlign w:val="superscript"/>
        </w:rPr>
        <w:footnoteReference w:id="10"/>
      </w:r>
      <w:r w:rsidRPr="00994794">
        <w:t xml:space="preserve"> </w:t>
      </w:r>
    </w:p>
    <w:p w14:paraId="3FCFA7FD" w14:textId="175FC067" w:rsidR="00740AF6" w:rsidRDefault="00ED67B8" w:rsidP="00183862">
      <w:pPr>
        <w:pStyle w:val="ListParagraph"/>
        <w:numPr>
          <w:ilvl w:val="0"/>
          <w:numId w:val="27"/>
        </w:numPr>
        <w:spacing w:line="480" w:lineRule="auto"/>
        <w:ind w:hanging="540"/>
      </w:pPr>
      <w:r>
        <w:t xml:space="preserve"> </w:t>
      </w:r>
      <w:r>
        <w:tab/>
      </w:r>
      <w:r w:rsidR="004B2996">
        <w:t>Order 04</w:t>
      </w:r>
      <w:r w:rsidR="00076E21">
        <w:t xml:space="preserve"> </w:t>
      </w:r>
      <w:r w:rsidR="00D90A88">
        <w:t>relies</w:t>
      </w:r>
      <w:r w:rsidR="001620A7">
        <w:t xml:space="preserve"> </w:t>
      </w:r>
      <w:r w:rsidR="00C96A96">
        <w:t xml:space="preserve">upon </w:t>
      </w:r>
      <w:r w:rsidR="0042072F" w:rsidRPr="000D32D5">
        <w:rPr>
          <w:u w:val="single"/>
        </w:rPr>
        <w:t>Cole v. Wash</w:t>
      </w:r>
      <w:r w:rsidR="00D51EB0">
        <w:rPr>
          <w:u w:val="single"/>
        </w:rPr>
        <w:t>ington Utilities and Transportation Commissio</w:t>
      </w:r>
      <w:r w:rsidR="0042072F" w:rsidRPr="000D32D5">
        <w:rPr>
          <w:u w:val="single"/>
        </w:rPr>
        <w:t>n</w:t>
      </w:r>
      <w:r w:rsidR="00C96A96">
        <w:t>,</w:t>
      </w:r>
      <w:r w:rsidR="00D51EB0" w:rsidRPr="00D51EB0">
        <w:rPr>
          <w:rStyle w:val="FootnoteReference"/>
        </w:rPr>
        <w:footnoteReference w:id="11"/>
      </w:r>
      <w:r w:rsidR="0042072F">
        <w:t xml:space="preserve"> </w:t>
      </w:r>
      <w:r w:rsidR="00DA33FB">
        <w:t>but only considers one of the many</w:t>
      </w:r>
      <w:r w:rsidR="00C96A96">
        <w:t xml:space="preserve"> </w:t>
      </w:r>
      <w:r w:rsidR="001620A7">
        <w:t xml:space="preserve">various </w:t>
      </w:r>
      <w:r w:rsidR="006A70D4">
        <w:t>subsequent cases that have limited</w:t>
      </w:r>
      <w:r w:rsidR="00A212CF">
        <w:t xml:space="preserve"> </w:t>
      </w:r>
      <w:r w:rsidR="00A212CF">
        <w:rPr>
          <w:u w:val="single"/>
        </w:rPr>
        <w:t>Cole</w:t>
      </w:r>
      <w:r w:rsidR="00A212CF">
        <w:t>’s</w:t>
      </w:r>
      <w:r w:rsidR="001620A7">
        <w:t xml:space="preserve"> application</w:t>
      </w:r>
      <w:r w:rsidR="00A212CF">
        <w:t xml:space="preserve"> and </w:t>
      </w:r>
      <w:r w:rsidR="00DA3E8F">
        <w:t xml:space="preserve">does not recognize that there is </w:t>
      </w:r>
      <w:r w:rsidR="00B84E1D" w:rsidRPr="00B84E1D">
        <w:t>a different</w:t>
      </w:r>
      <w:r w:rsidR="00A212CF">
        <w:t xml:space="preserve"> and more current</w:t>
      </w:r>
      <w:r w:rsidR="00B84E1D" w:rsidRPr="00B84E1D">
        <w:t xml:space="preserve"> legal standard for granting interventions.</w:t>
      </w:r>
      <w:r w:rsidR="00A212CF">
        <w:t xml:space="preserve"> </w:t>
      </w:r>
      <w:r w:rsidR="007C5E95">
        <w:t xml:space="preserve"> </w:t>
      </w:r>
      <w:r w:rsidR="001620A7">
        <w:t>To begin with</w:t>
      </w:r>
      <w:r w:rsidR="006A70D4">
        <w:t xml:space="preserve">, </w:t>
      </w:r>
      <w:r w:rsidR="006A70D4" w:rsidRPr="00740AF6">
        <w:rPr>
          <w:u w:val="single"/>
        </w:rPr>
        <w:t>Cole</w:t>
      </w:r>
      <w:r w:rsidR="006A70D4">
        <w:t xml:space="preserve"> was decided in 1971 under a different </w:t>
      </w:r>
      <w:r w:rsidR="00740AF6">
        <w:t xml:space="preserve">legal </w:t>
      </w:r>
      <w:r w:rsidR="006A70D4">
        <w:t xml:space="preserve">standard </w:t>
      </w:r>
      <w:r w:rsidR="001620A7">
        <w:t>for</w:t>
      </w:r>
      <w:r w:rsidR="006A70D4">
        <w:t xml:space="preserve"> </w:t>
      </w:r>
      <w:r w:rsidR="001620A7">
        <w:t>granting petitions to intervene</w:t>
      </w:r>
      <w:r w:rsidR="006A70D4">
        <w:t>.</w:t>
      </w:r>
      <w:r w:rsidR="007A1ECB">
        <w:rPr>
          <w:rStyle w:val="FootnoteReference"/>
        </w:rPr>
        <w:footnoteReference w:id="12"/>
      </w:r>
      <w:r w:rsidR="006A70D4">
        <w:t xml:space="preserve">  </w:t>
      </w:r>
      <w:r w:rsidR="00740AF6">
        <w:t xml:space="preserve">As such, the Commission has repeatedly and explicitly </w:t>
      </w:r>
      <w:r w:rsidR="001620A7">
        <w:t>stated</w:t>
      </w:r>
      <w:r w:rsidR="00740AF6">
        <w:t xml:space="preserve"> that </w:t>
      </w:r>
      <w:r w:rsidR="00740AF6">
        <w:rPr>
          <w:u w:val="single"/>
        </w:rPr>
        <w:t>Cole</w:t>
      </w:r>
      <w:r w:rsidR="007C5E95">
        <w:t xml:space="preserve"> no longer controls when determining whether to allow</w:t>
      </w:r>
      <w:r w:rsidR="00740AF6">
        <w:t xml:space="preserve"> competitors to i</w:t>
      </w:r>
      <w:r w:rsidR="008E6F7F">
        <w:t>ntervene</w:t>
      </w:r>
      <w:r w:rsidR="007C5E95">
        <w:t xml:space="preserve"> in Commission proceedings.  I</w:t>
      </w:r>
      <w:r w:rsidR="008E6F7F">
        <w:t>n 2001, t</w:t>
      </w:r>
      <w:r w:rsidR="00740AF6">
        <w:t xml:space="preserve">he Commission </w:t>
      </w:r>
      <w:r w:rsidR="0021497E">
        <w:t>succinctly</w:t>
      </w:r>
      <w:r w:rsidR="008F1828">
        <w:t xml:space="preserve"> explained</w:t>
      </w:r>
      <w:r w:rsidR="00740AF6">
        <w:t xml:space="preserve">, </w:t>
      </w:r>
    </w:p>
    <w:p w14:paraId="36D029D5" w14:textId="5AB0D64D" w:rsidR="00740AF6" w:rsidRDefault="00740AF6" w:rsidP="00740AF6">
      <w:pPr>
        <w:pStyle w:val="ListParagraph"/>
        <w:ind w:right="1440"/>
        <w:jc w:val="both"/>
      </w:pPr>
      <w:r w:rsidRPr="000D32D5">
        <w:t xml:space="preserve">We disagree with Commission Staff and PacifiCorp that the </w:t>
      </w:r>
      <w:r w:rsidRPr="00740AF6">
        <w:rPr>
          <w:i/>
        </w:rPr>
        <w:t>Cole</w:t>
      </w:r>
      <w:r w:rsidRPr="000D32D5">
        <w:t xml:space="preserve"> decision controls our decision in this case. </w:t>
      </w:r>
      <w:r>
        <w:t xml:space="preserve"> </w:t>
      </w:r>
      <w:r w:rsidRPr="000D32D5">
        <w:t xml:space="preserve">The </w:t>
      </w:r>
      <w:r w:rsidRPr="00740AF6">
        <w:rPr>
          <w:i/>
        </w:rPr>
        <w:t>Cole</w:t>
      </w:r>
      <w:r w:rsidRPr="000D32D5">
        <w:t xml:space="preserve"> case was decided in 1971, and precedes the adoption of the Administrative Procedure Act. </w:t>
      </w:r>
      <w:r w:rsidR="001B29CB">
        <w:t xml:space="preserve"> </w:t>
      </w:r>
      <w:r w:rsidRPr="00740AF6">
        <w:rPr>
          <w:i/>
        </w:rPr>
        <w:t xml:space="preserve">RCW 34.05.443 </w:t>
      </w:r>
      <w:r w:rsidRPr="000D32D5">
        <w:t>governs intervention and provides broad discretion in granting a petition for intervention.</w:t>
      </w:r>
      <w:r w:rsidRPr="000D32D5">
        <w:rPr>
          <w:vertAlign w:val="superscript"/>
        </w:rPr>
        <w:footnoteReference w:id="13"/>
      </w:r>
    </w:p>
    <w:p w14:paraId="17C099AF" w14:textId="77777777" w:rsidR="00740AF6" w:rsidRDefault="00740AF6" w:rsidP="00740AF6">
      <w:pPr>
        <w:pStyle w:val="ListParagraph"/>
        <w:ind w:right="1440"/>
        <w:jc w:val="both"/>
      </w:pPr>
    </w:p>
    <w:p w14:paraId="1E04D26B" w14:textId="47DC617C" w:rsidR="000B7029" w:rsidRDefault="008F1828" w:rsidP="003A25A5">
      <w:pPr>
        <w:tabs>
          <w:tab w:val="left" w:pos="7830"/>
        </w:tabs>
        <w:spacing w:line="480" w:lineRule="auto"/>
      </w:pPr>
      <w:r>
        <w:t>Washington courts</w:t>
      </w:r>
      <w:r w:rsidR="0021497E">
        <w:t xml:space="preserve"> have also</w:t>
      </w:r>
      <w:r w:rsidR="008E6F7F">
        <w:t xml:space="preserve"> concluded</w:t>
      </w:r>
      <w:r>
        <w:t xml:space="preserve"> that </w:t>
      </w:r>
      <w:r w:rsidR="00740AF6">
        <w:t xml:space="preserve">the APA standard, which governs modern interventions, should be liberally </w:t>
      </w:r>
      <w:r w:rsidR="00864958">
        <w:t>construed to favor interventions</w:t>
      </w:r>
      <w:r w:rsidR="00740AF6">
        <w:t>.</w:t>
      </w:r>
      <w:r w:rsidR="00740AF6">
        <w:rPr>
          <w:rStyle w:val="FootnoteReference"/>
        </w:rPr>
        <w:footnoteReference w:id="14"/>
      </w:r>
      <w:r w:rsidR="00724361">
        <w:t xml:space="preserve"> </w:t>
      </w:r>
    </w:p>
    <w:p w14:paraId="40BC52AC" w14:textId="21E8C6FA" w:rsidR="00341D2C" w:rsidRDefault="00B859C5" w:rsidP="00B859C5">
      <w:pPr>
        <w:pStyle w:val="ListParagraph"/>
        <w:numPr>
          <w:ilvl w:val="0"/>
          <w:numId w:val="27"/>
        </w:numPr>
        <w:spacing w:line="480" w:lineRule="auto"/>
        <w:ind w:hanging="540"/>
      </w:pPr>
      <w:r>
        <w:t xml:space="preserve"> </w:t>
      </w:r>
      <w:r>
        <w:tab/>
      </w:r>
      <w:r w:rsidR="00341D2C">
        <w:t xml:space="preserve">Order 04 specifically cites </w:t>
      </w:r>
      <w:r w:rsidR="00341D2C" w:rsidRPr="00646ED8">
        <w:rPr>
          <w:u w:val="single"/>
        </w:rPr>
        <w:t>Cole</w:t>
      </w:r>
      <w:r w:rsidR="00341D2C">
        <w:t>’s reliance on an antiquated test for establishing the public interest</w:t>
      </w:r>
      <w:r w:rsidR="006C43DC">
        <w:t>:</w:t>
      </w:r>
      <w:r w:rsidR="00341D2C">
        <w:t xml:space="preserve"> </w:t>
      </w:r>
    </w:p>
    <w:p w14:paraId="3E30C4DC" w14:textId="4F629616" w:rsidR="00341D2C" w:rsidRDefault="00341D2C" w:rsidP="003A25A5">
      <w:pPr>
        <w:pStyle w:val="ListParagraph"/>
        <w:ind w:right="720"/>
        <w:jc w:val="both"/>
      </w:pPr>
      <w:r>
        <w:lastRenderedPageBreak/>
        <w:t>[a]lthough RCW 80.01.040(3) demands regulation in the public interest, that mandate is qua</w:t>
      </w:r>
      <w:r w:rsidR="00864958">
        <w:t>lified by the following clause “</w:t>
      </w:r>
      <w:r>
        <w:t>as provided by the public ser</w:t>
      </w:r>
      <w:r w:rsidR="00864958">
        <w:t xml:space="preserve">vice laws </w:t>
      </w:r>
      <w:proofErr w:type="gramStart"/>
      <w:r w:rsidR="00864958">
        <w:t>. . . .</w:t>
      </w:r>
      <w:proofErr w:type="gramEnd"/>
      <w:r w:rsidR="00864958">
        <w:t>”</w:t>
      </w:r>
      <w:r>
        <w:t xml:space="preserve"> </w:t>
      </w:r>
      <w:r w:rsidR="00864958">
        <w:t xml:space="preserve"> </w:t>
      </w:r>
      <w:r>
        <w:t>Appellants fail to point out any section of title 80 which suggests that nonregulated fuel oil dealers are within the jurisdictional concern of the commission.</w:t>
      </w:r>
      <w:r w:rsidR="003758DD">
        <w:rPr>
          <w:rStyle w:val="FootnoteReference"/>
        </w:rPr>
        <w:footnoteReference w:id="15"/>
      </w:r>
    </w:p>
    <w:p w14:paraId="15174099" w14:textId="77777777" w:rsidR="00341D2C" w:rsidRDefault="00341D2C" w:rsidP="00341D2C">
      <w:pPr>
        <w:pStyle w:val="ListParagraph"/>
        <w:ind w:right="720"/>
      </w:pPr>
    </w:p>
    <w:p w14:paraId="70C3E9DA" w14:textId="577EE9E4" w:rsidR="00341D2C" w:rsidRDefault="006C43DC" w:rsidP="00341D2C">
      <w:pPr>
        <w:pStyle w:val="ListParagraph"/>
        <w:spacing w:line="480" w:lineRule="auto"/>
        <w:ind w:left="0"/>
      </w:pPr>
      <w:r>
        <w:t xml:space="preserve">There are, however, numerous </w:t>
      </w:r>
      <w:r w:rsidR="00341D2C">
        <w:t>analogous</w:t>
      </w:r>
      <w:r w:rsidR="006D69D1">
        <w:t xml:space="preserve"> cases</w:t>
      </w:r>
      <w:r w:rsidR="00341D2C">
        <w:t xml:space="preserve"> </w:t>
      </w:r>
      <w:r w:rsidR="006D69D1">
        <w:t xml:space="preserve">in which utilities have </w:t>
      </w:r>
      <w:r w:rsidR="00341D2C">
        <w:t>placed competitive markets at issue and the Commission has repeatedly stated that the public interest is served by</w:t>
      </w:r>
      <w:r w:rsidR="003758DD">
        <w:t xml:space="preserve"> including</w:t>
      </w:r>
      <w:r w:rsidR="00341D2C">
        <w:t xml:space="preserve"> diverse perspectives</w:t>
      </w:r>
      <w:r w:rsidR="003758DD">
        <w:t xml:space="preserve"> from nonregulated parties</w:t>
      </w:r>
      <w:r w:rsidR="00341D2C">
        <w:t>.</w:t>
      </w:r>
      <w:r w:rsidR="00634DDB">
        <w:rPr>
          <w:rStyle w:val="FootnoteReference"/>
        </w:rPr>
        <w:footnoteReference w:id="16"/>
      </w:r>
      <w:r w:rsidR="00341D2C">
        <w:t xml:space="preserve"> </w:t>
      </w:r>
    </w:p>
    <w:p w14:paraId="0876084D" w14:textId="6A8F9733" w:rsidR="000B7029" w:rsidRDefault="003758DD">
      <w:pPr>
        <w:pStyle w:val="ListParagraph"/>
        <w:numPr>
          <w:ilvl w:val="0"/>
          <w:numId w:val="27"/>
        </w:numPr>
        <w:spacing w:line="480" w:lineRule="auto"/>
        <w:ind w:hanging="540"/>
      </w:pPr>
      <w:r>
        <w:t xml:space="preserve"> </w:t>
      </w:r>
      <w:r>
        <w:tab/>
      </w:r>
      <w:r w:rsidR="000B7029">
        <w:t xml:space="preserve">The Commission </w:t>
      </w:r>
      <w:r w:rsidR="0021497E">
        <w:t>has also distinguished</w:t>
      </w:r>
      <w:r w:rsidR="00E87BC2">
        <w:t xml:space="preserve"> between</w:t>
      </w:r>
      <w:r w:rsidR="0021497E">
        <w:t xml:space="preserve"> typical rate cases and cases that involve issues of competition</w:t>
      </w:r>
      <w:r w:rsidR="00061EBA">
        <w:t xml:space="preserve"> when considering whether to allow competitors to intervene in Commission proceedings</w:t>
      </w:r>
      <w:r w:rsidR="0021497E">
        <w:t xml:space="preserve">. </w:t>
      </w:r>
      <w:r w:rsidR="00A101F3">
        <w:t xml:space="preserve"> </w:t>
      </w:r>
      <w:r w:rsidR="00B741B6" w:rsidRPr="00B741B6">
        <w:t xml:space="preserve">The Commission rejected PSE’s reliance upon </w:t>
      </w:r>
      <w:r w:rsidR="00B741B6" w:rsidRPr="00DF6CF0">
        <w:rPr>
          <w:u w:val="single"/>
        </w:rPr>
        <w:t>Cole</w:t>
      </w:r>
      <w:r w:rsidR="00B741B6" w:rsidRPr="00B741B6">
        <w:t xml:space="preserve"> to bar the intervention of the Public Utility District No. 1 of Snohomish County (“Snohomish PUD”), Public Power Council, and Washington Public Utility District Association (“WPUD”) in a consolidated proceeding regarding retail wheeling and the merger of Washington Energy Company and Washington Natural Gas Company with and into Puget Sound Power &amp; Light Company (“PSP&amp;L”).</w:t>
      </w:r>
      <w:r w:rsidR="00B741B6" w:rsidRPr="00B741B6">
        <w:rPr>
          <w:rStyle w:val="FootnoteReference"/>
        </w:rPr>
        <w:footnoteReference w:id="17"/>
      </w:r>
      <w:r w:rsidR="00B741B6" w:rsidRPr="00B741B6">
        <w:t xml:space="preserve">  Snohomish PUD asserted an interest as a competitor of the merged company and sought to address “retail wheeling”.</w:t>
      </w:r>
      <w:r w:rsidR="00B741B6" w:rsidRPr="00B741B6">
        <w:rPr>
          <w:rStyle w:val="FootnoteReference"/>
        </w:rPr>
        <w:footnoteReference w:id="18"/>
      </w:r>
      <w:r w:rsidR="00B741B6" w:rsidRPr="00B741B6">
        <w:t xml:space="preserve">  The WPUDA consisted </w:t>
      </w:r>
      <w:r w:rsidR="00E95420">
        <w:t xml:space="preserve">of </w:t>
      </w:r>
      <w:r w:rsidR="00B741B6" w:rsidRPr="00B741B6">
        <w:t xml:space="preserve">non-regulated competitors of PSP&amp;L and argued its intervention should be granted, in part, because it “would bring a unique perspective to </w:t>
      </w:r>
      <w:r w:rsidR="00B741B6" w:rsidRPr="00B741B6">
        <w:lastRenderedPageBreak/>
        <w:t>this case concerning the impact of the merger on competition.”</w:t>
      </w:r>
      <w:r w:rsidR="00B741B6" w:rsidRPr="00B741B6">
        <w:rPr>
          <w:rStyle w:val="FootnoteReference"/>
        </w:rPr>
        <w:footnoteReference w:id="19"/>
      </w:r>
      <w:r w:rsidR="00B741B6">
        <w:t xml:space="preserve">  </w:t>
      </w:r>
      <w:r w:rsidR="00061EBA">
        <w:t>T</w:t>
      </w:r>
      <w:r w:rsidR="00EA0F5B">
        <w:t>he</w:t>
      </w:r>
      <w:r>
        <w:t xml:space="preserve"> Commission </w:t>
      </w:r>
      <w:r w:rsidR="00B741B6">
        <w:t>granted the interventions reasoning</w:t>
      </w:r>
      <w:r w:rsidR="00EA0F5B">
        <w:t xml:space="preserve">, </w:t>
      </w:r>
    </w:p>
    <w:p w14:paraId="4DC2C2CC" w14:textId="46CD200A" w:rsidR="00EA0F5B" w:rsidRDefault="00EA0F5B" w:rsidP="00EA0F5B">
      <w:pPr>
        <w:pStyle w:val="ListParagraph"/>
        <w:ind w:right="1440"/>
        <w:jc w:val="both"/>
      </w:pPr>
      <w:r w:rsidRPr="00EB48BB">
        <w:t xml:space="preserve">This proceeding raises significant competitive issues beyond those involved in a typical rate case.  </w:t>
      </w:r>
      <w:r w:rsidRPr="00EB48BB">
        <w:rPr>
          <w:b/>
          <w:u w:val="single"/>
        </w:rPr>
        <w:t>The transition from monopoly to retail competition in the electric industry is a basic issue in this proceeding</w:t>
      </w:r>
      <w:r w:rsidRPr="003A25A5">
        <w:t>.</w:t>
      </w:r>
      <w:r w:rsidRPr="00D04F7F">
        <w:t xml:space="preserve">  In this transitional environment, the Commission believes that it is in the public interest for it to be generous in allowing issues on the table.  </w:t>
      </w:r>
      <w:r w:rsidRPr="00EA0F5B">
        <w:rPr>
          <w:b/>
          <w:u w:val="single"/>
        </w:rPr>
        <w:t>WPUDA and other competitors can bring an expertise to the table that may assist the Commission in determining how the merger will affect the Commission policy favoring a competitive model in the electric industry</w:t>
      </w:r>
      <w:r w:rsidRPr="00D04F7F">
        <w:t>.</w:t>
      </w:r>
      <w:r>
        <w:rPr>
          <w:rStyle w:val="FootnoteReference"/>
        </w:rPr>
        <w:footnoteReference w:id="20"/>
      </w:r>
    </w:p>
    <w:p w14:paraId="4652EE28" w14:textId="77777777" w:rsidR="00EA0F5B" w:rsidRDefault="00EA0F5B" w:rsidP="003758DD">
      <w:pPr>
        <w:ind w:right="1440"/>
        <w:jc w:val="both"/>
      </w:pPr>
    </w:p>
    <w:p w14:paraId="19AB014C" w14:textId="77301850" w:rsidR="00B741B6" w:rsidRDefault="003758DD" w:rsidP="00B741B6">
      <w:pPr>
        <w:pStyle w:val="ListParagraph"/>
        <w:numPr>
          <w:ilvl w:val="0"/>
          <w:numId w:val="27"/>
        </w:numPr>
        <w:spacing w:line="480" w:lineRule="auto"/>
        <w:ind w:hanging="540"/>
      </w:pPr>
      <w:r>
        <w:tab/>
      </w:r>
      <w:r w:rsidR="00B741B6">
        <w:t xml:space="preserve">Another illustrative example is when the Commission twice denied PacifiCorp’s attempts, in two different proceedings and over a decade apart, to bar the intervention of Columbia Rural Electric Association, Inc. (“CREA”) in its rate cases by citing </w:t>
      </w:r>
      <w:r w:rsidR="00B741B6" w:rsidRPr="00682F9B">
        <w:rPr>
          <w:u w:val="single"/>
        </w:rPr>
        <w:t>Cole</w:t>
      </w:r>
      <w:r w:rsidR="00B741B6">
        <w:t>.</w:t>
      </w:r>
      <w:r w:rsidR="00B741B6">
        <w:rPr>
          <w:rStyle w:val="FootnoteReference"/>
        </w:rPr>
        <w:footnoteReference w:id="21"/>
      </w:r>
      <w:r w:rsidR="00EB48BB">
        <w:t xml:space="preserve">  CREA and PacifiCorp did</w:t>
      </w:r>
      <w:r w:rsidR="00B741B6">
        <w:t xml:space="preserve"> not have an exclusive service territory agreement, and the cooperative is a direct competitor of PacifiCorp for end use consumers.  Despite the fact that CREA’s primary interest in the cases was the competitive impact of PacifiCorp’s tariffs, which were designed to charge net removal costs upon departing customers, the Commission allowed its intervention on the grounds of it benefiting the public interest.  Judge Moss explained:</w:t>
      </w:r>
    </w:p>
    <w:p w14:paraId="47E56856" w14:textId="140C4952" w:rsidR="00724D37" w:rsidRDefault="00B741B6" w:rsidP="00EE41E4">
      <w:pPr>
        <w:ind w:left="720" w:right="720"/>
        <w:jc w:val="both"/>
      </w:pPr>
      <w:r w:rsidRPr="00EB24B1">
        <w:t>CREA is a competitor of PacifiCorp in Washington. CREA’s concern in this proceeding stems from PacifiCorp’s proposed changes to Schedule 300</w:t>
      </w:r>
      <w:r w:rsidR="00184F78">
        <w:t>. …</w:t>
      </w:r>
      <w:r w:rsidRPr="00EB24B1">
        <w:t xml:space="preserve"> </w:t>
      </w:r>
      <w:r>
        <w:t>[T]</w:t>
      </w:r>
      <w:r w:rsidRPr="00EB24B1">
        <w:t xml:space="preserve">he Commission has a strong interest in seeing that the record is fully developed relative to changes PacifiCorp proposes. CREA’s participation, limited to this issue, may result in a record that more fully informs the Commission on this matter than would be the case without CREA’s participation. The Commission determines for this reason that </w:t>
      </w:r>
      <w:r w:rsidRPr="00EB24B1">
        <w:lastRenderedPageBreak/>
        <w:t>CREA’s participation is in the public interest, which establishes sufficient grounds for allowing it to intervene.</w:t>
      </w:r>
      <w:r>
        <w:rPr>
          <w:rStyle w:val="FootnoteReference"/>
        </w:rPr>
        <w:footnoteReference w:id="22"/>
      </w:r>
      <w:r w:rsidRPr="00EB24B1">
        <w:t xml:space="preserve"> </w:t>
      </w:r>
    </w:p>
    <w:p w14:paraId="0CEE4956" w14:textId="77777777" w:rsidR="00724D37" w:rsidRDefault="001D0D1D" w:rsidP="003A25A5">
      <w:pPr>
        <w:ind w:left="720" w:right="720"/>
        <w:jc w:val="both"/>
      </w:pPr>
      <w:r>
        <w:t xml:space="preserve"> </w:t>
      </w:r>
    </w:p>
    <w:p w14:paraId="6D992618" w14:textId="799B3F89" w:rsidR="00E40968" w:rsidRDefault="008A5ECC" w:rsidP="003A25A5">
      <w:pPr>
        <w:pStyle w:val="ListParagraph"/>
        <w:numPr>
          <w:ilvl w:val="0"/>
          <w:numId w:val="27"/>
        </w:numPr>
        <w:spacing w:line="480" w:lineRule="auto"/>
        <w:ind w:hanging="540"/>
      </w:pPr>
      <w:r>
        <w:tab/>
        <w:t xml:space="preserve">Order 04 did not </w:t>
      </w:r>
      <w:r w:rsidR="00D96E53">
        <w:t xml:space="preserve">specifically </w:t>
      </w:r>
      <w:r>
        <w:t xml:space="preserve">address </w:t>
      </w:r>
      <w:r w:rsidR="00684829">
        <w:t>the PSP&amp;L</w:t>
      </w:r>
      <w:r w:rsidR="002126D4">
        <w:t xml:space="preserve"> merger case or</w:t>
      </w:r>
      <w:r w:rsidR="00AA517A">
        <w:t xml:space="preserve"> PacifiCorp </w:t>
      </w:r>
      <w:r w:rsidR="00DC1221">
        <w:t>net removal cases in which</w:t>
      </w:r>
      <w:r w:rsidR="00DA7FE3">
        <w:t xml:space="preserve"> the issue of </w:t>
      </w:r>
      <w:r w:rsidR="00684829">
        <w:t xml:space="preserve">retail competition was directly at issue.  </w:t>
      </w:r>
      <w:r w:rsidR="00D662F7">
        <w:t>Despite this, t</w:t>
      </w:r>
      <w:r w:rsidR="00E40968" w:rsidRPr="00E40968">
        <w:t xml:space="preserve">hese cases illustrate that it is well within the Commission’s discretion to allow intervention of electric utility competitors, especially when the utility’s filing places the issue </w:t>
      </w:r>
      <w:r w:rsidR="00E95420">
        <w:t xml:space="preserve">of </w:t>
      </w:r>
      <w:r w:rsidR="00E40968" w:rsidRPr="00E40968">
        <w:t>c</w:t>
      </w:r>
      <w:r w:rsidR="00DC5D41">
        <w:t xml:space="preserve">ompetition directly at issue.  </w:t>
      </w:r>
      <w:r w:rsidR="00412391">
        <w:t>In the PSP&amp;L case, the</w:t>
      </w:r>
      <w:r w:rsidR="00E40968" w:rsidRPr="00E40968">
        <w:t xml:space="preserve"> Commission allowed the participation of utility competitors and their trade associations when one of the issues specifically addressed the issues of competition and retail direct access. </w:t>
      </w:r>
      <w:r w:rsidR="00E95420">
        <w:t xml:space="preserve"> </w:t>
      </w:r>
      <w:r w:rsidR="00D662F7">
        <w:t>Similarly, in</w:t>
      </w:r>
      <w:r w:rsidR="00E40968" w:rsidRPr="00E40968">
        <w:t xml:space="preserve"> CREA’s example, PacifiCorp placed at issue the utility’s tariff provisions that could limit the ability of its customers to choose to take service from PacifiCorp’s competitor.</w:t>
      </w:r>
    </w:p>
    <w:p w14:paraId="0D735752" w14:textId="3FB9B8F4" w:rsidR="008A5ECC" w:rsidRDefault="00D662F7" w:rsidP="003A25A5">
      <w:pPr>
        <w:pStyle w:val="ListParagraph"/>
        <w:numPr>
          <w:ilvl w:val="0"/>
          <w:numId w:val="27"/>
        </w:numPr>
        <w:spacing w:line="480" w:lineRule="auto"/>
        <w:ind w:hanging="540"/>
      </w:pPr>
      <w:r>
        <w:tab/>
      </w:r>
      <w:r w:rsidRPr="00D662F7">
        <w:t xml:space="preserve">In this proceeding, retail access and competition are not just one of a number of relevant issues, but they are the central, if not only, issues.  </w:t>
      </w:r>
      <w:r>
        <w:t>However, u</w:t>
      </w:r>
      <w:r w:rsidR="00E02824">
        <w:t xml:space="preserve">nlike the PSP&amp;L merger, </w:t>
      </w:r>
      <w:r w:rsidR="001B7E9E">
        <w:t xml:space="preserve">this proceeding is not generally focused on the transition from monopoly regulation to retail access, but on the approval of a specific utility proposed tariff.  NIPPC does </w:t>
      </w:r>
      <w:r w:rsidR="001B7E9E" w:rsidRPr="003A25A5">
        <w:rPr>
          <w:b/>
          <w:u w:val="single"/>
        </w:rPr>
        <w:t>not</w:t>
      </w:r>
      <w:r w:rsidR="001B7E9E">
        <w:t xml:space="preserve"> intend</w:t>
      </w:r>
      <w:r w:rsidR="00F74530">
        <w:t xml:space="preserve"> </w:t>
      </w:r>
      <w:r w:rsidR="00E95420">
        <w:t xml:space="preserve">to </w:t>
      </w:r>
      <w:r w:rsidR="00F74530">
        <w:t>address the potential</w:t>
      </w:r>
      <w:r w:rsidR="00F74530" w:rsidRPr="00F74530">
        <w:t xml:space="preserve"> transition from monopoly to retail competition in the electric industry </w:t>
      </w:r>
      <w:r w:rsidR="00F74530">
        <w:t>and is generally supportive of PSE’s proposed Schedule 451</w:t>
      </w:r>
      <w:r w:rsidR="00F74530" w:rsidRPr="00F74530">
        <w:t>.</w:t>
      </w:r>
      <w:r w:rsidR="00303D69">
        <w:t xml:space="preserve">  Instead, NIPPC’s intends to ensur</w:t>
      </w:r>
      <w:r w:rsidR="00E95420">
        <w:t>e</w:t>
      </w:r>
      <w:r w:rsidR="00A5281C">
        <w:t xml:space="preserve"> that </w:t>
      </w:r>
      <w:r w:rsidR="00303D69">
        <w:t xml:space="preserve">(if approved) </w:t>
      </w:r>
      <w:r w:rsidR="00A5281C">
        <w:t>Schedule 451 works, has the right eligibility criteria for customer participation, and</w:t>
      </w:r>
      <w:r w:rsidR="00303D69">
        <w:t xml:space="preserve"> does not result in</w:t>
      </w:r>
      <w:r w:rsidR="00A5281C">
        <w:t xml:space="preserve"> jurisdictional or regulatory consequences that either harm the program</w:t>
      </w:r>
      <w:r w:rsidR="00303D69">
        <w:t xml:space="preserve">’s success or </w:t>
      </w:r>
      <w:r w:rsidR="00A5281C">
        <w:t xml:space="preserve">remaining ratepayers.  </w:t>
      </w:r>
      <w:r w:rsidR="004B0237">
        <w:t>The more limited nature of this proceeding focusing on the nuts and bolts of an actual retail wheeling tariff</w:t>
      </w:r>
      <w:r w:rsidR="002C6189">
        <w:t xml:space="preserve"> provides greater support for the need to have NIPPC in this </w:t>
      </w:r>
      <w:r w:rsidR="002C6189">
        <w:lastRenderedPageBreak/>
        <w:t>proceeding because it</w:t>
      </w:r>
      <w:r w:rsidR="005C093B">
        <w:t xml:space="preserve"> is the only party with a</w:t>
      </w:r>
      <w:r w:rsidR="001A73B2">
        <w:t xml:space="preserve"> depth of </w:t>
      </w:r>
      <w:r w:rsidR="00AB5AD4">
        <w:t xml:space="preserve">experience </w:t>
      </w:r>
      <w:r w:rsidR="005C093B">
        <w:t>with</w:t>
      </w:r>
      <w:r w:rsidR="00AB5AD4">
        <w:t xml:space="preserve"> </w:t>
      </w:r>
      <w:r w:rsidR="00FA25A0" w:rsidRPr="00FA25A0">
        <w:t>both successful and fa</w:t>
      </w:r>
      <w:r w:rsidR="001A528A">
        <w:t>il</w:t>
      </w:r>
      <w:r w:rsidR="001A73B2">
        <w:t>ed retail wheeling pr</w:t>
      </w:r>
      <w:r w:rsidR="002C6189">
        <w:t>ograms</w:t>
      </w:r>
      <w:r w:rsidR="001A73B2">
        <w:t>.</w:t>
      </w:r>
    </w:p>
    <w:p w14:paraId="70CCADFC" w14:textId="77258F26" w:rsidR="00064746" w:rsidRDefault="00FA25A0" w:rsidP="003A25A5">
      <w:pPr>
        <w:pStyle w:val="ListParagraph"/>
        <w:numPr>
          <w:ilvl w:val="0"/>
          <w:numId w:val="27"/>
        </w:numPr>
        <w:spacing w:line="480" w:lineRule="auto"/>
        <w:ind w:hanging="540"/>
      </w:pPr>
      <w:r>
        <w:tab/>
      </w:r>
      <w:r w:rsidR="00064746" w:rsidRPr="00064746">
        <w:t xml:space="preserve">The Commission recently allowed the intervention of PSE’s competitors, the Washington State Heating, Ventilation, and Air Conditioning Contractors Association and the Western Washington Chapter of the Sheet Metal and Air Conditioning Contractors National Association despite PSE’s same </w:t>
      </w:r>
      <w:r w:rsidR="00064746" w:rsidRPr="00064746">
        <w:rPr>
          <w:u w:val="single"/>
        </w:rPr>
        <w:t>Cole</w:t>
      </w:r>
      <w:r w:rsidR="00064746" w:rsidRPr="00064746">
        <w:t xml:space="preserve"> argument.</w:t>
      </w:r>
      <w:r w:rsidR="00064746" w:rsidRPr="00064746">
        <w:rPr>
          <w:vertAlign w:val="superscript"/>
        </w:rPr>
        <w:footnoteReference w:id="23"/>
      </w:r>
      <w:r w:rsidR="00064746" w:rsidRPr="00064746">
        <w:t xml:space="preserve">  The Commission concluded “that both of the HVAC associations have a substantial interest in the subject matter of the proceeding and that their participation is in the public interest.”</w:t>
      </w:r>
      <w:r w:rsidR="00064746" w:rsidRPr="00064746">
        <w:rPr>
          <w:vertAlign w:val="superscript"/>
        </w:rPr>
        <w:footnoteReference w:id="24"/>
      </w:r>
      <w:r w:rsidR="00064746" w:rsidRPr="00064746">
        <w:t xml:space="preserve">  The Commission concluded that PSE’s filing implicated the market for HVAC equipment and “PSE has placed the HVAC equipment market at issue in this proceeding.”</w:t>
      </w:r>
      <w:r w:rsidR="00064746" w:rsidRPr="00064746">
        <w:rPr>
          <w:vertAlign w:val="superscript"/>
        </w:rPr>
        <w:footnoteReference w:id="25"/>
      </w:r>
      <w:r w:rsidR="00064746" w:rsidRPr="00064746">
        <w:t xml:space="preserve"> </w:t>
      </w:r>
    </w:p>
    <w:p w14:paraId="54CBC2D7" w14:textId="6106C859" w:rsidR="00127D50" w:rsidRDefault="00064746" w:rsidP="003A25A5">
      <w:pPr>
        <w:pStyle w:val="ListParagraph"/>
        <w:numPr>
          <w:ilvl w:val="0"/>
          <w:numId w:val="27"/>
        </w:numPr>
        <w:spacing w:line="480" w:lineRule="auto"/>
        <w:ind w:hanging="540"/>
      </w:pPr>
      <w:r>
        <w:tab/>
        <w:t>Order 04</w:t>
      </w:r>
      <w:r w:rsidR="00E23D73">
        <w:t xml:space="preserve"> </w:t>
      </w:r>
      <w:r w:rsidR="006E526B">
        <w:t>distinguished this case on the grounds that “</w:t>
      </w:r>
      <w:r w:rsidR="000A12AD">
        <w:t>[</w:t>
      </w:r>
      <w:r w:rsidR="006E526B">
        <w:t>n</w:t>
      </w:r>
      <w:r w:rsidR="000A12AD">
        <w:t>]</w:t>
      </w:r>
      <w:r w:rsidR="006E526B" w:rsidRPr="006E526B">
        <w:t>either NIPPC nor PSE claim that the Company wishes to enter the independent power producer market or that the Company has raised any issue with the adequacy of the independent power producers’ service.</w:t>
      </w:r>
      <w:r w:rsidR="006E526B">
        <w:t>”</w:t>
      </w:r>
      <w:r w:rsidR="006E526B">
        <w:rPr>
          <w:rStyle w:val="FootnoteReference"/>
        </w:rPr>
        <w:footnoteReference w:id="26"/>
      </w:r>
      <w:r w:rsidR="006E526B">
        <w:t xml:space="preserve">  </w:t>
      </w:r>
      <w:r w:rsidR="005D5455">
        <w:t xml:space="preserve">The </w:t>
      </w:r>
      <w:r w:rsidR="00B87FE8">
        <w:t xml:space="preserve">most important </w:t>
      </w:r>
      <w:r w:rsidR="005D5455">
        <w:t xml:space="preserve">question is not whether PSE wants to enter the </w:t>
      </w:r>
      <w:r w:rsidR="008A4BE6">
        <w:t xml:space="preserve">independent power producers’ </w:t>
      </w:r>
      <w:r w:rsidR="005D5455">
        <w:t>market</w:t>
      </w:r>
      <w:r w:rsidR="005A27BE">
        <w:t xml:space="preserve">, but </w:t>
      </w:r>
      <w:r w:rsidR="00127D50">
        <w:t xml:space="preserve">the impact </w:t>
      </w:r>
      <w:r w:rsidR="00090E17">
        <w:t>on eligible</w:t>
      </w:r>
      <w:r w:rsidR="00934CBE">
        <w:t xml:space="preserve"> customers</w:t>
      </w:r>
      <w:r w:rsidR="00B87FE8">
        <w:t xml:space="preserve"> and the ability of power suppliers to serve them</w:t>
      </w:r>
      <w:r w:rsidR="00934CBE">
        <w:t xml:space="preserve">.  </w:t>
      </w:r>
      <w:r w:rsidR="00090E17">
        <w:t xml:space="preserve">PSE’s customers will be entering the competitive market, and </w:t>
      </w:r>
      <w:r w:rsidR="00B61868">
        <w:t>Schedule 451</w:t>
      </w:r>
      <w:r w:rsidR="00B87FE8">
        <w:t xml:space="preserve"> </w:t>
      </w:r>
      <w:r w:rsidR="008A4BE6">
        <w:t xml:space="preserve">must be </w:t>
      </w:r>
      <w:r w:rsidR="00B87FE8">
        <w:t xml:space="preserve">correctly designed to </w:t>
      </w:r>
      <w:r w:rsidR="00FC588E">
        <w:t xml:space="preserve">ensure that power suppliers can appropriately serve eligible customers </w:t>
      </w:r>
      <w:r w:rsidR="00B95587">
        <w:t>under the Commission’s laws and policies</w:t>
      </w:r>
      <w:r w:rsidR="00FC588E">
        <w:t>.</w:t>
      </w:r>
      <w:r w:rsidR="00B95587">
        <w:t xml:space="preserve">  </w:t>
      </w:r>
      <w:r w:rsidR="00127D50">
        <w:t xml:space="preserve">Contrary to Order 04, NIPPC is raising concerns about the adequacy of </w:t>
      </w:r>
      <w:r w:rsidR="00127D50">
        <w:lastRenderedPageBreak/>
        <w:t xml:space="preserve">independent power producers service because, if not properly designed, then power suppliers will be unable to serve Schedule 451 customers.  </w:t>
      </w:r>
    </w:p>
    <w:p w14:paraId="4DF641BF" w14:textId="483FE98E" w:rsidR="00BC0F90" w:rsidRDefault="00127D50" w:rsidP="003A25A5">
      <w:pPr>
        <w:pStyle w:val="ListParagraph"/>
        <w:numPr>
          <w:ilvl w:val="0"/>
          <w:numId w:val="27"/>
        </w:numPr>
        <w:spacing w:line="480" w:lineRule="auto"/>
        <w:ind w:hanging="540"/>
      </w:pPr>
      <w:r>
        <w:tab/>
      </w:r>
      <w:r w:rsidR="00B95587">
        <w:t xml:space="preserve">NIPPC would expect that the Commission would encourage and invite </w:t>
      </w:r>
      <w:r w:rsidR="00295EB7">
        <w:t xml:space="preserve">to participate in </w:t>
      </w:r>
      <w:r w:rsidR="00953476">
        <w:t>a</w:t>
      </w:r>
      <w:r w:rsidR="00295EB7">
        <w:t xml:space="preserve"> regulatory proceeding to set the terms and conditions for this particular retail wheeling program</w:t>
      </w:r>
      <w:r w:rsidR="004B0237">
        <w:t xml:space="preserve"> </w:t>
      </w:r>
      <w:r w:rsidR="004B0237" w:rsidRPr="004B0237">
        <w:t>those</w:t>
      </w:r>
      <w:r w:rsidR="004B0237">
        <w:t xml:space="preserve"> very</w:t>
      </w:r>
      <w:r w:rsidR="004B0237" w:rsidRPr="004B0237">
        <w:t xml:space="preserve"> parties whose participation is </w:t>
      </w:r>
      <w:r w:rsidR="004B0237" w:rsidRPr="004B0237">
        <w:rPr>
          <w:b/>
          <w:u w:val="single"/>
        </w:rPr>
        <w:t>required</w:t>
      </w:r>
      <w:r w:rsidR="004B0237">
        <w:t xml:space="preserve"> to ensure that </w:t>
      </w:r>
      <w:r w:rsidR="00953476">
        <w:t>it</w:t>
      </w:r>
      <w:r w:rsidR="004B0237">
        <w:t xml:space="preserve"> will actually</w:t>
      </w:r>
      <w:r w:rsidR="004B0237" w:rsidRPr="004B0237">
        <w:t xml:space="preserve"> be successful</w:t>
      </w:r>
      <w:r w:rsidR="00295EB7">
        <w:t>.</w:t>
      </w:r>
      <w:r w:rsidR="00FC588E">
        <w:t xml:space="preserve">  </w:t>
      </w:r>
      <w:r w:rsidR="00295EB7">
        <w:t xml:space="preserve">In short, </w:t>
      </w:r>
      <w:r w:rsidR="00B73E9A">
        <w:t xml:space="preserve">PSE’s filing has placed at issues competition and the adequacy of the competitive market related to its customers’ needs, which is what NIPPC is uniquely qualified to address.   </w:t>
      </w:r>
    </w:p>
    <w:p w14:paraId="276DB9AE" w14:textId="74FCFEF3" w:rsidR="00D7026B" w:rsidRDefault="008544D2" w:rsidP="003A25A5">
      <w:pPr>
        <w:pStyle w:val="ListParagraph"/>
        <w:numPr>
          <w:ilvl w:val="0"/>
          <w:numId w:val="27"/>
        </w:numPr>
        <w:spacing w:line="480" w:lineRule="auto"/>
        <w:ind w:hanging="540"/>
      </w:pPr>
      <w:r>
        <w:tab/>
      </w:r>
      <w:r w:rsidR="00D7026B">
        <w:t xml:space="preserve">A careful review of the specific issues raised by PSE in </w:t>
      </w:r>
      <w:r w:rsidR="00170F19">
        <w:t>its</w:t>
      </w:r>
      <w:r w:rsidR="00170F19" w:rsidRPr="00623E73">
        <w:t xml:space="preserve"> </w:t>
      </w:r>
      <w:r w:rsidR="00623E73" w:rsidRPr="00623E73">
        <w:t>Advice Letter, the direct testimony of PSE witness Jon Piliaris, and the direct testimony of Microsoft</w:t>
      </w:r>
      <w:r w:rsidR="00382018">
        <w:t xml:space="preserve"> witness Irene Plenefisch identifies issues</w:t>
      </w:r>
      <w:r w:rsidR="00623E73" w:rsidRPr="00623E73">
        <w:t xml:space="preserve"> related to retail access, alternative power suppliers, retail and wholesale markets, transmission service, and stranded costs front and center of the proceeding.  </w:t>
      </w:r>
      <w:r>
        <w:t>For example,</w:t>
      </w:r>
      <w:r w:rsidR="00623E73" w:rsidRPr="00623E73">
        <w:t xml:space="preserve">  </w:t>
      </w:r>
      <w:r>
        <w:t>a</w:t>
      </w:r>
      <w:r w:rsidR="00623E73" w:rsidRPr="00623E73">
        <w:t xml:space="preserve"> key issue raised by PSE’s Advice Filing is “Alternative Power Suppliers and Supplied Power.”</w:t>
      </w:r>
      <w:r w:rsidR="00623E73" w:rsidRPr="00623E73">
        <w:rPr>
          <w:vertAlign w:val="superscript"/>
        </w:rPr>
        <w:footnoteReference w:id="27"/>
      </w:r>
      <w:r w:rsidR="00623E73" w:rsidRPr="00623E73">
        <w:t xml:space="preserve">  Service under Schedule 451 will occur when the eligible customer arranges to purchase power from non-PSE power suppliers in specific amounts and consistent with the terms and billing arrangements specified in the rate schedule.</w:t>
      </w:r>
      <w:r w:rsidR="00623E73" w:rsidRPr="00623E73">
        <w:rPr>
          <w:vertAlign w:val="superscript"/>
        </w:rPr>
        <w:footnoteReference w:id="28"/>
      </w:r>
      <w:r w:rsidR="00623E73" w:rsidRPr="00623E73">
        <w:t xml:space="preserve">  As explained by PSE witness Jon Piliaris “Power supply is arranged directly between the customer and their supplier.”</w:t>
      </w:r>
      <w:r w:rsidR="00623E73" w:rsidRPr="00623E73">
        <w:rPr>
          <w:vertAlign w:val="superscript"/>
        </w:rPr>
        <w:footnoteReference w:id="29"/>
      </w:r>
      <w:r w:rsidR="00623E73" w:rsidRPr="00623E73">
        <w:t xml:space="preserve">  </w:t>
      </w:r>
      <w:r w:rsidR="002F4AF9">
        <w:t>T</w:t>
      </w:r>
      <w:r w:rsidR="00623E73" w:rsidRPr="00623E73">
        <w:t xml:space="preserve">here is no party that represents the interests of alternative power suppliers or who better understands how or whether PSE’s Schedule 451 can be successfully used to provide alternative supplied power to eligible customers than NIPPC. </w:t>
      </w:r>
    </w:p>
    <w:p w14:paraId="386D9C9B" w14:textId="04815595" w:rsidR="00D7026B" w:rsidRDefault="00D7026B" w:rsidP="003A25A5">
      <w:pPr>
        <w:pStyle w:val="ListParagraph"/>
        <w:numPr>
          <w:ilvl w:val="0"/>
          <w:numId w:val="27"/>
        </w:numPr>
        <w:spacing w:line="480" w:lineRule="auto"/>
        <w:ind w:hanging="540"/>
      </w:pPr>
      <w:r>
        <w:lastRenderedPageBreak/>
        <w:tab/>
      </w:r>
      <w:r w:rsidR="00623E73" w:rsidRPr="00623E73">
        <w:t>NIPPC could provide unique elucidation on nearly all the other issues in this case.  PSE has proposed specific eligibility of service requirements,</w:t>
      </w:r>
      <w:r w:rsidR="00623E73" w:rsidRPr="00623E73">
        <w:rPr>
          <w:vertAlign w:val="superscript"/>
        </w:rPr>
        <w:footnoteReference w:id="30"/>
      </w:r>
      <w:r w:rsidR="00623E73" w:rsidRPr="00623E73">
        <w:t xml:space="preserve"> and NIPPC’s members have worked on direct access eligibility criteria in numerous states and can bring invaluable perspectives.   Other issues identified by PSE and Microsoft include the risk of market prices and stranded costs.</w:t>
      </w:r>
      <w:r w:rsidR="00623E73" w:rsidRPr="00623E73">
        <w:rPr>
          <w:vertAlign w:val="superscript"/>
        </w:rPr>
        <w:footnoteReference w:id="31"/>
      </w:r>
      <w:r w:rsidR="00623E73" w:rsidRPr="00623E73">
        <w:t xml:space="preserve">  As the only parties in this case that own significant amounts of non-utility generation that ha</w:t>
      </w:r>
      <w:r w:rsidR="00892DDC">
        <w:t>s</w:t>
      </w:r>
      <w:r w:rsidR="00623E73" w:rsidRPr="00623E73">
        <w:t xml:space="preserve"> survived the vagaries of the power market, NIPPC’s members endow NIPPC with specialized and relevant knowledge on these topics. </w:t>
      </w:r>
    </w:p>
    <w:p w14:paraId="7A4D0A2D" w14:textId="13EA8DBE" w:rsidR="00623E73" w:rsidRDefault="00D7026B" w:rsidP="003A25A5">
      <w:pPr>
        <w:pStyle w:val="ListParagraph"/>
        <w:numPr>
          <w:ilvl w:val="0"/>
          <w:numId w:val="27"/>
        </w:numPr>
        <w:spacing w:line="480" w:lineRule="auto"/>
        <w:ind w:hanging="540"/>
      </w:pPr>
      <w:r>
        <w:tab/>
      </w:r>
      <w:r w:rsidR="00623E73" w:rsidRPr="00623E73">
        <w:t>Microsoft’s testimony also illustrates the ways in which NIPPC’s participation will benefit both customers and the Commission.  Microsoft witness Irene Plenefisch explains that Microsoft engages with “independent power producers to identify sources of reliable, affordable, sustainable energy” and wants to continue those efforts in Washington.</w:t>
      </w:r>
      <w:r w:rsidR="00623E73" w:rsidRPr="00623E73">
        <w:rPr>
          <w:vertAlign w:val="superscript"/>
        </w:rPr>
        <w:footnoteReference w:id="32"/>
      </w:r>
      <w:r w:rsidR="00623E73" w:rsidRPr="00623E73">
        <w:t xml:space="preserve">  Ms. Plenefisch further explained that: “Microsoft, however, is capable of and wishes to select its own suppliers, enter into contracts with them, and assume the related risks and benefits”</w:t>
      </w:r>
      <w:r w:rsidR="00623E73" w:rsidRPr="00623E73">
        <w:rPr>
          <w:vertAlign w:val="superscript"/>
        </w:rPr>
        <w:footnoteReference w:id="33"/>
      </w:r>
      <w:r w:rsidR="00623E73" w:rsidRPr="00623E73">
        <w:t xml:space="preserve"> and “wants more certainty in its pricing and can achieve more certainty by conducting its own procurement process . . . .”</w:t>
      </w:r>
      <w:r w:rsidR="00623E73" w:rsidRPr="00623E73">
        <w:rPr>
          <w:vertAlign w:val="superscript"/>
        </w:rPr>
        <w:footnoteReference w:id="34"/>
      </w:r>
      <w:r w:rsidR="00623E73" w:rsidRPr="00623E73">
        <w:t xml:space="preserve">  As representing the interests of independent power producers and marketers in promoting competitive markets, NIPPC has unique knowledge about whether and how Microsoft and other eligible customers’ goals can be achieved. </w:t>
      </w:r>
      <w:r w:rsidR="00623E73">
        <w:t xml:space="preserve"> </w:t>
      </w:r>
    </w:p>
    <w:p w14:paraId="6E236049" w14:textId="77777777" w:rsidR="00B25162" w:rsidRPr="00064746" w:rsidRDefault="00B25162" w:rsidP="00B25162">
      <w:pPr>
        <w:spacing w:line="480" w:lineRule="auto"/>
      </w:pPr>
    </w:p>
    <w:p w14:paraId="13664198" w14:textId="0FD589B7" w:rsidR="008A4BE6" w:rsidRDefault="00170F19" w:rsidP="00CD760E">
      <w:pPr>
        <w:pStyle w:val="ListParagraph"/>
        <w:numPr>
          <w:ilvl w:val="0"/>
          <w:numId w:val="28"/>
        </w:numPr>
        <w:ind w:hanging="720"/>
        <w:rPr>
          <w:b/>
        </w:rPr>
      </w:pPr>
      <w:r>
        <w:rPr>
          <w:b/>
        </w:rPr>
        <w:lastRenderedPageBreak/>
        <w:t xml:space="preserve">NIPPC’s Participation is Within the </w:t>
      </w:r>
      <w:r w:rsidR="00FA3408" w:rsidRPr="00ED0639">
        <w:rPr>
          <w:b/>
        </w:rPr>
        <w:t>Substantial Interest</w:t>
      </w:r>
      <w:r>
        <w:rPr>
          <w:b/>
        </w:rPr>
        <w:t xml:space="preserve"> Because </w:t>
      </w:r>
      <w:r w:rsidR="008A4BE6">
        <w:rPr>
          <w:b/>
        </w:rPr>
        <w:t xml:space="preserve">Schedule 451 Invokes NIPPC’s Purpose and Could Directly Impact NIPPC’s Members </w:t>
      </w:r>
    </w:p>
    <w:p w14:paraId="291F8983" w14:textId="54EF2196" w:rsidR="00FA3408" w:rsidRPr="00ED0639" w:rsidRDefault="00FA3408" w:rsidP="008A4BE6">
      <w:pPr>
        <w:pStyle w:val="ListParagraph"/>
        <w:rPr>
          <w:b/>
        </w:rPr>
      </w:pPr>
      <w:r w:rsidRPr="00ED0639">
        <w:rPr>
          <w:b/>
        </w:rPr>
        <w:tab/>
      </w:r>
    </w:p>
    <w:p w14:paraId="1559AC06" w14:textId="61151945" w:rsidR="000D731B" w:rsidRDefault="00FA3408" w:rsidP="00FA3408">
      <w:pPr>
        <w:pStyle w:val="ListParagraph"/>
        <w:numPr>
          <w:ilvl w:val="0"/>
          <w:numId w:val="27"/>
        </w:numPr>
        <w:spacing w:line="480" w:lineRule="auto"/>
        <w:ind w:hanging="540"/>
      </w:pPr>
      <w:r>
        <w:tab/>
      </w:r>
      <w:r w:rsidR="002757B1" w:rsidRPr="002757B1">
        <w:t xml:space="preserve">PSE has placed the retail market at issue in this proceeding and has designed a tariff upon which the participation of alternative power suppliers is required, which provides NIPPC and its members a substantial interest.  NIPPC also has standing because its members could be directly harmed by the terms and conditions of Schedule 451 if the tariff allows only certain </w:t>
      </w:r>
      <w:r w:rsidR="00BE4688">
        <w:t>participants,</w:t>
      </w:r>
      <w:r w:rsidR="002757B1" w:rsidRPr="002757B1">
        <w:t xml:space="preserve"> unlawfully discriminates between particular non-utility power suppliers</w:t>
      </w:r>
      <w:r w:rsidR="00843531">
        <w:t>,</w:t>
      </w:r>
      <w:r w:rsidR="00423DC4">
        <w:t xml:space="preserve"> or if it is designed in a way that subjects NIPPC’s members to the Commission’s jurisdiction</w:t>
      </w:r>
      <w:r w:rsidR="002757B1" w:rsidRPr="002757B1">
        <w:t>.</w:t>
      </w:r>
      <w:r w:rsidR="00423DC4">
        <w:t xml:space="preserve"> </w:t>
      </w:r>
      <w:r w:rsidR="002757B1" w:rsidRPr="002757B1">
        <w:t xml:space="preserve"> </w:t>
      </w:r>
      <w:r>
        <w:t>It is well established that independent power producers can participate in Commission proceedings when their substantial interest is impacted.  The Commission has explained that “public policy favors the inclusion of individuals and organizations in administrative matters affecting their interests.”</w:t>
      </w:r>
      <w:r>
        <w:rPr>
          <w:rStyle w:val="FootnoteReference"/>
        </w:rPr>
        <w:footnoteReference w:id="35"/>
      </w:r>
      <w:r>
        <w:t xml:space="preserve">  </w:t>
      </w:r>
    </w:p>
    <w:p w14:paraId="0514A063" w14:textId="5C59520F" w:rsidR="00853475" w:rsidRDefault="00843531" w:rsidP="00170F19">
      <w:pPr>
        <w:pStyle w:val="ListParagraph"/>
        <w:numPr>
          <w:ilvl w:val="0"/>
          <w:numId w:val="27"/>
        </w:numPr>
        <w:spacing w:line="480" w:lineRule="auto"/>
        <w:ind w:hanging="540"/>
      </w:pPr>
      <w:r>
        <w:tab/>
        <w:t>While it is a</w:t>
      </w:r>
      <w:r w:rsidR="008551F5">
        <w:t xml:space="preserve"> different legal standard than the </w:t>
      </w:r>
      <w:r w:rsidR="00170F19">
        <w:t xml:space="preserve">Commission’s </w:t>
      </w:r>
      <w:r w:rsidR="008551F5">
        <w:t>substantial interest test, a</w:t>
      </w:r>
      <w:r w:rsidR="008551F5" w:rsidRPr="008551F5">
        <w:t xml:space="preserve"> person whose interests may be adversely affected by an order has standing to obtain or to participate in an adjudicative proceeding.  An </w:t>
      </w:r>
      <w:r w:rsidR="008551F5" w:rsidRPr="00170F19">
        <w:rPr>
          <w:iCs/>
        </w:rPr>
        <w:t>order</w:t>
      </w:r>
      <w:r w:rsidR="008551F5" w:rsidRPr="008551F5">
        <w:t xml:space="preserve"> is “a written statement of particular applicability that finally determines the legal rights, duties, privileges, immunities, or other legal interests of a specific person or persons.”</w:t>
      </w:r>
      <w:r w:rsidR="008551F5" w:rsidRPr="008551F5">
        <w:rPr>
          <w:vertAlign w:val="superscript"/>
        </w:rPr>
        <w:footnoteReference w:id="36"/>
      </w:r>
      <w:r w:rsidR="008551F5" w:rsidRPr="008551F5">
        <w:t xml:space="preserve">  A party has standing to challenge an order when it directly impacts their interest, they are within the statue’s zone of interest and they have sufficient facts to demonstrate an injury in fact.</w:t>
      </w:r>
      <w:r w:rsidR="008551F5" w:rsidRPr="008551F5">
        <w:rPr>
          <w:vertAlign w:val="superscript"/>
        </w:rPr>
        <w:footnoteReference w:id="37"/>
      </w:r>
    </w:p>
    <w:p w14:paraId="6AFAE5F9" w14:textId="2CA6931D" w:rsidR="003A25A5" w:rsidRDefault="003A25A5" w:rsidP="003A25A5">
      <w:pPr>
        <w:pStyle w:val="ListParagraph"/>
        <w:numPr>
          <w:ilvl w:val="0"/>
          <w:numId w:val="27"/>
        </w:numPr>
        <w:spacing w:line="480" w:lineRule="auto"/>
        <w:ind w:hanging="540"/>
      </w:pPr>
      <w:r>
        <w:lastRenderedPageBreak/>
        <w:tab/>
      </w:r>
      <w:r w:rsidR="00AA19BA">
        <w:t xml:space="preserve">The Supreme Court of Washington, following the United States Supreme Court, </w:t>
      </w:r>
      <w:r w:rsidR="003357A1" w:rsidRPr="003357A1">
        <w:t xml:space="preserve">“routinely recognizes probable economic injury resulting from agency actions that alter competitive conditions as sufficient to satisfy” </w:t>
      </w:r>
      <w:r w:rsidR="00AA19BA">
        <w:t>standing</w:t>
      </w:r>
      <w:r w:rsidR="003357A1" w:rsidRPr="003357A1">
        <w:t>.</w:t>
      </w:r>
      <w:r w:rsidR="00AA19BA">
        <w:rPr>
          <w:rStyle w:val="FootnoteReference"/>
        </w:rPr>
        <w:footnoteReference w:id="38"/>
      </w:r>
      <w:r w:rsidR="003357A1" w:rsidRPr="003357A1">
        <w:t xml:space="preserve"> </w:t>
      </w:r>
      <w:r w:rsidR="00AA19BA">
        <w:t xml:space="preserve"> </w:t>
      </w:r>
      <w:r w:rsidR="009F6B60">
        <w:t xml:space="preserve">The Commission </w:t>
      </w:r>
      <w:r w:rsidR="004F7DDF">
        <w:t>has</w:t>
      </w:r>
      <w:r w:rsidR="009F6B60">
        <w:t xml:space="preserve"> </w:t>
      </w:r>
      <w:r w:rsidR="00AA19BA">
        <w:t xml:space="preserve">likewise applied the </w:t>
      </w:r>
      <w:r w:rsidR="00C91B38">
        <w:t>federal</w:t>
      </w:r>
      <w:r w:rsidR="00FD1051">
        <w:t xml:space="preserve"> “</w:t>
      </w:r>
      <w:r w:rsidR="009F6B60">
        <w:t>zone of interest</w:t>
      </w:r>
      <w:r w:rsidR="00FD1051">
        <w:t>”</w:t>
      </w:r>
      <w:r w:rsidR="009F6B60">
        <w:t xml:space="preserve"> </w:t>
      </w:r>
      <w:r w:rsidR="008C4B26">
        <w:t xml:space="preserve">test </w:t>
      </w:r>
      <w:r w:rsidR="00AA19BA">
        <w:t xml:space="preserve">to determine </w:t>
      </w:r>
      <w:r w:rsidR="00FD1051">
        <w:t>standing</w:t>
      </w:r>
      <w:r w:rsidR="0069255A">
        <w:t xml:space="preserve"> </w:t>
      </w:r>
      <w:r w:rsidR="00FD1051">
        <w:t xml:space="preserve">and to inform </w:t>
      </w:r>
      <w:r w:rsidR="00927CB1">
        <w:t>its</w:t>
      </w:r>
      <w:r w:rsidR="008C4B26">
        <w:t xml:space="preserve"> substantial interest</w:t>
      </w:r>
      <w:r w:rsidR="004F7DDF">
        <w:t xml:space="preserve"> </w:t>
      </w:r>
      <w:r w:rsidR="00FD1051">
        <w:t xml:space="preserve">test. </w:t>
      </w:r>
      <w:r w:rsidR="0069255A">
        <w:t xml:space="preserve"> </w:t>
      </w:r>
      <w:r w:rsidR="00C91B38">
        <w:t xml:space="preserve">The </w:t>
      </w:r>
      <w:r w:rsidR="00FD1051">
        <w:t xml:space="preserve">zone of interest test addresses </w:t>
      </w:r>
      <w:r w:rsidR="004F7DDF">
        <w:t xml:space="preserve">whether the interest sought to be protected was within the zone of interest protected by the statute.  </w:t>
      </w:r>
      <w:r w:rsidR="00995E36">
        <w:t>Th</w:t>
      </w:r>
      <w:r w:rsidR="00170F19">
        <w:t>is</w:t>
      </w:r>
      <w:r w:rsidR="00995E36">
        <w:t xml:space="preserve"> test</w:t>
      </w:r>
      <w:r w:rsidR="00113FC8">
        <w:t>,</w:t>
      </w:r>
      <w:r w:rsidR="00995E36">
        <w:t xml:space="preserve"> however, is “not meant to be especially demanding” and has been broadly construed</w:t>
      </w:r>
      <w:r w:rsidR="00C91B38">
        <w:t xml:space="preserve"> to apply unless expressly negated</w:t>
      </w:r>
      <w:r w:rsidR="00995E36">
        <w:t>.</w:t>
      </w:r>
      <w:r w:rsidR="00995E36">
        <w:rPr>
          <w:rStyle w:val="FootnoteReference"/>
        </w:rPr>
        <w:footnoteReference w:id="39"/>
      </w:r>
    </w:p>
    <w:p w14:paraId="1CE0279A" w14:textId="70BCF065" w:rsidR="00853475" w:rsidRDefault="00853475">
      <w:pPr>
        <w:pStyle w:val="ListParagraph"/>
        <w:numPr>
          <w:ilvl w:val="0"/>
          <w:numId w:val="27"/>
        </w:numPr>
        <w:spacing w:line="480" w:lineRule="auto"/>
        <w:ind w:hanging="540"/>
      </w:pPr>
      <w:r>
        <w:tab/>
      </w:r>
      <w:r w:rsidRPr="00853475">
        <w:t>PSE’s Schedule 451 is specifically designed to set the conditions for which alternative power suppliers can sell power to eligible customers, providing NIPPC and its members a substantial interest in the outcome of this proceeding.  PSE has decided to no longer sell power to otherwise eligible customers, and allowing alternative power suppliers to fulfill this need.</w:t>
      </w:r>
      <w:r w:rsidRPr="00853475">
        <w:rPr>
          <w:vertAlign w:val="superscript"/>
        </w:rPr>
        <w:footnoteReference w:id="40"/>
      </w:r>
      <w:r w:rsidRPr="00853475">
        <w:t xml:space="preserve"> </w:t>
      </w:r>
    </w:p>
    <w:p w14:paraId="7929896D" w14:textId="065C6D48" w:rsidR="00853475" w:rsidRDefault="00853475">
      <w:pPr>
        <w:pStyle w:val="ListParagraph"/>
        <w:numPr>
          <w:ilvl w:val="0"/>
          <w:numId w:val="27"/>
        </w:numPr>
        <w:spacing w:line="480" w:lineRule="auto"/>
        <w:ind w:hanging="540"/>
      </w:pPr>
      <w:r>
        <w:tab/>
      </w:r>
      <w:r w:rsidRPr="00853475">
        <w:t xml:space="preserve">NIPPC’s members </w:t>
      </w:r>
      <w:r w:rsidR="008A4BE6" w:rsidRPr="00853475">
        <w:t xml:space="preserve">could be </w:t>
      </w:r>
      <w:r w:rsidRPr="00853475">
        <w:t>direct</w:t>
      </w:r>
      <w:r w:rsidR="008A4BE6">
        <w:t>ly</w:t>
      </w:r>
      <w:r w:rsidRPr="00853475">
        <w:t xml:space="preserve"> harm</w:t>
      </w:r>
      <w:r w:rsidR="008A4BE6">
        <w:t>ed</w:t>
      </w:r>
      <w:r w:rsidRPr="00853475">
        <w:t xml:space="preserve"> </w:t>
      </w:r>
      <w:r w:rsidR="008A4BE6">
        <w:t xml:space="preserve">by </w:t>
      </w:r>
      <w:r w:rsidRPr="00853475">
        <w:t xml:space="preserve">Schedule 451’s terms, conditions, and requirements that </w:t>
      </w:r>
      <w:r w:rsidR="008A4BE6">
        <w:t>may</w:t>
      </w:r>
      <w:r w:rsidR="008A4BE6" w:rsidRPr="00853475">
        <w:t xml:space="preserve"> </w:t>
      </w:r>
      <w:r w:rsidRPr="00853475">
        <w:t xml:space="preserve">allow some, but not other, alternative power suppliers to sell power to Microsoft and other eligible customers.  Thus, the Commission’s decision in this case will not have just a generic impact on market competition, but will directly determine the rights and responsibilities of specific companies.  If these alternative power supplies or their regional industry representative are unable to participate in this case, </w:t>
      </w:r>
      <w:r w:rsidRPr="00853475">
        <w:lastRenderedPageBreak/>
        <w:t xml:space="preserve">then they will have no ability </w:t>
      </w:r>
      <w:r w:rsidR="00170F19">
        <w:t xml:space="preserve">to </w:t>
      </w:r>
      <w:r w:rsidRPr="00853475">
        <w:t>challenge or otherwise participate in a proceeding that directly impacts their interest and causes an injury in fact.</w:t>
      </w:r>
    </w:p>
    <w:p w14:paraId="39EB3C29" w14:textId="7D9972C5" w:rsidR="00FA3408" w:rsidRPr="005B38EB" w:rsidRDefault="00A261A8">
      <w:pPr>
        <w:pStyle w:val="ListParagraph"/>
        <w:numPr>
          <w:ilvl w:val="0"/>
          <w:numId w:val="27"/>
        </w:numPr>
        <w:spacing w:line="480" w:lineRule="auto"/>
        <w:ind w:hanging="540"/>
      </w:pPr>
      <w:r>
        <w:tab/>
      </w:r>
      <w:r w:rsidR="00853475">
        <w:t xml:space="preserve">An example is the </w:t>
      </w:r>
      <w:r w:rsidR="00FA3408">
        <w:t>Ren</w:t>
      </w:r>
      <w:r w:rsidR="00853475">
        <w:t>ewable Energy Coalition’s intervention</w:t>
      </w:r>
      <w:r w:rsidR="00FA3408">
        <w:t xml:space="preserve"> Docket No. UE-144160 when Pacific Power &amp; Light (“Pacific Power”) proposed major revisions to its methodology for calculating avoided cost rates, including a proposal to eliminate capacity payments.</w:t>
      </w:r>
      <w:r w:rsidR="00FA3408" w:rsidRPr="00A261A8">
        <w:rPr>
          <w:rFonts w:eastAsia="Cambria"/>
        </w:rPr>
        <w:t xml:space="preserve">  Although Renewable Energy Coalition is comprised of small power producers selling power to Pacific Power as qualifying facilities, the Commission determined it had established a substantial interest in the proceeding.</w:t>
      </w:r>
      <w:r w:rsidR="00FA3408">
        <w:rPr>
          <w:rStyle w:val="FootnoteReference"/>
          <w:rFonts w:eastAsia="Cambria"/>
        </w:rPr>
        <w:footnoteReference w:id="41"/>
      </w:r>
      <w:r w:rsidR="00FA3408" w:rsidRPr="00A261A8">
        <w:rPr>
          <w:rFonts w:eastAsia="Cambria"/>
        </w:rPr>
        <w:t xml:space="preserve">  This is analogous to the instant case, where the ability of </w:t>
      </w:r>
      <w:r w:rsidR="00170F19">
        <w:rPr>
          <w:rFonts w:eastAsia="Cambria"/>
        </w:rPr>
        <w:t>independent power producers</w:t>
      </w:r>
      <w:r w:rsidR="00170F19" w:rsidRPr="00A261A8">
        <w:rPr>
          <w:rFonts w:eastAsia="Cambria"/>
        </w:rPr>
        <w:t xml:space="preserve"> </w:t>
      </w:r>
      <w:r w:rsidR="00FA3408" w:rsidRPr="00A261A8">
        <w:rPr>
          <w:rFonts w:eastAsia="Cambria"/>
        </w:rPr>
        <w:t xml:space="preserve">to sell power to direct access customers could be impacted by this proceeding.   </w:t>
      </w:r>
    </w:p>
    <w:p w14:paraId="106FB502" w14:textId="13509A29" w:rsidR="00FA3408" w:rsidRPr="005B38EB" w:rsidRDefault="00FA3408" w:rsidP="00FA3408">
      <w:pPr>
        <w:pStyle w:val="ListParagraph"/>
        <w:numPr>
          <w:ilvl w:val="0"/>
          <w:numId w:val="27"/>
        </w:numPr>
        <w:spacing w:line="480" w:lineRule="auto"/>
        <w:ind w:hanging="540"/>
      </w:pPr>
      <w:r>
        <w:t xml:space="preserve"> </w:t>
      </w:r>
      <w:r>
        <w:tab/>
      </w:r>
      <w:r w:rsidR="00EE4C22">
        <w:t>In PSE</w:t>
      </w:r>
      <w:r w:rsidR="00170F19">
        <w:t>’s</w:t>
      </w:r>
      <w:r w:rsidR="00EE4C22">
        <w:t xml:space="preserve"> HVAC case cited above</w:t>
      </w:r>
      <w:r>
        <w:t>, the Commission determined that because PSE placed the market at issue, non-customer intervenors had a substantial interest in the proceeding</w:t>
      </w:r>
      <w:r w:rsidR="00FF24EF">
        <w:t xml:space="preserve"> as well as being in the public interest</w:t>
      </w:r>
      <w:r>
        <w:t>.</w:t>
      </w:r>
      <w:r w:rsidR="00EE4C22">
        <w:t xml:space="preserve"> </w:t>
      </w:r>
      <w:r>
        <w:t xml:space="preserve"> PSE’s objected to the interventions of its competitors making substantially the same arguments it relies on here.</w:t>
      </w:r>
      <w:r>
        <w:rPr>
          <w:rStyle w:val="FootnoteReference"/>
        </w:rPr>
        <w:footnoteReference w:id="42"/>
      </w:r>
      <w:r>
        <w:t xml:space="preserve">  The Commission, however, determined that the associations had a substantial interest</w:t>
      </w:r>
      <w:r w:rsidR="00271634">
        <w:t>,</w:t>
      </w:r>
      <w:r w:rsidR="00EE4C22">
        <w:t xml:space="preserve"> reasoning</w:t>
      </w:r>
      <w:r>
        <w:t xml:space="preserve">, “PSE has placed the HVAC equipment market at issue in this proceeding” and that market would directly impact its competitors.  </w:t>
      </w:r>
      <w:r w:rsidR="00FF24EF">
        <w:t xml:space="preserve">As explained in more detail above, </w:t>
      </w:r>
      <w:r>
        <w:t>PSE proposed direct access program similarly places the competitive power market at issue an</w:t>
      </w:r>
      <w:r w:rsidR="00FF24EF">
        <w:t>d directly impacts its competitors</w:t>
      </w:r>
      <w:r>
        <w:t xml:space="preserve">.  </w:t>
      </w:r>
    </w:p>
    <w:p w14:paraId="48C79231" w14:textId="757B9B69" w:rsidR="00FA3408" w:rsidRDefault="00FA3408" w:rsidP="00FA3408">
      <w:pPr>
        <w:pStyle w:val="ListParagraph"/>
        <w:numPr>
          <w:ilvl w:val="0"/>
          <w:numId w:val="27"/>
        </w:numPr>
        <w:spacing w:line="480" w:lineRule="auto"/>
        <w:ind w:hanging="540"/>
      </w:pPr>
      <w:r>
        <w:rPr>
          <w:rFonts w:eastAsia="Cambria"/>
        </w:rPr>
        <w:t xml:space="preserve"> </w:t>
      </w:r>
      <w:r>
        <w:rPr>
          <w:rFonts w:eastAsia="Cambria"/>
        </w:rPr>
        <w:tab/>
      </w:r>
      <w:r w:rsidR="00271634">
        <w:rPr>
          <w:rFonts w:eastAsia="Cambria"/>
        </w:rPr>
        <w:t>Thus, independent of how NIPPC’s participation will benefit customers and the public interest, NIPPC itself has</w:t>
      </w:r>
      <w:r>
        <w:rPr>
          <w:rFonts w:eastAsia="Cambria"/>
        </w:rPr>
        <w:t xml:space="preserve"> a substantial interest in this proceeding because the </w:t>
      </w:r>
      <w:r>
        <w:rPr>
          <w:rFonts w:eastAsia="Cambria"/>
        </w:rPr>
        <w:lastRenderedPageBreak/>
        <w:t xml:space="preserve">Commission is setting terms and conditions for </w:t>
      </w:r>
      <w:r w:rsidR="006E76F0">
        <w:rPr>
          <w:rFonts w:eastAsia="Cambria"/>
        </w:rPr>
        <w:t xml:space="preserve">them to sell power under </w:t>
      </w:r>
      <w:r>
        <w:rPr>
          <w:rFonts w:eastAsia="Cambria"/>
        </w:rPr>
        <w:t xml:space="preserve">PSE’s direct access program. </w:t>
      </w:r>
      <w:r w:rsidR="00A31ED4">
        <w:rPr>
          <w:rFonts w:eastAsia="Cambria"/>
        </w:rPr>
        <w:t xml:space="preserve"> </w:t>
      </w:r>
      <w:r>
        <w:rPr>
          <w:rFonts w:eastAsia="Cambria"/>
        </w:rPr>
        <w:t xml:space="preserve">These terms and conditions of PSE’s direct access program will govern whether NIPPC’s members can participate in PSE’s direct access program. </w:t>
      </w:r>
      <w:r>
        <w:t xml:space="preserve"> </w:t>
      </w:r>
    </w:p>
    <w:p w14:paraId="2B403679" w14:textId="435C9C18" w:rsidR="00FA3408" w:rsidRDefault="00FA3408" w:rsidP="00FA3408">
      <w:pPr>
        <w:pStyle w:val="ListParagraph"/>
        <w:numPr>
          <w:ilvl w:val="0"/>
          <w:numId w:val="27"/>
        </w:numPr>
        <w:spacing w:line="480" w:lineRule="auto"/>
        <w:ind w:hanging="540"/>
      </w:pPr>
      <w:r>
        <w:t xml:space="preserve"> </w:t>
      </w:r>
      <w:r>
        <w:tab/>
        <w:t>In addition to wheeling concerns, this proceeding is also of int</w:t>
      </w:r>
      <w:r w:rsidR="002C53A5">
        <w:t>erest to NIPPC because it may</w:t>
      </w:r>
      <w:r w:rsidR="00F45967">
        <w:t xml:space="preserve"> to address whether its members</w:t>
      </w:r>
      <w:r>
        <w:t xml:space="preserve"> may be subjected to Commission jurisdiction.  Uncertainty remains as to whether any of </w:t>
      </w:r>
      <w:r>
        <w:rPr>
          <w:rFonts w:eastAsia="Cambria"/>
        </w:rPr>
        <w:t>NIPPC’s members who may be selling power to end-use consumers should be considered “power suppl</w:t>
      </w:r>
      <w:r w:rsidR="003520C0">
        <w:rPr>
          <w:rFonts w:eastAsia="Cambria"/>
        </w:rPr>
        <w:t xml:space="preserve">iers” under PSE’s Schedule 451.  </w:t>
      </w:r>
      <w:r>
        <w:t xml:space="preserve">The Commission has already been asked to consider whether PSE’s direct </w:t>
      </w:r>
      <w:r w:rsidR="002C53A5">
        <w:t>access program could subject independent power supplier</w:t>
      </w:r>
      <w:r>
        <w:t>s to Com</w:t>
      </w:r>
      <w:r w:rsidR="002C53A5">
        <w:t>mission regulation and may</w:t>
      </w:r>
      <w:r>
        <w:t xml:space="preserve"> do so again in this proceeding.  As such, it hardly seems equitable to prevent parties who may ultimately be regulated by this proceeding from participating in it.    </w:t>
      </w:r>
    </w:p>
    <w:p w14:paraId="59767D2C" w14:textId="30CC5157" w:rsidR="00FA3408" w:rsidRDefault="00FA3408" w:rsidP="00FA3408">
      <w:pPr>
        <w:pStyle w:val="ListParagraph"/>
        <w:numPr>
          <w:ilvl w:val="0"/>
          <w:numId w:val="27"/>
        </w:numPr>
        <w:spacing w:line="480" w:lineRule="auto"/>
        <w:ind w:hanging="540"/>
      </w:pPr>
      <w:r>
        <w:t xml:space="preserve"> </w:t>
      </w:r>
      <w:r>
        <w:tab/>
        <w:t xml:space="preserve">For example, in 2001, the Commission was asked whether power suppliers would be subject to the Commission jurisdiction under PSE’s proposed direct access program. In </w:t>
      </w:r>
      <w:r w:rsidRPr="000F0B8D">
        <w:rPr>
          <w:u w:val="single"/>
        </w:rPr>
        <w:t>Air Liquide America Corp. v. PSE</w:t>
      </w:r>
      <w:r>
        <w:t>,</w:t>
      </w:r>
      <w:r>
        <w:rPr>
          <w:rStyle w:val="FootnoteReference"/>
        </w:rPr>
        <w:footnoteReference w:id="43"/>
      </w:r>
      <w:r>
        <w:t xml:space="preserve"> parties asked the Commission to affirmatively declare that power suppliers were not subject to Commission jurisdiction.  Parties argued that such a declaration was essential to promote competitive supply because </w:t>
      </w:r>
      <w:r w:rsidR="00FB6F80">
        <w:t xml:space="preserve">independent power producers </w:t>
      </w:r>
      <w:r>
        <w:t>would otherwise be reluctant to participate.  Ultimately th</w:t>
      </w:r>
      <w:r w:rsidR="00344FF9">
        <w:t xml:space="preserve">e parties stipulated to present a </w:t>
      </w:r>
      <w:proofErr w:type="gramStart"/>
      <w:r w:rsidR="00344FF9">
        <w:t>more</w:t>
      </w:r>
      <w:r>
        <w:t xml:space="preserve"> narrow</w:t>
      </w:r>
      <w:proofErr w:type="gramEnd"/>
      <w:r>
        <w:t xml:space="preserve"> question to the Commission</w:t>
      </w:r>
      <w:r w:rsidR="00DC0868">
        <w:t>,</w:t>
      </w:r>
      <w:r>
        <w:t xml:space="preserve"> and the Commission declined to fully address the original broader question.  Thus, to date the Commission has only clarified that “the simple act of selling power to a customer under Schedule 449 is not, by itself, sufficient to bring the seller within our jurisdiction.”</w:t>
      </w:r>
      <w:r>
        <w:rPr>
          <w:rStyle w:val="FootnoteReference"/>
        </w:rPr>
        <w:footnoteReference w:id="44"/>
      </w:r>
      <w:r>
        <w:t xml:space="preserve">  </w:t>
      </w:r>
    </w:p>
    <w:p w14:paraId="337F1B8E" w14:textId="58FEFEBC" w:rsidR="000B2EB5" w:rsidRDefault="00FA3408" w:rsidP="003A25A5">
      <w:pPr>
        <w:pStyle w:val="ListParagraph"/>
        <w:numPr>
          <w:ilvl w:val="0"/>
          <w:numId w:val="27"/>
        </w:numPr>
        <w:spacing w:line="480" w:lineRule="auto"/>
        <w:ind w:hanging="540"/>
      </w:pPr>
      <w:r>
        <w:lastRenderedPageBreak/>
        <w:t xml:space="preserve"> </w:t>
      </w:r>
      <w:r>
        <w:tab/>
        <w:t>In th</w:t>
      </w:r>
      <w:r w:rsidR="001423F1">
        <w:t xml:space="preserve">is </w:t>
      </w:r>
      <w:r>
        <w:t>proceeding, Staff has already raised the issue of jurisdictional and regulatory consequences of approval.  Because the Commission declined to address whether a retail whe</w:t>
      </w:r>
      <w:r w:rsidR="00254335">
        <w:t>eling program could subject power suppliers</w:t>
      </w:r>
      <w:r>
        <w:t xml:space="preserve"> to Commission jurisdiction, uncertainty remains as to whether NIPPC’s members may be implicated by this proceeding.</w:t>
      </w:r>
      <w:r w:rsidR="003A5958">
        <w:t xml:space="preserve">  NIPPC does</w:t>
      </w:r>
      <w:r w:rsidR="00E863D7">
        <w:t xml:space="preserve"> not understand how its members do not have a substantial interest in having a voice in establishing</w:t>
      </w:r>
      <w:r w:rsidR="003A5958">
        <w:t xml:space="preserve"> terms and conditions related to a retail wheeling program that </w:t>
      </w:r>
      <w:r w:rsidR="00254335">
        <w:t>would allow</w:t>
      </w:r>
      <w:r w:rsidR="002F275E">
        <w:t xml:space="preserve"> them to sell power to end use customers in a manner that </w:t>
      </w:r>
      <w:r w:rsidR="003A5958">
        <w:t>do</w:t>
      </w:r>
      <w:r w:rsidR="002F275E">
        <w:t>es</w:t>
      </w:r>
      <w:r w:rsidR="003A5958">
        <w:t xml:space="preserve"> not require them to become Commission regulated entities</w:t>
      </w:r>
      <w:r w:rsidR="002F275E">
        <w:t>.</w:t>
      </w:r>
      <w:r w:rsidR="00E863D7">
        <w:t xml:space="preserve"> </w:t>
      </w:r>
      <w:r>
        <w:t xml:space="preserve"> </w:t>
      </w:r>
    </w:p>
    <w:p w14:paraId="751303ED" w14:textId="77777777" w:rsidR="000B2EB5" w:rsidRDefault="000B2EB5" w:rsidP="003A25A5">
      <w:pPr>
        <w:pStyle w:val="ListParagraph"/>
        <w:numPr>
          <w:ilvl w:val="0"/>
          <w:numId w:val="27"/>
        </w:numPr>
        <w:spacing w:line="480" w:lineRule="auto"/>
        <w:ind w:hanging="540"/>
      </w:pPr>
      <w:r>
        <w:tab/>
      </w:r>
      <w:r w:rsidRPr="000B2EB5">
        <w:t>NIPPC is not aware of any jurisdiction in which the entities that sell power and will participate in a retail access program are not permitted to participate.  For example, Oregon has a retail access program that has specific administratively determined policies regarding eligibility of energy service suppliers that sell power to end use consumers, eligibility of retail customers to participate, and stranded cost and benefits calculations.</w:t>
      </w:r>
      <w:r w:rsidRPr="000B2EB5">
        <w:rPr>
          <w:vertAlign w:val="superscript"/>
        </w:rPr>
        <w:footnoteReference w:id="45"/>
      </w:r>
      <w:r w:rsidRPr="000B2EB5">
        <w:t xml:space="preserve">  NIPPC and individual independent power suppliers that sell to end use customers frequently participate in those proceedings without opposition.</w:t>
      </w:r>
      <w:r w:rsidRPr="000B2EB5">
        <w:rPr>
          <w:vertAlign w:val="superscript"/>
        </w:rPr>
        <w:t xml:space="preserve"> </w:t>
      </w:r>
      <w:r w:rsidRPr="000B2EB5">
        <w:rPr>
          <w:vertAlign w:val="superscript"/>
        </w:rPr>
        <w:footnoteReference w:id="46"/>
      </w:r>
      <w:r w:rsidRPr="000B2EB5">
        <w:t xml:space="preserve">  </w:t>
      </w:r>
    </w:p>
    <w:p w14:paraId="492076C7" w14:textId="6A21E6F7" w:rsidR="000B2EB5" w:rsidRDefault="000B2EB5" w:rsidP="00CD760E">
      <w:pPr>
        <w:pStyle w:val="ListParagraph"/>
        <w:numPr>
          <w:ilvl w:val="0"/>
          <w:numId w:val="27"/>
        </w:numPr>
        <w:spacing w:line="480" w:lineRule="auto"/>
        <w:ind w:hanging="540"/>
      </w:pPr>
      <w:r>
        <w:lastRenderedPageBreak/>
        <w:tab/>
      </w:r>
      <w:r w:rsidRPr="000B2EB5">
        <w:t>The participation of direct access eligible customers</w:t>
      </w:r>
      <w:r w:rsidR="007E3624">
        <w:t xml:space="preserve"> and Staff</w:t>
      </w:r>
      <w:r w:rsidRPr="000B2EB5">
        <w:t xml:space="preserve"> has not been sufficient to fully address issues related to the reasonableness of Oregon’s direct access program.  </w:t>
      </w:r>
      <w:r w:rsidR="007E3624">
        <w:t>Thus, Order 04’s suggestion that Staff elect to hire a NIPPC witness is insufficient to fully protect NIPPC’s interests.</w:t>
      </w:r>
      <w:r w:rsidR="00E6741C">
        <w:rPr>
          <w:rStyle w:val="FootnoteReference"/>
        </w:rPr>
        <w:footnoteReference w:id="47"/>
      </w:r>
      <w:r w:rsidR="007E3624">
        <w:t xml:space="preserve">  </w:t>
      </w:r>
      <w:r w:rsidRPr="000B2EB5">
        <w:t>For example, eligible retail access customers have at times been active in addressing the reasonableness of the terms of the utilities programs.</w:t>
      </w:r>
      <w:r w:rsidRPr="000B2EB5">
        <w:rPr>
          <w:vertAlign w:val="superscript"/>
        </w:rPr>
        <w:footnoteReference w:id="48"/>
      </w:r>
      <w:r w:rsidRPr="000B2EB5">
        <w:t xml:space="preserve">  However, in other cases they have deferred to energy service suppliers to identify and litigate retail access issues because they have more experience and understanding regarding how the programs actually work.</w:t>
      </w:r>
      <w:r w:rsidRPr="000B2EB5">
        <w:rPr>
          <w:vertAlign w:val="superscript"/>
        </w:rPr>
        <w:footnoteReference w:id="49"/>
      </w:r>
      <w:r w:rsidRPr="000B2EB5">
        <w:t xml:space="preserve">  Without the participation and expertise of entities that sell power to retail customers, it would be nearly impossible to adequately investigate and address whether the retail access programs are consistent with the law and the interest of remaining customers.  </w:t>
      </w:r>
    </w:p>
    <w:p w14:paraId="6675A9E7" w14:textId="52BFF1F3" w:rsidR="005E08D4" w:rsidRPr="005E08D4" w:rsidRDefault="005E08D4" w:rsidP="00E6741C">
      <w:pPr>
        <w:pStyle w:val="ListParagraph"/>
        <w:numPr>
          <w:ilvl w:val="0"/>
          <w:numId w:val="28"/>
        </w:numPr>
        <w:spacing w:line="480" w:lineRule="auto"/>
        <w:ind w:hanging="720"/>
        <w:rPr>
          <w:b/>
        </w:rPr>
      </w:pPr>
      <w:r>
        <w:rPr>
          <w:b/>
        </w:rPr>
        <w:t>Confidentiality Concerns</w:t>
      </w:r>
      <w:r w:rsidR="00EC3D47">
        <w:rPr>
          <w:b/>
        </w:rPr>
        <w:t xml:space="preserve"> Should Not Bar NIPPC’s Intervention</w:t>
      </w:r>
      <w:r w:rsidRPr="003115F3">
        <w:rPr>
          <w:b/>
        </w:rPr>
        <w:t xml:space="preserve">  </w:t>
      </w:r>
    </w:p>
    <w:p w14:paraId="4F268C90" w14:textId="46EFBC59" w:rsidR="004C23A4" w:rsidRDefault="005E08D4" w:rsidP="00CD760E">
      <w:pPr>
        <w:pStyle w:val="ListParagraph"/>
        <w:numPr>
          <w:ilvl w:val="0"/>
          <w:numId w:val="27"/>
        </w:numPr>
        <w:spacing w:line="480" w:lineRule="auto"/>
        <w:ind w:hanging="540"/>
      </w:pPr>
      <w:r>
        <w:t xml:space="preserve"> </w:t>
      </w:r>
      <w:r>
        <w:tab/>
      </w:r>
      <w:r w:rsidR="004C23A4">
        <w:t xml:space="preserve"> </w:t>
      </w:r>
      <w:r w:rsidR="004C23A4" w:rsidRPr="004C23A4">
        <w:t xml:space="preserve">Order 04 also makes reference to a need to balance NIPPC’s interest in participation against PSE and Microsoft’s confidentiality concerns, which can be easily managed.  The concerns were not formally raised by PSE or Microsoft in written </w:t>
      </w:r>
      <w:r w:rsidR="004C23A4" w:rsidRPr="004C23A4">
        <w:lastRenderedPageBreak/>
        <w:t>pleadings, but NIP</w:t>
      </w:r>
      <w:r w:rsidR="000113E7">
        <w:t xml:space="preserve">PC generally understands </w:t>
      </w:r>
      <w:r w:rsidR="004C23A4" w:rsidRPr="004C23A4">
        <w:t xml:space="preserve">the concern is that NIPPC or its members may view PSE’s or Microsoft’s confidential commercial or load information.  This issue was never raised in the context of granting NIPPC’s intervention, and there should be no confidentiality concerns because NIPPC’s </w:t>
      </w:r>
      <w:r w:rsidR="00134FB1">
        <w:t xml:space="preserve">staff </w:t>
      </w:r>
      <w:r w:rsidR="004C23A4" w:rsidRPr="004C23A4">
        <w:t>and members will not have access to confidential material</w:t>
      </w:r>
      <w:r w:rsidR="00134FB1">
        <w:t xml:space="preserve">. </w:t>
      </w:r>
      <w:r w:rsidR="00AD5B5D">
        <w:t xml:space="preserve"> </w:t>
      </w:r>
      <w:r w:rsidR="000113E7">
        <w:t xml:space="preserve">NIPPC </w:t>
      </w:r>
      <w:r w:rsidR="004C23A4" w:rsidRPr="004C23A4">
        <w:t xml:space="preserve">frequently intervenes in cases with confidential material and these concerns have never been a problem before.  </w:t>
      </w:r>
    </w:p>
    <w:p w14:paraId="3252041E" w14:textId="22E8E466" w:rsidR="004C23A4" w:rsidRDefault="004C23A4" w:rsidP="00CD760E">
      <w:pPr>
        <w:pStyle w:val="ListParagraph"/>
        <w:numPr>
          <w:ilvl w:val="0"/>
          <w:numId w:val="27"/>
        </w:numPr>
        <w:spacing w:line="480" w:lineRule="auto"/>
        <w:ind w:hanging="540"/>
      </w:pPr>
      <w:r>
        <w:tab/>
      </w:r>
      <w:r w:rsidRPr="004C23A4">
        <w:t xml:space="preserve">As a matter of principle, NIPPC’s </w:t>
      </w:r>
      <w:r w:rsidR="00134FB1">
        <w:t>staff</w:t>
      </w:r>
      <w:r w:rsidRPr="004C23A4">
        <w:t xml:space="preserve"> and members do not sign confidentiality agreements in regulatory proceedings, and NIPPC will not have any of its </w:t>
      </w:r>
      <w:r w:rsidR="00134FB1">
        <w:t>staff</w:t>
      </w:r>
      <w:r w:rsidRPr="004C23A4">
        <w:t xml:space="preserve"> or members review any confidential information in this case.  As they never will see any confidential material, there should be no concerns about this information being viewed by parties who are competitors of PSE or potential power suppliers to Schedule 451 customers.</w:t>
      </w:r>
    </w:p>
    <w:p w14:paraId="023043B9" w14:textId="1CE972DC" w:rsidR="004C23A4" w:rsidRDefault="004C23A4" w:rsidP="00CD760E">
      <w:pPr>
        <w:pStyle w:val="ListParagraph"/>
        <w:numPr>
          <w:ilvl w:val="0"/>
          <w:numId w:val="27"/>
        </w:numPr>
        <w:spacing w:line="480" w:lineRule="auto"/>
        <w:ind w:hanging="540"/>
      </w:pPr>
      <w:r>
        <w:tab/>
      </w:r>
      <w:r w:rsidRPr="004C23A4">
        <w:t>NIPPC and its attorneys have been involved in numerous regulatory proceedings with both confidential and highly confidential material without any allegations of improper access or any harm or undue limitation on NIPPC’s part</w:t>
      </w:r>
      <w:r w:rsidR="00184A6F">
        <w:t>icipation in the proceedings.</w:t>
      </w:r>
      <w:r w:rsidRPr="004C23A4">
        <w:t xml:space="preserve">  For example, NIPPC recently actively participated with both PacifiCorp and Portland General Electric on their renewable request for proposal design cases, which included review of the highly confidential results of PacifiCorp’s competitive bidding process.</w:t>
      </w:r>
      <w:r w:rsidRPr="004C23A4">
        <w:rPr>
          <w:vertAlign w:val="superscript"/>
        </w:rPr>
        <w:footnoteReference w:id="50"/>
      </w:r>
      <w:r w:rsidRPr="004C23A4">
        <w:t xml:space="preserve">  NIPPC has also reviewed without controvers</w:t>
      </w:r>
      <w:r w:rsidR="00134FB1">
        <w:t>y</w:t>
      </w:r>
      <w:r w:rsidRPr="004C23A4">
        <w:t xml:space="preserve"> confidential and highly confidential material in numerous proceedings over the last decade.</w:t>
      </w:r>
      <w:r w:rsidRPr="004C23A4">
        <w:rPr>
          <w:vertAlign w:val="superscript"/>
        </w:rPr>
        <w:footnoteReference w:id="51"/>
      </w:r>
      <w:r w:rsidRPr="004C23A4">
        <w:t xml:space="preserve">  </w:t>
      </w:r>
    </w:p>
    <w:p w14:paraId="2B164B46" w14:textId="6717F6FF" w:rsidR="004C23A4" w:rsidRDefault="004C23A4" w:rsidP="00CD760E">
      <w:pPr>
        <w:pStyle w:val="ListParagraph"/>
        <w:numPr>
          <w:ilvl w:val="0"/>
          <w:numId w:val="27"/>
        </w:numPr>
        <w:spacing w:line="480" w:lineRule="auto"/>
        <w:ind w:hanging="540"/>
      </w:pPr>
      <w:r>
        <w:lastRenderedPageBreak/>
        <w:tab/>
      </w:r>
      <w:r w:rsidRPr="004C23A4">
        <w:t>Depending on the scope of the case, NIPPC’s attorney and any consultants may or may not need access to confidential material and NIPPC’s lawyers will not be reviewing any highly confidential material regardless of the case’s scope.  The key issues that NIPPC is concerned about include the terms and conditions for power suppliers, customer eligibility requirements, regulatory c</w:t>
      </w:r>
      <w:r w:rsidR="00184A6F">
        <w:t>onsequences, and stranded costs.  A</w:t>
      </w:r>
      <w:r w:rsidRPr="004C23A4">
        <w:t xml:space="preserve">t this point it is unclear whether NIPPC will need to review confidential material in order to address those issues.   </w:t>
      </w:r>
    </w:p>
    <w:p w14:paraId="7038353B" w14:textId="77777777" w:rsidR="004C23A4" w:rsidRDefault="004C23A4" w:rsidP="00CD760E">
      <w:pPr>
        <w:pStyle w:val="ListParagraph"/>
        <w:numPr>
          <w:ilvl w:val="0"/>
          <w:numId w:val="27"/>
        </w:numPr>
        <w:spacing w:line="480" w:lineRule="auto"/>
        <w:ind w:hanging="540"/>
      </w:pPr>
      <w:r>
        <w:tab/>
      </w:r>
      <w:r w:rsidRPr="004C23A4">
        <w:t>Albeit while representing other clients, NIPPC’s lead attorney has participated in numerous Commission proceedings that include “highly confidential” designations, and does not generally sign the highly confidential provisions because of concerns with the requirement that any signatory not be involved in competitive decision on behalf of any company or business organization that competes, or potentially competes, with entity that designates the material as highly confidential.</w:t>
      </w:r>
      <w:r w:rsidRPr="004C23A4">
        <w:rPr>
          <w:vertAlign w:val="superscript"/>
        </w:rPr>
        <w:footnoteReference w:id="52"/>
      </w:r>
      <w:r w:rsidRPr="004C23A4">
        <w:t xml:space="preserve">  This decision not to sign the highly confidential protective order in past proceedings did not have the effect of substantially </w:t>
      </w:r>
      <w:r w:rsidRPr="004C23A4">
        <w:lastRenderedPageBreak/>
        <w:t xml:space="preserve">limiting any participation in those proceedings.  Thus, NIPPC’s attorneys are not planning on signing the highly confidential protective order if NIPPC’s intervention is granted.  </w:t>
      </w:r>
    </w:p>
    <w:p w14:paraId="70964F93" w14:textId="0969F97B" w:rsidR="00126194" w:rsidRDefault="004C23A4" w:rsidP="004C23A4">
      <w:pPr>
        <w:pStyle w:val="ListParagraph"/>
        <w:numPr>
          <w:ilvl w:val="0"/>
          <w:numId w:val="27"/>
        </w:numPr>
        <w:spacing w:line="480" w:lineRule="auto"/>
        <w:ind w:hanging="540"/>
      </w:pPr>
      <w:r>
        <w:tab/>
      </w:r>
      <w:r w:rsidRPr="004C23A4">
        <w:t>Finally, NIPPC will accept any limitations deemed necessary by the presiding officer under WAC 480-07-355(3).</w:t>
      </w:r>
    </w:p>
    <w:p w14:paraId="65AB6F12" w14:textId="19715C94" w:rsidR="0091706D" w:rsidRDefault="0091706D" w:rsidP="0091706D">
      <w:pPr>
        <w:pStyle w:val="ListParagraph"/>
        <w:spacing w:line="480" w:lineRule="auto"/>
        <w:ind w:left="0"/>
        <w:jc w:val="center"/>
        <w:rPr>
          <w:rFonts w:eastAsia="Cambria"/>
        </w:rPr>
      </w:pPr>
      <w:r>
        <w:rPr>
          <w:b/>
        </w:rPr>
        <w:t>III.</w:t>
      </w:r>
      <w:r>
        <w:rPr>
          <w:b/>
        </w:rPr>
        <w:tab/>
        <w:t>RELIEF REQUESTED</w:t>
      </w:r>
    </w:p>
    <w:p w14:paraId="4A75102D" w14:textId="7A96B6C9" w:rsidR="00B43A04" w:rsidRPr="00ED0639" w:rsidRDefault="00613703" w:rsidP="00ED0639">
      <w:pPr>
        <w:pStyle w:val="ListParagraph"/>
        <w:numPr>
          <w:ilvl w:val="0"/>
          <w:numId w:val="27"/>
        </w:numPr>
        <w:spacing w:line="480" w:lineRule="auto"/>
        <w:ind w:hanging="540"/>
        <w:rPr>
          <w:rFonts w:eastAsia="Cambria"/>
        </w:rPr>
      </w:pPr>
      <w:r>
        <w:rPr>
          <w:rFonts w:eastAsia="Cambria"/>
        </w:rPr>
        <w:tab/>
        <w:t>Order 04 harms NIPPC</w:t>
      </w:r>
      <w:r w:rsidR="00435E7E">
        <w:rPr>
          <w:rFonts w:eastAsia="Cambria"/>
        </w:rPr>
        <w:t xml:space="preserve"> because</w:t>
      </w:r>
      <w:r>
        <w:rPr>
          <w:rFonts w:eastAsia="Cambria"/>
        </w:rPr>
        <w:t xml:space="preserve"> </w:t>
      </w:r>
      <w:r w:rsidR="00ED0639">
        <w:rPr>
          <w:rFonts w:eastAsia="Cambria"/>
        </w:rPr>
        <w:t>it precludes NIPPC from participating in a proceeding that directly and substantially impacts NIPPC.</w:t>
      </w:r>
      <w:r w:rsidR="00435E7E">
        <w:rPr>
          <w:rFonts w:eastAsia="Cambria"/>
        </w:rPr>
        <w:t xml:space="preserve"> </w:t>
      </w:r>
      <w:r w:rsidR="00ED0639">
        <w:rPr>
          <w:rFonts w:eastAsia="Cambria"/>
        </w:rPr>
        <w:t xml:space="preserve"> Likewise, </w:t>
      </w:r>
      <w:r w:rsidR="00435E7E">
        <w:rPr>
          <w:rFonts w:eastAsia="Cambria"/>
        </w:rPr>
        <w:t xml:space="preserve">Order 04 harms the public interest because </w:t>
      </w:r>
      <w:r w:rsidR="00ED0639">
        <w:rPr>
          <w:rFonts w:eastAsia="Cambria"/>
        </w:rPr>
        <w:t xml:space="preserve">it inhibits the development of a robust record on the issues of competitive markets and regulatory consequences. </w:t>
      </w:r>
    </w:p>
    <w:p w14:paraId="07FA77A0" w14:textId="5463EB62" w:rsidR="00B43A04" w:rsidRPr="005E08D4" w:rsidRDefault="00F81F53" w:rsidP="00613703">
      <w:pPr>
        <w:pStyle w:val="ListParagraph"/>
        <w:numPr>
          <w:ilvl w:val="0"/>
          <w:numId w:val="27"/>
        </w:numPr>
        <w:spacing w:line="480" w:lineRule="auto"/>
        <w:ind w:hanging="540"/>
        <w:rPr>
          <w:rFonts w:eastAsia="Cambria"/>
        </w:rPr>
      </w:pPr>
      <w:r>
        <w:tab/>
      </w:r>
      <w:r w:rsidR="00B43A04">
        <w:t xml:space="preserve">WHEREFORE, </w:t>
      </w:r>
      <w:r w:rsidR="00A22901">
        <w:t>NIPPC</w:t>
      </w:r>
      <w:r w:rsidR="00267A25">
        <w:t xml:space="preserve"> </w:t>
      </w:r>
      <w:r w:rsidR="00B43A04">
        <w:t xml:space="preserve">respectfully </w:t>
      </w:r>
      <w:r w:rsidR="00ED0639" w:rsidRPr="00ED0639">
        <w:rPr>
          <w:rFonts w:eastAsia="Cambria"/>
        </w:rPr>
        <w:t>requests the Commission</w:t>
      </w:r>
      <w:r w:rsidR="00ED0639">
        <w:rPr>
          <w:rFonts w:eastAsia="Cambria"/>
        </w:rPr>
        <w:t xml:space="preserve"> grant NIPPC’s petition for interlocutory review and </w:t>
      </w:r>
      <w:r w:rsidR="00ED0639">
        <w:t>grant the relief from Order 04 requested in this pleading</w:t>
      </w:r>
      <w:r w:rsidR="00ED0639">
        <w:rPr>
          <w:rFonts w:eastAsia="Cambria"/>
        </w:rPr>
        <w:t>.</w:t>
      </w:r>
    </w:p>
    <w:p w14:paraId="2ECBF078" w14:textId="29210A2B" w:rsidR="00B43A04" w:rsidRDefault="00B43A04" w:rsidP="00D301DA">
      <w:pPr>
        <w:keepNext/>
        <w:spacing w:line="480" w:lineRule="auto"/>
        <w:ind w:left="1980"/>
      </w:pPr>
      <w:r>
        <w:t xml:space="preserve">Dated this </w:t>
      </w:r>
      <w:r w:rsidR="00A22901">
        <w:t>2nd</w:t>
      </w:r>
      <w:r>
        <w:t xml:space="preserve"> day of </w:t>
      </w:r>
      <w:r w:rsidR="00465C44">
        <w:t>December</w:t>
      </w:r>
      <w:r w:rsidR="00A22901">
        <w:t>, 2016</w:t>
      </w:r>
      <w:r w:rsidR="00833F04">
        <w:t>.</w:t>
      </w:r>
    </w:p>
    <w:p w14:paraId="11FF32AD" w14:textId="00A109CB" w:rsidR="00CD1028" w:rsidRDefault="00B43A04" w:rsidP="00B50095">
      <w:pPr>
        <w:keepNext/>
        <w:spacing w:line="480" w:lineRule="auto"/>
        <w:ind w:left="2880" w:firstLine="720"/>
      </w:pPr>
      <w:r>
        <w:t>Respectfully submitted,</w:t>
      </w:r>
    </w:p>
    <w:p w14:paraId="3728BD6C" w14:textId="4B7E4F7D" w:rsidR="000A6484" w:rsidRDefault="000A6484" w:rsidP="00B17330">
      <w:pPr>
        <w:keepNext/>
        <w:ind w:left="2880" w:firstLine="720"/>
        <w:rPr>
          <w:noProof/>
        </w:rPr>
      </w:pPr>
    </w:p>
    <w:p w14:paraId="1C9157E8" w14:textId="12957979" w:rsidR="007C5867" w:rsidRDefault="007C5867" w:rsidP="00B17330">
      <w:pPr>
        <w:keepNext/>
        <w:ind w:left="2880" w:firstLine="720"/>
        <w:rPr>
          <w:noProof/>
        </w:rPr>
      </w:pPr>
    </w:p>
    <w:p w14:paraId="0B61D719" w14:textId="77777777" w:rsidR="001530E5" w:rsidRPr="00AA50E0" w:rsidRDefault="001530E5" w:rsidP="00B17330">
      <w:pPr>
        <w:keepNext/>
        <w:ind w:left="2880" w:firstLine="720"/>
        <w:rPr>
          <w:noProof/>
        </w:rPr>
      </w:pPr>
    </w:p>
    <w:p w14:paraId="0647C9A7" w14:textId="086921A7" w:rsidR="00CD1028" w:rsidRPr="00AA50E0" w:rsidRDefault="00AA50E0" w:rsidP="00B17330">
      <w:pPr>
        <w:keepNext/>
        <w:ind w:left="2880" w:firstLine="720"/>
      </w:pPr>
      <w:r w:rsidRPr="00AA50E0">
        <w:rPr>
          <w:i/>
          <w:noProof/>
        </w:rPr>
        <w:t>__</w:t>
      </w:r>
      <w:r w:rsidRPr="00AA50E0">
        <w:rPr>
          <w:noProof/>
        </w:rPr>
        <w:t>____________</w:t>
      </w:r>
    </w:p>
    <w:p w14:paraId="65E2F554" w14:textId="27182D40" w:rsidR="00CD1028" w:rsidRDefault="00CD1028" w:rsidP="002F3E1D">
      <w:pPr>
        <w:keepNext/>
        <w:ind w:left="2880" w:firstLine="720"/>
        <w:outlineLvl w:val="0"/>
      </w:pPr>
      <w:r>
        <w:t>Irion A. Sanger</w:t>
      </w:r>
    </w:p>
    <w:p w14:paraId="1D750ED8" w14:textId="2EC73043" w:rsidR="000932B6" w:rsidRDefault="000932B6" w:rsidP="00B17330">
      <w:pPr>
        <w:keepNext/>
        <w:ind w:left="2880" w:firstLine="720"/>
      </w:pPr>
      <w:r>
        <w:t>Sidney Villanueva</w:t>
      </w:r>
    </w:p>
    <w:p w14:paraId="414F9D0B" w14:textId="77777777" w:rsidR="00CD1028" w:rsidRDefault="00CD1028" w:rsidP="00B17330">
      <w:pPr>
        <w:keepNext/>
        <w:ind w:left="2880" w:firstLine="720"/>
      </w:pPr>
      <w:r>
        <w:t>Sanger Law, PC</w:t>
      </w:r>
    </w:p>
    <w:p w14:paraId="0A825A5D" w14:textId="77777777" w:rsidR="00CD1028" w:rsidRDefault="00CD1028" w:rsidP="00B17330">
      <w:pPr>
        <w:keepNext/>
        <w:ind w:left="2880" w:firstLine="720"/>
      </w:pPr>
      <w:r w:rsidRPr="00CD1028">
        <w:t>1117 SE 53rd Avenue</w:t>
      </w:r>
    </w:p>
    <w:p w14:paraId="135945C7" w14:textId="77777777" w:rsidR="00CD1028" w:rsidRDefault="00CD1028" w:rsidP="00B17330">
      <w:pPr>
        <w:keepNext/>
        <w:ind w:left="2880" w:firstLine="720"/>
      </w:pPr>
      <w:r w:rsidRPr="00CD1028">
        <w:t>Portland, OR 97215</w:t>
      </w:r>
    </w:p>
    <w:p w14:paraId="40EB9AFF" w14:textId="77777777" w:rsidR="00CD1028" w:rsidRDefault="00CD1028" w:rsidP="00B17330">
      <w:pPr>
        <w:keepNext/>
        <w:ind w:left="2880" w:firstLine="720"/>
      </w:pPr>
      <w:r w:rsidRPr="00CD1028">
        <w:t>Telephone: 503-756-7533</w:t>
      </w:r>
    </w:p>
    <w:p w14:paraId="00FF8F31" w14:textId="77777777" w:rsidR="00CD1028" w:rsidRDefault="00CD1028" w:rsidP="00B17330">
      <w:pPr>
        <w:keepNext/>
        <w:ind w:left="2880" w:firstLine="720"/>
      </w:pPr>
      <w:r w:rsidRPr="00CD1028">
        <w:t>Fax: 503-334-2235</w:t>
      </w:r>
    </w:p>
    <w:p w14:paraId="373CA299" w14:textId="6725035F" w:rsidR="00CD1028" w:rsidRDefault="00CD1028" w:rsidP="00B17330">
      <w:pPr>
        <w:keepNext/>
        <w:ind w:left="2880" w:firstLine="720"/>
      </w:pPr>
      <w:r w:rsidRPr="00CD1028">
        <w:t>irion@sanger-law.com</w:t>
      </w:r>
    </w:p>
    <w:p w14:paraId="69DD4815" w14:textId="77777777" w:rsidR="00B17330" w:rsidRDefault="00B17330" w:rsidP="00B17330">
      <w:pPr>
        <w:keepNext/>
        <w:ind w:left="2880" w:firstLine="720"/>
      </w:pPr>
    </w:p>
    <w:p w14:paraId="571BFBE6" w14:textId="1C79A14C" w:rsidR="0000482B" w:rsidRDefault="00F81F53" w:rsidP="00B547C4">
      <w:pPr>
        <w:keepNext/>
        <w:ind w:left="4320" w:hanging="720"/>
      </w:pPr>
      <w:r>
        <w:t>Of A</w:t>
      </w:r>
      <w:r w:rsidR="00B17330">
        <w:t>ttorneys fo</w:t>
      </w:r>
      <w:r>
        <w:t xml:space="preserve">r the </w:t>
      </w:r>
      <w:r w:rsidR="00B547C4">
        <w:t xml:space="preserve">Northwest and Intermountain Power Producers Coalition </w:t>
      </w:r>
    </w:p>
    <w:sectPr w:rsidR="000048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E020" w14:textId="77777777" w:rsidR="00A14596" w:rsidRDefault="00A14596">
      <w:r>
        <w:separator/>
      </w:r>
    </w:p>
  </w:endnote>
  <w:endnote w:type="continuationSeparator" w:id="0">
    <w:p w14:paraId="42900908" w14:textId="77777777" w:rsidR="00A14596" w:rsidRDefault="00A1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6C2D1" w14:textId="05FE8FCB" w:rsidR="006B400E" w:rsidRPr="00D04330" w:rsidRDefault="006B400E">
    <w:pPr>
      <w:pStyle w:val="Footer"/>
      <w:rPr>
        <w:szCs w:val="24"/>
      </w:rPr>
    </w:pPr>
    <w:r>
      <w:rPr>
        <w:szCs w:val="24"/>
      </w:rPr>
      <w:t>NIPPC</w:t>
    </w:r>
    <w:r w:rsidRPr="00D04330">
      <w:rPr>
        <w:szCs w:val="24"/>
      </w:rPr>
      <w:t xml:space="preserve"> PETITION </w:t>
    </w:r>
    <w:r>
      <w:rPr>
        <w:szCs w:val="24"/>
      </w:rPr>
      <w:t>FOR INTERLOCUTORY REVIEW</w:t>
    </w:r>
    <w:r w:rsidRPr="00D04330">
      <w:rPr>
        <w:szCs w:val="24"/>
      </w:rPr>
      <w:tab/>
      <w:t xml:space="preserve">Page </w:t>
    </w:r>
    <w:r w:rsidRPr="00D04330">
      <w:rPr>
        <w:rStyle w:val="PageNumber"/>
        <w:szCs w:val="24"/>
      </w:rPr>
      <w:fldChar w:fldCharType="begin"/>
    </w:r>
    <w:r w:rsidRPr="00D04330">
      <w:rPr>
        <w:rStyle w:val="PageNumber"/>
        <w:szCs w:val="24"/>
      </w:rPr>
      <w:instrText xml:space="preserve"> PAGE </w:instrText>
    </w:r>
    <w:r w:rsidRPr="00D04330">
      <w:rPr>
        <w:rStyle w:val="PageNumber"/>
        <w:szCs w:val="24"/>
      </w:rPr>
      <w:fldChar w:fldCharType="separate"/>
    </w:r>
    <w:r w:rsidR="00516B91">
      <w:rPr>
        <w:rStyle w:val="PageNumber"/>
        <w:noProof/>
        <w:szCs w:val="24"/>
      </w:rPr>
      <w:t>22</w:t>
    </w:r>
    <w:r w:rsidRPr="00D04330">
      <w:rPr>
        <w:rStyle w:val="PageNumber"/>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A446F" w14:textId="77777777" w:rsidR="00A14596" w:rsidRDefault="00A14596">
      <w:r>
        <w:separator/>
      </w:r>
    </w:p>
  </w:footnote>
  <w:footnote w:type="continuationSeparator" w:id="0">
    <w:p w14:paraId="1E618BF4" w14:textId="77777777" w:rsidR="00A14596" w:rsidRDefault="00A14596">
      <w:r>
        <w:continuationSeparator/>
      </w:r>
    </w:p>
  </w:footnote>
  <w:footnote w:id="1">
    <w:p w14:paraId="140EE1B3" w14:textId="3DF28043" w:rsidR="006B400E" w:rsidRDefault="006B400E" w:rsidP="00F51C59">
      <w:pPr>
        <w:pStyle w:val="FootnoteText"/>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sidRPr="00972FB8">
        <w:rPr>
          <w:u w:val="single"/>
        </w:rPr>
        <w:t>v. PSE</w:t>
      </w:r>
      <w:r>
        <w:t xml:space="preserve">, Docket No. UE-161123, Order 04 (Nov. 22, 2016). </w:t>
      </w:r>
    </w:p>
  </w:footnote>
  <w:footnote w:id="2">
    <w:p w14:paraId="16B7EA29" w14:textId="7E663B52" w:rsidR="006B400E" w:rsidRDefault="006B400E" w:rsidP="003B1143">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Pr>
          <w:u w:val="single"/>
        </w:rPr>
        <w:t>v. Pac.</w:t>
      </w:r>
      <w:r w:rsidRPr="00682781">
        <w:rPr>
          <w:u w:val="single"/>
        </w:rPr>
        <w:t xml:space="preserve"> Power &amp; Light Co.</w:t>
      </w:r>
      <w:r>
        <w:t xml:space="preserve">, Docket No. UE-152253, Order 04 at </w:t>
      </w:r>
      <w:r w:rsidRPr="00121AD5">
        <w:t>¶</w:t>
      </w:r>
      <w:r>
        <w:t xml:space="preserve"> 11 (Feb. 4, 2016).</w:t>
      </w:r>
    </w:p>
  </w:footnote>
  <w:footnote w:id="3">
    <w:p w14:paraId="289EF712" w14:textId="7F840470" w:rsidR="006B400E" w:rsidRDefault="006B400E" w:rsidP="003B1143">
      <w:pPr>
        <w:pStyle w:val="FootnoteText"/>
        <w:tabs>
          <w:tab w:val="left" w:pos="810"/>
        </w:tabs>
        <w:ind w:left="720" w:hanging="720"/>
      </w:pPr>
      <w:r>
        <w:rPr>
          <w:rStyle w:val="FootnoteReference"/>
        </w:rPr>
        <w:footnoteRef/>
      </w:r>
      <w:r>
        <w:t xml:space="preserve"> </w:t>
      </w:r>
      <w:r>
        <w:tab/>
      </w:r>
      <w:r w:rsidRPr="00682781">
        <w:rPr>
          <w:u w:val="single"/>
        </w:rPr>
        <w:t xml:space="preserve">Re Petition of PSE For an Order Authorizing the use of the Proceeds from the Sale of </w:t>
      </w:r>
      <w:r>
        <w:rPr>
          <w:u w:val="single"/>
        </w:rPr>
        <w:t xml:space="preserve">RECs </w:t>
      </w:r>
      <w:r w:rsidRPr="00682781">
        <w:rPr>
          <w:u w:val="single"/>
        </w:rPr>
        <w:t>and Carbon Financial Instruments</w:t>
      </w:r>
      <w:r>
        <w:t xml:space="preserve">, Docket No. UE-070725, Petition to Intervene of Renewable Northwest Project at </w:t>
      </w:r>
      <w:r w:rsidRPr="00121AD5">
        <w:t>¶</w:t>
      </w:r>
      <w:r>
        <w:t xml:space="preserve"> 4 (Nov. 24, 2009).</w:t>
      </w:r>
    </w:p>
  </w:footnote>
  <w:footnote w:id="4">
    <w:p w14:paraId="212133E6" w14:textId="435C2449" w:rsidR="006B400E" w:rsidRDefault="006B400E" w:rsidP="000B0AFC">
      <w:pPr>
        <w:pStyle w:val="FootnoteText"/>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Pr>
          <w:u w:val="single"/>
        </w:rPr>
        <w:t xml:space="preserve">v. Pac. </w:t>
      </w:r>
      <w:r w:rsidRPr="002F3E1D">
        <w:rPr>
          <w:u w:val="single"/>
        </w:rPr>
        <w:t>Power &amp; Light Co.</w:t>
      </w:r>
      <w:r>
        <w:t xml:space="preserve">, Docket No. UE-144160, Order 02 at </w:t>
      </w:r>
      <w:r w:rsidRPr="00121AD5">
        <w:t>¶</w:t>
      </w:r>
      <w:r>
        <w:t xml:space="preserve"> 4 (Apr. 23, 2015).</w:t>
      </w:r>
    </w:p>
  </w:footnote>
  <w:footnote w:id="5">
    <w:p w14:paraId="5F17CB54" w14:textId="19562706" w:rsidR="006B400E" w:rsidRDefault="006B400E" w:rsidP="006B65C1">
      <w:pPr>
        <w:pStyle w:val="FootnoteText"/>
        <w:ind w:left="720" w:hanging="720"/>
      </w:pPr>
      <w:r>
        <w:rPr>
          <w:rStyle w:val="FootnoteReference"/>
        </w:rPr>
        <w:footnoteRef/>
      </w:r>
      <w:r>
        <w:t xml:space="preserve"> </w:t>
      </w:r>
      <w:r>
        <w:tab/>
      </w:r>
      <w:r w:rsidRPr="0068045A">
        <w:rPr>
          <w:u w:val="single"/>
        </w:rPr>
        <w:t>Re Proposal of Puget Sound Power &amp; Light Co. to Transfer Revenues from PRAM Rates to General Rates</w:t>
      </w:r>
      <w:r w:rsidRPr="003C3928">
        <w:t>,</w:t>
      </w:r>
      <w:r>
        <w:t xml:space="preserve"> </w:t>
      </w:r>
      <w:r w:rsidRPr="006B65C1">
        <w:t xml:space="preserve">Docket Nos. UE-951270 and UE-960195 (consolidated) Third Suppl. Order at 7 </w:t>
      </w:r>
      <w:r>
        <w:t>(June 10, 1996)</w:t>
      </w:r>
      <w:r w:rsidRPr="006B65C1">
        <w:t>.</w:t>
      </w:r>
    </w:p>
  </w:footnote>
  <w:footnote w:id="6">
    <w:p w14:paraId="75792EA6" w14:textId="3CC190F3" w:rsidR="006B400E" w:rsidRDefault="006B400E" w:rsidP="006B65C1">
      <w:pPr>
        <w:pStyle w:val="FootnoteText"/>
        <w:tabs>
          <w:tab w:val="left" w:pos="810"/>
        </w:tabs>
        <w:ind w:left="720" w:hanging="720"/>
      </w:pPr>
      <w:r>
        <w:rPr>
          <w:rStyle w:val="FootnoteReference"/>
        </w:rPr>
        <w:footnoteRef/>
      </w:r>
      <w:r>
        <w:t xml:space="preserve"> </w:t>
      </w:r>
      <w:r>
        <w:tab/>
      </w:r>
      <w:r w:rsidRPr="00B80EE3">
        <w:rPr>
          <w:u w:val="single"/>
        </w:rPr>
        <w:t>Re Investigation Regarding Competitive Bidding</w:t>
      </w:r>
      <w:r>
        <w:t xml:space="preserve">, OPUC Docket No. UM 1182, Ruling at 1 (Mar. 31, 2005); </w:t>
      </w:r>
      <w:r>
        <w:rPr>
          <w:u w:val="single"/>
        </w:rPr>
        <w:t>Re PacifiCorp, dba Pac.</w:t>
      </w:r>
      <w:r w:rsidRPr="00B80EE3">
        <w:rPr>
          <w:u w:val="single"/>
        </w:rPr>
        <w:t xml:space="preserve"> Power, Petition for Approval of the 2017 PacifiCorp Inter-Jurisdictional Allocation Protocol</w:t>
      </w:r>
      <w:r>
        <w:t xml:space="preserve">, OPUC Docket No. UM 1050, Ruling at 1 (Apr. 11, 2016); </w:t>
      </w:r>
      <w:r w:rsidRPr="00B80EE3">
        <w:rPr>
          <w:u w:val="single"/>
        </w:rPr>
        <w:t xml:space="preserve">Re PGE Petition for Partial Waiver of Competitive Bidding Guidelines and Approval of </w:t>
      </w:r>
      <w:r>
        <w:rPr>
          <w:u w:val="single"/>
        </w:rPr>
        <w:t>RFP</w:t>
      </w:r>
      <w:r w:rsidRPr="00B80EE3">
        <w:rPr>
          <w:u w:val="single"/>
        </w:rPr>
        <w:t xml:space="preserve"> Schedule</w:t>
      </w:r>
      <w:r>
        <w:t xml:space="preserve">, OPUC Docket No. UM 1773, Ruling at 1 (May 24, 2016); </w:t>
      </w:r>
      <w:r w:rsidRPr="00B80EE3">
        <w:rPr>
          <w:u w:val="single"/>
        </w:rPr>
        <w:t>Re PacifiC</w:t>
      </w:r>
      <w:r>
        <w:rPr>
          <w:u w:val="single"/>
        </w:rPr>
        <w:t>orp, dba Pac.</w:t>
      </w:r>
      <w:r w:rsidRPr="00B80EE3">
        <w:rPr>
          <w:u w:val="single"/>
        </w:rPr>
        <w:t xml:space="preserve"> Power, Application to Reduce QF Contract Term and Lower the QF Standard Contract Eligibility Cap</w:t>
      </w:r>
      <w:r>
        <w:t>, OPUC Docket No. UM 1734, Ruling at 1 (June 12, 2015);</w:t>
      </w:r>
      <w:r w:rsidRPr="00B9345B">
        <w:t xml:space="preserve"> </w:t>
      </w:r>
      <w:r w:rsidRPr="00B80EE3">
        <w:rPr>
          <w:u w:val="single"/>
        </w:rPr>
        <w:t>Re Investigation of Competitive Bidding Guidelines Related to Senate Bill 1547</w:t>
      </w:r>
      <w:r>
        <w:t xml:space="preserve">, OPUC Docket No. UM 1776, Ruling at 1 (June 20, 2016); </w:t>
      </w:r>
      <w:r>
        <w:rPr>
          <w:u w:val="single"/>
        </w:rPr>
        <w:t>Re Joint Petition of Idaho Power Co., Avista Corp., and PacifiCorp, dba Rocky Mountain Power to Address Avoided Cost Issues and to Adjust the Published Avoided Cost Rate Eligibility Cap</w:t>
      </w:r>
      <w:r w:rsidRPr="005C55CD">
        <w:t xml:space="preserve">, IPUC Case No. GNR-E-10-04, Order No. 32143 at 1 (Dec. 22, 2010); </w:t>
      </w:r>
      <w:r w:rsidRPr="00ED4016">
        <w:rPr>
          <w:u w:val="single"/>
        </w:rPr>
        <w:t>Bonneville Power Administration 2016 Rate Adjustment Proceeding</w:t>
      </w:r>
      <w:r>
        <w:t>, BPA Docket No. BP-16, Order Granting Intervention and Amending Service List at 1 (Feb. 3, 2015)</w:t>
      </w:r>
      <w:r w:rsidRPr="00B06D19">
        <w:t>.</w:t>
      </w:r>
    </w:p>
  </w:footnote>
  <w:footnote w:id="7">
    <w:p w14:paraId="0F8EB224" w14:textId="3445BE6E" w:rsidR="006B400E" w:rsidRDefault="006B400E">
      <w:pPr>
        <w:pStyle w:val="FootnoteText"/>
      </w:pPr>
      <w:r>
        <w:rPr>
          <w:rStyle w:val="FootnoteReference"/>
        </w:rPr>
        <w:footnoteRef/>
      </w:r>
      <w:r>
        <w:t xml:space="preserve"> </w:t>
      </w:r>
      <w:r>
        <w:tab/>
        <w:t>Order 04 at ¶ 23.</w:t>
      </w:r>
    </w:p>
  </w:footnote>
  <w:footnote w:id="8">
    <w:p w14:paraId="51A35361" w14:textId="1E88959D" w:rsidR="006B400E" w:rsidRDefault="006B400E">
      <w:pPr>
        <w:pStyle w:val="FootnoteText"/>
      </w:pPr>
      <w:r>
        <w:rPr>
          <w:rStyle w:val="FootnoteReference"/>
        </w:rPr>
        <w:footnoteRef/>
      </w:r>
      <w:r>
        <w:t xml:space="preserve"> </w:t>
      </w:r>
      <w:r>
        <w:tab/>
      </w:r>
      <w:r w:rsidRPr="0090663A">
        <w:rPr>
          <w:u w:val="single"/>
        </w:rPr>
        <w:t>Id.</w:t>
      </w:r>
      <w:r w:rsidRPr="0068045A">
        <w:t xml:space="preserve"> </w:t>
      </w:r>
      <w:r>
        <w:t>at ¶ 21.</w:t>
      </w:r>
    </w:p>
  </w:footnote>
  <w:footnote w:id="9">
    <w:p w14:paraId="04EB276F" w14:textId="7C583918" w:rsidR="006B400E" w:rsidRDefault="006B400E">
      <w:pPr>
        <w:pStyle w:val="FootnoteText"/>
      </w:pPr>
      <w:r>
        <w:rPr>
          <w:rStyle w:val="FootnoteReference"/>
        </w:rPr>
        <w:footnoteRef/>
      </w:r>
      <w:r>
        <w:t xml:space="preserve"> </w:t>
      </w:r>
      <w:r>
        <w:tab/>
      </w:r>
      <w:r w:rsidRPr="0090663A">
        <w:rPr>
          <w:u w:val="single"/>
        </w:rPr>
        <w:t>Id.</w:t>
      </w:r>
      <w:r>
        <w:t xml:space="preserve"> at ¶ 24.</w:t>
      </w:r>
    </w:p>
  </w:footnote>
  <w:footnote w:id="10">
    <w:p w14:paraId="61D29D7F" w14:textId="3DB922C5" w:rsidR="006B400E" w:rsidRPr="00A15E83" w:rsidRDefault="006B400E" w:rsidP="00994794">
      <w:pPr>
        <w:pStyle w:val="FootnoteText"/>
        <w:tabs>
          <w:tab w:val="left" w:pos="810"/>
        </w:tabs>
        <w:ind w:left="720" w:hanging="720"/>
      </w:pPr>
      <w:r>
        <w:rPr>
          <w:rStyle w:val="FootnoteReference"/>
        </w:rPr>
        <w:footnoteRef/>
      </w:r>
      <w:r>
        <w:t xml:space="preserve"> </w:t>
      </w:r>
      <w:r>
        <w:tab/>
        <w:t>Docket Nos. UE-951270 and UE-960195 (consolidated), Third Suppl. Order at 7.</w:t>
      </w:r>
    </w:p>
  </w:footnote>
  <w:footnote w:id="11">
    <w:p w14:paraId="5A989770" w14:textId="0591500B" w:rsidR="006B400E" w:rsidRDefault="006B400E" w:rsidP="00E95420">
      <w:pPr>
        <w:pStyle w:val="FootnoteText"/>
        <w:ind w:left="720" w:hanging="720"/>
      </w:pPr>
      <w:r>
        <w:rPr>
          <w:rStyle w:val="FootnoteReference"/>
        </w:rPr>
        <w:footnoteRef/>
      </w:r>
      <w:r>
        <w:t xml:space="preserve"> </w:t>
      </w:r>
      <w:r>
        <w:tab/>
      </w:r>
      <w:r w:rsidRPr="000D32D5">
        <w:rPr>
          <w:u w:val="single"/>
        </w:rPr>
        <w:t xml:space="preserve">Cole v. </w:t>
      </w:r>
      <w:r w:rsidRPr="000669E6">
        <w:rPr>
          <w:iCs/>
          <w:u w:val="single"/>
        </w:rPr>
        <w:t>Wash. Utils. &amp; Transp. Co</w:t>
      </w:r>
      <w:r>
        <w:rPr>
          <w:iCs/>
          <w:u w:val="single"/>
        </w:rPr>
        <w:t>mm’n</w:t>
      </w:r>
      <w:r>
        <w:t xml:space="preserve">, 79 Wn2d 302, 485 P.2d 71 (1971). </w:t>
      </w:r>
    </w:p>
  </w:footnote>
  <w:footnote w:id="12">
    <w:p w14:paraId="571C39AB" w14:textId="776645B1" w:rsidR="006B400E" w:rsidRDefault="006B400E" w:rsidP="00341D2C">
      <w:pPr>
        <w:pStyle w:val="FootnoteText"/>
        <w:ind w:left="720" w:hanging="720"/>
      </w:pPr>
      <w:r>
        <w:rPr>
          <w:rStyle w:val="FootnoteReference"/>
        </w:rPr>
        <w:footnoteRef/>
      </w:r>
      <w:r>
        <w:t xml:space="preserve"> </w:t>
      </w:r>
      <w:r>
        <w:tab/>
        <w:t>Order 04 at ¶ 20.</w:t>
      </w:r>
    </w:p>
  </w:footnote>
  <w:footnote w:id="13">
    <w:p w14:paraId="6AE19217" w14:textId="32B85E62" w:rsidR="006B400E" w:rsidRDefault="006B400E" w:rsidP="00740AF6">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sidRPr="00121AD5">
        <w:rPr>
          <w:u w:val="single"/>
        </w:rPr>
        <w:t>v. PacifiCor</w:t>
      </w:r>
      <w:r>
        <w:rPr>
          <w:u w:val="single"/>
        </w:rPr>
        <w:t>p, dba Pac. Power &amp; Light Co.</w:t>
      </w:r>
      <w:r w:rsidRPr="00754813">
        <w:t>,</w:t>
      </w:r>
      <w:r w:rsidRPr="00121AD5">
        <w:t xml:space="preserve"> Docket No. UE-001734, Second Suppl. Order</w:t>
      </w:r>
      <w:r>
        <w:t xml:space="preserve"> at</w:t>
      </w:r>
      <w:r w:rsidRPr="00121AD5">
        <w:t xml:space="preserve"> </w:t>
      </w:r>
      <w:r>
        <w:t xml:space="preserve">¶ 29 (July 9, 2001); </w:t>
      </w:r>
      <w:r w:rsidRPr="000669E6">
        <w:rPr>
          <w:iCs/>
          <w:u w:val="single"/>
        </w:rPr>
        <w:t>Wash. Utils. &amp; Transp. Co</w:t>
      </w:r>
      <w:r>
        <w:rPr>
          <w:iCs/>
          <w:u w:val="single"/>
        </w:rPr>
        <w:t>mm’n.</w:t>
      </w:r>
      <w:r w:rsidRPr="00594B2F">
        <w:rPr>
          <w:u w:val="single"/>
        </w:rPr>
        <w:t xml:space="preserve"> </w:t>
      </w:r>
      <w:r>
        <w:rPr>
          <w:u w:val="single"/>
        </w:rPr>
        <w:t>v. PacifiCorp dba Pac. Power &amp; Light Co.</w:t>
      </w:r>
      <w:r w:rsidRPr="00754813">
        <w:t xml:space="preserve">, </w:t>
      </w:r>
      <w:r>
        <w:t>Docket No. UE-130043</w:t>
      </w:r>
      <w:r w:rsidRPr="00594B2F">
        <w:t xml:space="preserve">, </w:t>
      </w:r>
      <w:r>
        <w:t>Order 03 at ¶ 6 (Feb. 14, 2013)</w:t>
      </w:r>
      <w:r w:rsidRPr="00594B2F">
        <w:t>.</w:t>
      </w:r>
    </w:p>
  </w:footnote>
  <w:footnote w:id="14">
    <w:p w14:paraId="2856B9C5" w14:textId="1C3AA522" w:rsidR="006B400E" w:rsidRDefault="006B400E" w:rsidP="00740AF6">
      <w:pPr>
        <w:pStyle w:val="FootnoteText"/>
        <w:ind w:left="720" w:hanging="720"/>
      </w:pPr>
      <w:r>
        <w:rPr>
          <w:rStyle w:val="FootnoteReference"/>
        </w:rPr>
        <w:footnoteRef/>
      </w:r>
      <w:r>
        <w:t xml:space="preserve"> </w:t>
      </w:r>
      <w:r>
        <w:tab/>
      </w:r>
      <w:r w:rsidRPr="00D4430B">
        <w:rPr>
          <w:iCs/>
          <w:u w:val="single"/>
        </w:rPr>
        <w:t>Columbia Gorg</w:t>
      </w:r>
      <w:r>
        <w:rPr>
          <w:iCs/>
          <w:u w:val="single"/>
        </w:rPr>
        <w:t>e Audubon Soc. v. Klickitat C</w:t>
      </w:r>
      <w:r w:rsidRPr="00D4430B">
        <w:rPr>
          <w:iCs/>
          <w:u w:val="single"/>
        </w:rPr>
        <w:t>ty</w:t>
      </w:r>
      <w:r>
        <w:t>, 98 Wash</w:t>
      </w:r>
      <w:r w:rsidRPr="00D4430B">
        <w:t>. App. 618,</w:t>
      </w:r>
      <w:r>
        <w:t xml:space="preserve"> 623,</w:t>
      </w:r>
      <w:r w:rsidRPr="00D4430B">
        <w:t xml:space="preserve"> 989 P.2d 1260 (1999)</w:t>
      </w:r>
      <w:r>
        <w:t xml:space="preserve"> (citing </w:t>
      </w:r>
      <w:r w:rsidRPr="00864958">
        <w:rPr>
          <w:u w:val="single"/>
        </w:rPr>
        <w:t>Fritz v. Gorton</w:t>
      </w:r>
      <w:r>
        <w:t>, 8 Wash. App</w:t>
      </w:r>
      <w:r w:rsidRPr="00D4430B">
        <w:t>.</w:t>
      </w:r>
      <w:r>
        <w:t xml:space="preserve"> 658, 660, 509 P.2d 83 (1973)).</w:t>
      </w:r>
    </w:p>
  </w:footnote>
  <w:footnote w:id="15">
    <w:p w14:paraId="0170E563" w14:textId="49095087" w:rsidR="006B400E" w:rsidRDefault="006B400E" w:rsidP="009E3716">
      <w:pPr>
        <w:pStyle w:val="FootnoteText"/>
        <w:tabs>
          <w:tab w:val="left" w:pos="810"/>
        </w:tabs>
        <w:ind w:left="720" w:hanging="720"/>
      </w:pPr>
      <w:r>
        <w:rPr>
          <w:rStyle w:val="FootnoteReference"/>
        </w:rPr>
        <w:footnoteRef/>
      </w:r>
      <w:r w:rsidRPr="009E3716">
        <w:rPr>
          <w:rStyle w:val="FootnoteReference"/>
        </w:rPr>
        <w:t xml:space="preserve"> </w:t>
      </w:r>
      <w:r w:rsidRPr="009E3716">
        <w:rPr>
          <w:rStyle w:val="FootnoteReference"/>
        </w:rPr>
        <w:tab/>
      </w:r>
      <w:r w:rsidRPr="009E3716">
        <w:t>Order 04 at ¶</w:t>
      </w:r>
      <w:r>
        <w:t xml:space="preserve"> 2</w:t>
      </w:r>
      <w:r w:rsidRPr="009E3716">
        <w:t>0.</w:t>
      </w:r>
    </w:p>
  </w:footnote>
  <w:footnote w:id="16">
    <w:p w14:paraId="03BE8536" w14:textId="32280BA5" w:rsidR="006B400E" w:rsidRDefault="006B400E" w:rsidP="0092320F">
      <w:pPr>
        <w:pStyle w:val="FootnoteText"/>
        <w:ind w:left="720" w:hanging="720"/>
      </w:pPr>
      <w:r>
        <w:rPr>
          <w:rStyle w:val="FootnoteReference"/>
        </w:rPr>
        <w:footnoteRef/>
      </w:r>
      <w:r>
        <w:t xml:space="preserve"> </w:t>
      </w:r>
      <w:r>
        <w:tab/>
        <w:t xml:space="preserve">This is in addition to the </w:t>
      </w:r>
      <w:r w:rsidRPr="00634DDB">
        <w:t>Commissi</w:t>
      </w:r>
      <w:r>
        <w:t>on repeatedly allowing the</w:t>
      </w:r>
      <w:r w:rsidRPr="00634DDB">
        <w:t xml:space="preserve"> full participation of unions, environmental advocates, and similarly-situated trade organizations </w:t>
      </w:r>
      <w:r>
        <w:t>like Renewable Northwest and the Renewable Energy Coalition</w:t>
      </w:r>
      <w:r w:rsidRPr="00634DDB">
        <w:t xml:space="preserve">.  </w:t>
      </w:r>
    </w:p>
  </w:footnote>
  <w:footnote w:id="17">
    <w:p w14:paraId="764EC3E0" w14:textId="32517B73" w:rsidR="006B400E" w:rsidRDefault="006B400E" w:rsidP="00B741B6">
      <w:pPr>
        <w:pStyle w:val="FootnoteText"/>
        <w:tabs>
          <w:tab w:val="left" w:pos="810"/>
        </w:tabs>
        <w:ind w:left="720" w:hanging="720"/>
      </w:pPr>
      <w:r w:rsidRPr="00F365E6">
        <w:rPr>
          <w:rStyle w:val="FootnoteReference"/>
        </w:rPr>
        <w:footnoteRef/>
      </w:r>
      <w:r w:rsidRPr="00F365E6">
        <w:t xml:space="preserve"> </w:t>
      </w:r>
      <w:r w:rsidRPr="00F365E6">
        <w:tab/>
        <w:t>Docket Nos. UE-951270 and UE-960195 (consolidated)</w:t>
      </w:r>
      <w:r>
        <w:t>,</w:t>
      </w:r>
      <w:r w:rsidRPr="00F365E6">
        <w:t xml:space="preserve"> Third Suppl. Order </w:t>
      </w:r>
      <w:r>
        <w:t>at 6-7.</w:t>
      </w:r>
    </w:p>
  </w:footnote>
  <w:footnote w:id="18">
    <w:p w14:paraId="46BD6D13" w14:textId="77777777" w:rsidR="006B400E" w:rsidRDefault="006B400E" w:rsidP="00B741B6">
      <w:pPr>
        <w:pStyle w:val="FootnoteText"/>
        <w:tabs>
          <w:tab w:val="left" w:pos="810"/>
        </w:tabs>
        <w:ind w:left="720" w:hanging="720"/>
      </w:pPr>
      <w:r>
        <w:rPr>
          <w:rStyle w:val="FootnoteReference"/>
        </w:rPr>
        <w:footnoteRef/>
      </w:r>
      <w:r>
        <w:t xml:space="preserve"> </w:t>
      </w:r>
      <w:r>
        <w:tab/>
      </w:r>
      <w:r w:rsidRPr="00FC1FEC">
        <w:rPr>
          <w:u w:val="single"/>
        </w:rPr>
        <w:t>Id.</w:t>
      </w:r>
      <w:r>
        <w:t xml:space="preserve"> at 2.</w:t>
      </w:r>
    </w:p>
  </w:footnote>
  <w:footnote w:id="19">
    <w:p w14:paraId="6C0E3FC0" w14:textId="77777777" w:rsidR="006B400E" w:rsidRDefault="006B400E" w:rsidP="00B741B6">
      <w:pPr>
        <w:pStyle w:val="FootnoteText"/>
        <w:tabs>
          <w:tab w:val="left" w:pos="810"/>
        </w:tabs>
        <w:ind w:left="720" w:hanging="720"/>
      </w:pPr>
      <w:r>
        <w:rPr>
          <w:rStyle w:val="FootnoteReference"/>
        </w:rPr>
        <w:footnoteRef/>
      </w:r>
      <w:r>
        <w:t xml:space="preserve"> </w:t>
      </w:r>
      <w:r>
        <w:tab/>
      </w:r>
      <w:r w:rsidRPr="00FC1FEC">
        <w:rPr>
          <w:u w:val="single"/>
        </w:rPr>
        <w:t>Id.</w:t>
      </w:r>
      <w:r>
        <w:t xml:space="preserve"> at 4.</w:t>
      </w:r>
    </w:p>
  </w:footnote>
  <w:footnote w:id="20">
    <w:p w14:paraId="01E73FB6" w14:textId="5504E9CD" w:rsidR="006B400E" w:rsidRDefault="006B400E" w:rsidP="00EA0F5B">
      <w:pPr>
        <w:pStyle w:val="FootnoteText"/>
        <w:tabs>
          <w:tab w:val="left" w:pos="810"/>
        </w:tabs>
        <w:ind w:left="720" w:hanging="720"/>
      </w:pPr>
      <w:r>
        <w:rPr>
          <w:rStyle w:val="FootnoteReference"/>
        </w:rPr>
        <w:footnoteRef/>
      </w:r>
      <w:r>
        <w:t xml:space="preserve"> </w:t>
      </w:r>
      <w:r>
        <w:tab/>
      </w:r>
      <w:r w:rsidRPr="00FC1FEC">
        <w:rPr>
          <w:u w:val="single"/>
        </w:rPr>
        <w:t>Id.</w:t>
      </w:r>
      <w:r>
        <w:t xml:space="preserve"> at 7 (emphasis added).</w:t>
      </w:r>
    </w:p>
  </w:footnote>
  <w:footnote w:id="21">
    <w:p w14:paraId="2CF33963" w14:textId="77777777" w:rsidR="006B400E" w:rsidRDefault="006B400E" w:rsidP="00B741B6">
      <w:pPr>
        <w:pStyle w:val="FootnoteText"/>
        <w:tabs>
          <w:tab w:val="left" w:pos="810"/>
        </w:tabs>
        <w:ind w:left="720" w:hanging="720"/>
      </w:pPr>
      <w:r>
        <w:rPr>
          <w:rStyle w:val="FootnoteReference"/>
        </w:rPr>
        <w:footnoteRef/>
      </w:r>
      <w:r>
        <w:t xml:space="preserve"> </w:t>
      </w:r>
      <w:r>
        <w:tab/>
      </w:r>
      <w:r w:rsidRPr="00F664DA">
        <w:t>Docket No. UE-001734, Second Suppl. Order</w:t>
      </w:r>
      <w:r>
        <w:t xml:space="preserve"> at</w:t>
      </w:r>
      <w:r w:rsidRPr="00F664DA">
        <w:t xml:space="preserve"> ¶ 29</w:t>
      </w:r>
      <w:r>
        <w:t>; Docket No. UE-130043</w:t>
      </w:r>
      <w:r w:rsidRPr="00594B2F">
        <w:t xml:space="preserve">, </w:t>
      </w:r>
      <w:r>
        <w:t>Order 03 at ¶ 6</w:t>
      </w:r>
      <w:r w:rsidRPr="00594B2F">
        <w:t>.</w:t>
      </w:r>
      <w:r>
        <w:t xml:space="preserve"> </w:t>
      </w:r>
    </w:p>
  </w:footnote>
  <w:footnote w:id="22">
    <w:p w14:paraId="09ED6927" w14:textId="77777777" w:rsidR="006B400E" w:rsidRDefault="006B400E" w:rsidP="00B741B6">
      <w:pPr>
        <w:pStyle w:val="FootnoteText"/>
        <w:tabs>
          <w:tab w:val="left" w:pos="810"/>
        </w:tabs>
        <w:ind w:left="720" w:hanging="720"/>
      </w:pPr>
      <w:r>
        <w:rPr>
          <w:rStyle w:val="FootnoteReference"/>
        </w:rPr>
        <w:footnoteRef/>
      </w:r>
      <w:r>
        <w:t xml:space="preserve"> </w:t>
      </w:r>
      <w:r>
        <w:tab/>
        <w:t>Docket No. UE-130043</w:t>
      </w:r>
      <w:r w:rsidRPr="000D2785">
        <w:t>, Order 03 at ¶ 6</w:t>
      </w:r>
      <w:r>
        <w:t>.</w:t>
      </w:r>
    </w:p>
  </w:footnote>
  <w:footnote w:id="23">
    <w:p w14:paraId="773B8C30" w14:textId="65B63980" w:rsidR="006B400E" w:rsidRPr="00271006" w:rsidRDefault="006B400E" w:rsidP="00064746">
      <w:pPr>
        <w:pStyle w:val="FootnoteText"/>
        <w:tabs>
          <w:tab w:val="left" w:pos="810"/>
        </w:tabs>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Pr>
          <w:u w:val="single"/>
        </w:rPr>
        <w:t xml:space="preserve">v. </w:t>
      </w:r>
      <w:r w:rsidRPr="00271006">
        <w:rPr>
          <w:u w:val="single"/>
        </w:rPr>
        <w:t>PSE</w:t>
      </w:r>
      <w:r>
        <w:t xml:space="preserve">, </w:t>
      </w:r>
      <w:r w:rsidRPr="00271006">
        <w:t>Dockets UE-1518</w:t>
      </w:r>
      <w:r>
        <w:t xml:space="preserve">71 and UG-151872 (consolidated), </w:t>
      </w:r>
      <w:r w:rsidRPr="00271006">
        <w:t>Order 02</w:t>
      </w:r>
      <w:r>
        <w:t xml:space="preserve"> at ¶ 9 (Jan. 7, 2016).</w:t>
      </w:r>
    </w:p>
  </w:footnote>
  <w:footnote w:id="24">
    <w:p w14:paraId="427E0027" w14:textId="0B35CF90" w:rsidR="006B400E" w:rsidRDefault="006B400E" w:rsidP="00064746">
      <w:pPr>
        <w:pStyle w:val="FootnoteText"/>
        <w:tabs>
          <w:tab w:val="left" w:pos="810"/>
        </w:tabs>
        <w:ind w:left="720" w:hanging="720"/>
      </w:pPr>
      <w:r>
        <w:rPr>
          <w:rStyle w:val="FootnoteReference"/>
        </w:rPr>
        <w:footnoteRef/>
      </w:r>
      <w:r>
        <w:t xml:space="preserve"> </w:t>
      </w:r>
      <w:r>
        <w:tab/>
      </w:r>
      <w:r w:rsidRPr="00655FEB">
        <w:rPr>
          <w:u w:val="single"/>
        </w:rPr>
        <w:t>Id.</w:t>
      </w:r>
    </w:p>
  </w:footnote>
  <w:footnote w:id="25">
    <w:p w14:paraId="76D8B59A" w14:textId="77777777" w:rsidR="006B400E" w:rsidRDefault="006B400E" w:rsidP="00064746">
      <w:pPr>
        <w:pStyle w:val="FootnoteText"/>
        <w:tabs>
          <w:tab w:val="left" w:pos="810"/>
        </w:tabs>
        <w:ind w:left="720" w:hanging="720"/>
      </w:pPr>
      <w:r>
        <w:rPr>
          <w:rStyle w:val="FootnoteReference"/>
        </w:rPr>
        <w:footnoteRef/>
      </w:r>
      <w:r>
        <w:t xml:space="preserve"> </w:t>
      </w:r>
      <w:r>
        <w:tab/>
      </w:r>
      <w:r w:rsidRPr="003B17B5">
        <w:rPr>
          <w:u w:val="single"/>
        </w:rPr>
        <w:t>Id.</w:t>
      </w:r>
      <w:r>
        <w:t xml:space="preserve"> at ¶ 11.</w:t>
      </w:r>
    </w:p>
  </w:footnote>
  <w:footnote w:id="26">
    <w:p w14:paraId="1727D5DE" w14:textId="2A687A31" w:rsidR="006B400E" w:rsidRDefault="006B400E">
      <w:pPr>
        <w:pStyle w:val="FootnoteText"/>
      </w:pPr>
      <w:r>
        <w:rPr>
          <w:rStyle w:val="FootnoteReference"/>
        </w:rPr>
        <w:footnoteRef/>
      </w:r>
      <w:r>
        <w:t xml:space="preserve"> </w:t>
      </w:r>
      <w:r>
        <w:tab/>
        <w:t>Order 04 at ¶ 22.</w:t>
      </w:r>
    </w:p>
  </w:footnote>
  <w:footnote w:id="27">
    <w:p w14:paraId="52C29BF4" w14:textId="77777777" w:rsidR="006B400E" w:rsidRDefault="006B400E" w:rsidP="00623E73">
      <w:pPr>
        <w:pStyle w:val="FootnoteText"/>
        <w:tabs>
          <w:tab w:val="left" w:pos="810"/>
        </w:tabs>
        <w:ind w:left="720" w:hanging="720"/>
      </w:pPr>
      <w:r>
        <w:rPr>
          <w:rStyle w:val="FootnoteReference"/>
        </w:rPr>
        <w:footnoteRef/>
      </w:r>
      <w:r>
        <w:t xml:space="preserve"> </w:t>
      </w:r>
      <w:r>
        <w:tab/>
        <w:t>Advice Letter at 2.</w:t>
      </w:r>
    </w:p>
  </w:footnote>
  <w:footnote w:id="28">
    <w:p w14:paraId="0EE5C7A5" w14:textId="77777777" w:rsidR="006B400E" w:rsidRDefault="006B400E" w:rsidP="00623E73">
      <w:pPr>
        <w:pStyle w:val="FootnoteText"/>
        <w:tabs>
          <w:tab w:val="left" w:pos="810"/>
        </w:tabs>
        <w:ind w:left="720" w:hanging="720"/>
      </w:pPr>
      <w:r>
        <w:rPr>
          <w:rStyle w:val="FootnoteReference"/>
        </w:rPr>
        <w:footnoteRef/>
      </w:r>
      <w:r>
        <w:t xml:space="preserve"> </w:t>
      </w:r>
      <w:r>
        <w:tab/>
      </w:r>
      <w:r w:rsidRPr="00C805FB">
        <w:rPr>
          <w:u w:val="single"/>
        </w:rPr>
        <w:t>Id.</w:t>
      </w:r>
    </w:p>
  </w:footnote>
  <w:footnote w:id="29">
    <w:p w14:paraId="2028BCEA" w14:textId="77777777" w:rsidR="006B400E" w:rsidRDefault="006B400E" w:rsidP="00623E73">
      <w:pPr>
        <w:pStyle w:val="FootnoteText"/>
        <w:tabs>
          <w:tab w:val="left" w:pos="810"/>
        </w:tabs>
        <w:ind w:left="720" w:hanging="720"/>
      </w:pPr>
      <w:r>
        <w:rPr>
          <w:rStyle w:val="FootnoteReference"/>
        </w:rPr>
        <w:footnoteRef/>
      </w:r>
      <w:r>
        <w:t xml:space="preserve"> </w:t>
      </w:r>
      <w:r>
        <w:tab/>
      </w:r>
      <w:r w:rsidRPr="004F2196">
        <w:t>Prefiled Direct Testimony of Jon A. Piliaris</w:t>
      </w:r>
      <w:r>
        <w:t xml:space="preserve"> Exhibit No. ___(JAP-1CT) at 16.</w:t>
      </w:r>
    </w:p>
  </w:footnote>
  <w:footnote w:id="30">
    <w:p w14:paraId="2D4A2954" w14:textId="77777777" w:rsidR="006B400E" w:rsidRDefault="006B400E" w:rsidP="00623E73">
      <w:pPr>
        <w:pStyle w:val="FootnoteText"/>
        <w:tabs>
          <w:tab w:val="left" w:pos="810"/>
        </w:tabs>
        <w:ind w:left="720" w:hanging="720"/>
      </w:pPr>
      <w:r>
        <w:rPr>
          <w:rStyle w:val="FootnoteReference"/>
        </w:rPr>
        <w:footnoteRef/>
      </w:r>
      <w:r>
        <w:t xml:space="preserve"> </w:t>
      </w:r>
      <w:r>
        <w:tab/>
      </w:r>
      <w:r w:rsidRPr="009D7E3F">
        <w:rPr>
          <w:u w:val="single"/>
        </w:rPr>
        <w:t>Id.</w:t>
      </w:r>
      <w:r>
        <w:t xml:space="preserve"> at 2.</w:t>
      </w:r>
    </w:p>
  </w:footnote>
  <w:footnote w:id="31">
    <w:p w14:paraId="112039DC" w14:textId="77777777" w:rsidR="006B400E" w:rsidRDefault="006B400E" w:rsidP="00623E73">
      <w:pPr>
        <w:pStyle w:val="FootnoteText"/>
        <w:tabs>
          <w:tab w:val="left" w:pos="810"/>
        </w:tabs>
        <w:ind w:left="720" w:hanging="720"/>
      </w:pPr>
      <w:r>
        <w:rPr>
          <w:rStyle w:val="FootnoteReference"/>
        </w:rPr>
        <w:footnoteRef/>
      </w:r>
      <w:r>
        <w:t xml:space="preserve"> </w:t>
      </w:r>
      <w:r>
        <w:tab/>
      </w:r>
      <w:r w:rsidRPr="002A4FCD">
        <w:rPr>
          <w:u w:val="single"/>
        </w:rPr>
        <w:t>Id.</w:t>
      </w:r>
      <w:r>
        <w:t xml:space="preserve"> at 4.</w:t>
      </w:r>
    </w:p>
  </w:footnote>
  <w:footnote w:id="32">
    <w:p w14:paraId="1C586532" w14:textId="77777777" w:rsidR="006B400E" w:rsidRDefault="006B400E" w:rsidP="00623E73">
      <w:pPr>
        <w:pStyle w:val="FootnoteText"/>
        <w:tabs>
          <w:tab w:val="left" w:pos="810"/>
        </w:tabs>
        <w:ind w:left="720" w:hanging="720"/>
      </w:pPr>
      <w:r>
        <w:rPr>
          <w:rStyle w:val="FootnoteReference"/>
        </w:rPr>
        <w:footnoteRef/>
      </w:r>
      <w:r>
        <w:t xml:space="preserve"> </w:t>
      </w:r>
      <w:r>
        <w:tab/>
      </w:r>
      <w:r w:rsidRPr="004C0F29">
        <w:t xml:space="preserve">Direct Testimony of Irene Plenefisch Exhibit No. ____ (IP-IT) </w:t>
      </w:r>
      <w:r>
        <w:t>at 3, 5.</w:t>
      </w:r>
    </w:p>
  </w:footnote>
  <w:footnote w:id="33">
    <w:p w14:paraId="062EF274" w14:textId="77777777" w:rsidR="006B400E" w:rsidRDefault="006B400E" w:rsidP="00623E73">
      <w:pPr>
        <w:pStyle w:val="FootnoteText"/>
        <w:tabs>
          <w:tab w:val="left" w:pos="810"/>
        </w:tabs>
        <w:ind w:left="720" w:hanging="720"/>
      </w:pPr>
      <w:r>
        <w:rPr>
          <w:rStyle w:val="FootnoteReference"/>
        </w:rPr>
        <w:footnoteRef/>
      </w:r>
      <w:r>
        <w:t xml:space="preserve"> </w:t>
      </w:r>
      <w:r>
        <w:tab/>
      </w:r>
      <w:r w:rsidRPr="001A3599">
        <w:rPr>
          <w:u w:val="single"/>
        </w:rPr>
        <w:t>Id.</w:t>
      </w:r>
      <w:r>
        <w:t xml:space="preserve"> at 6</w:t>
      </w:r>
    </w:p>
  </w:footnote>
  <w:footnote w:id="34">
    <w:p w14:paraId="521803F6" w14:textId="77777777" w:rsidR="006B400E" w:rsidRDefault="006B400E" w:rsidP="00623E73">
      <w:pPr>
        <w:pStyle w:val="FootnoteText"/>
        <w:tabs>
          <w:tab w:val="left" w:pos="810"/>
        </w:tabs>
        <w:ind w:left="720" w:hanging="720"/>
      </w:pPr>
      <w:r>
        <w:rPr>
          <w:rStyle w:val="FootnoteReference"/>
        </w:rPr>
        <w:footnoteRef/>
      </w:r>
      <w:r>
        <w:t xml:space="preserve"> </w:t>
      </w:r>
      <w:r>
        <w:tab/>
      </w:r>
      <w:r w:rsidRPr="001A3599">
        <w:rPr>
          <w:u w:val="single"/>
        </w:rPr>
        <w:t>Id.</w:t>
      </w:r>
      <w:r>
        <w:t xml:space="preserve"> at 7.</w:t>
      </w:r>
    </w:p>
  </w:footnote>
  <w:footnote w:id="35">
    <w:p w14:paraId="51A0E7D0" w14:textId="1C0F7A10" w:rsidR="006B400E" w:rsidRDefault="006B400E" w:rsidP="00FA3408">
      <w:pPr>
        <w:pStyle w:val="FootnoteText"/>
        <w:ind w:left="720" w:hanging="720"/>
      </w:pPr>
      <w:r>
        <w:rPr>
          <w:rStyle w:val="FootnoteReference"/>
        </w:rPr>
        <w:footnoteRef/>
      </w:r>
      <w:r>
        <w:t xml:space="preserve"> </w:t>
      </w:r>
      <w:r>
        <w:tab/>
      </w:r>
      <w:r w:rsidRPr="003C3928">
        <w:rPr>
          <w:u w:val="single"/>
        </w:rPr>
        <w:t>Re Joint Application of Verizon Corp. Inc. and Frontier Commc’ns Corp.</w:t>
      </w:r>
      <w:r>
        <w:t xml:space="preserve">, Docket No. UT-090842, Order 05 at ¶ 12 (Sept. 10, 2009). WAC 480-07-355(3) also allows the presiding officer discretion to limit an intervenor’s participation in accordance with RCW 34.05.443(2). </w:t>
      </w:r>
    </w:p>
  </w:footnote>
  <w:footnote w:id="36">
    <w:p w14:paraId="319176D9" w14:textId="77777777" w:rsidR="006B400E" w:rsidRDefault="006B400E" w:rsidP="008551F5">
      <w:pPr>
        <w:pStyle w:val="FootnoteText"/>
        <w:tabs>
          <w:tab w:val="left" w:pos="810"/>
        </w:tabs>
        <w:ind w:left="720" w:hanging="720"/>
      </w:pPr>
      <w:r>
        <w:rPr>
          <w:rStyle w:val="FootnoteReference"/>
        </w:rPr>
        <w:footnoteRef/>
      </w:r>
      <w:r>
        <w:t xml:space="preserve"> </w:t>
      </w:r>
      <w:r>
        <w:tab/>
      </w:r>
      <w:r w:rsidRPr="001723F0">
        <w:t>RCW 34.05.010(11)(a).</w:t>
      </w:r>
    </w:p>
  </w:footnote>
  <w:footnote w:id="37">
    <w:p w14:paraId="34892718" w14:textId="77777777" w:rsidR="006B400E" w:rsidRDefault="006B400E" w:rsidP="008551F5">
      <w:pPr>
        <w:pStyle w:val="FootnoteText"/>
        <w:tabs>
          <w:tab w:val="left" w:pos="810"/>
        </w:tabs>
        <w:ind w:left="720" w:hanging="720"/>
      </w:pPr>
      <w:r>
        <w:rPr>
          <w:rStyle w:val="FootnoteReference"/>
        </w:rPr>
        <w:footnoteRef/>
      </w:r>
      <w:r>
        <w:t xml:space="preserve"> </w:t>
      </w:r>
      <w:r>
        <w:tab/>
      </w:r>
      <w:r w:rsidRPr="00604BD3">
        <w:rPr>
          <w:u w:val="single"/>
        </w:rPr>
        <w:t>City of Burlington v. Wash. State Liquor Control Bd.</w:t>
      </w:r>
      <w:r w:rsidRPr="00604BD3">
        <w:t xml:space="preserve">, </w:t>
      </w:r>
      <w:r>
        <w:t>187 Wash</w:t>
      </w:r>
      <w:r w:rsidRPr="00F05456">
        <w:t>. App. 853, 876</w:t>
      </w:r>
      <w:r>
        <w:t>-77</w:t>
      </w:r>
      <w:r w:rsidRPr="00F05456">
        <w:t>, 351 P.3d 875 (2015)</w:t>
      </w:r>
      <w:r>
        <w:t xml:space="preserve">; </w:t>
      </w:r>
      <w:r w:rsidRPr="00C3412B">
        <w:rPr>
          <w:u w:val="single"/>
        </w:rPr>
        <w:t>see</w:t>
      </w:r>
      <w:r>
        <w:t xml:space="preserve"> </w:t>
      </w:r>
      <w:r w:rsidRPr="00C3412B">
        <w:rPr>
          <w:u w:val="single"/>
        </w:rPr>
        <w:t>also</w:t>
      </w:r>
      <w:r>
        <w:t xml:space="preserve"> </w:t>
      </w:r>
      <w:r w:rsidRPr="00C3412B">
        <w:rPr>
          <w:u w:val="single"/>
        </w:rPr>
        <w:t>Seattle Bldg. &amp; Constr. Trades Council v. Washington State Apprenticeship &amp; Training Council</w:t>
      </w:r>
      <w:r w:rsidRPr="00C3412B">
        <w:t>, 129 Wn.2</w:t>
      </w:r>
      <w:r>
        <w:t>d 787, 804, 920 P.2d 581 (1996).</w:t>
      </w:r>
    </w:p>
  </w:footnote>
  <w:footnote w:id="38">
    <w:p w14:paraId="25D7C1AB" w14:textId="29F596E0" w:rsidR="006B400E" w:rsidRDefault="006B400E" w:rsidP="005A5003">
      <w:pPr>
        <w:pStyle w:val="FootnoteText"/>
        <w:ind w:left="720" w:hanging="720"/>
      </w:pPr>
      <w:r>
        <w:rPr>
          <w:rStyle w:val="FootnoteReference"/>
        </w:rPr>
        <w:footnoteRef/>
      </w:r>
      <w:r>
        <w:t xml:space="preserve"> </w:t>
      </w:r>
      <w:r>
        <w:tab/>
      </w:r>
      <w:r w:rsidRPr="00D7509E">
        <w:rPr>
          <w:u w:val="single"/>
        </w:rPr>
        <w:t>Seattle Bldg. &amp; Const. Trades Council</w:t>
      </w:r>
      <w:r w:rsidRPr="00AA19BA">
        <w:t>, 129 Wash.2d at 795</w:t>
      </w:r>
      <w:r>
        <w:t xml:space="preserve"> (citations omitted)</w:t>
      </w:r>
      <w:r w:rsidRPr="00AA19BA">
        <w:t>.</w:t>
      </w:r>
    </w:p>
  </w:footnote>
  <w:footnote w:id="39">
    <w:p w14:paraId="2A89F042" w14:textId="0927D57C" w:rsidR="006B400E" w:rsidRDefault="006B400E" w:rsidP="00995E36">
      <w:pPr>
        <w:pStyle w:val="FootnoteText"/>
        <w:ind w:left="720" w:hanging="720"/>
      </w:pPr>
      <w:r>
        <w:rPr>
          <w:rStyle w:val="FootnoteReference"/>
        </w:rPr>
        <w:footnoteRef/>
      </w:r>
      <w:r>
        <w:t xml:space="preserve"> </w:t>
      </w:r>
      <w:r>
        <w:tab/>
      </w:r>
      <w:r w:rsidRPr="00D7509E">
        <w:rPr>
          <w:u w:val="single"/>
        </w:rPr>
        <w:t>Cl</w:t>
      </w:r>
      <w:r>
        <w:rPr>
          <w:u w:val="single"/>
        </w:rPr>
        <w:t xml:space="preserve">arke v. Securities Industry </w:t>
      </w:r>
      <w:proofErr w:type="spellStart"/>
      <w:r>
        <w:rPr>
          <w:u w:val="single"/>
        </w:rPr>
        <w:t>Ass’</w:t>
      </w:r>
      <w:r w:rsidRPr="00D7509E">
        <w:rPr>
          <w:u w:val="single"/>
        </w:rPr>
        <w:t>n</w:t>
      </w:r>
      <w:proofErr w:type="spellEnd"/>
      <w:r w:rsidRPr="00995E36">
        <w:t>, 479 U</w:t>
      </w:r>
      <w:r>
        <w:t>.S. 388, 399, 107 S.Ct. 750</w:t>
      </w:r>
      <w:r w:rsidRPr="00995E36">
        <w:t xml:space="preserve"> (1987)</w:t>
      </w:r>
      <w:r>
        <w:t xml:space="preserve">; </w:t>
      </w:r>
      <w:r w:rsidRPr="00D7509E">
        <w:rPr>
          <w:u w:val="single"/>
        </w:rPr>
        <w:t>see</w:t>
      </w:r>
      <w:r>
        <w:t xml:space="preserve"> </w:t>
      </w:r>
      <w:r w:rsidRPr="00D7509E">
        <w:rPr>
          <w:u w:val="single"/>
        </w:rPr>
        <w:t>also</w:t>
      </w:r>
      <w:r>
        <w:t xml:space="preserve"> </w:t>
      </w:r>
      <w:r w:rsidRPr="00D7509E">
        <w:rPr>
          <w:u w:val="single"/>
        </w:rPr>
        <w:t>Bennett v. Spear</w:t>
      </w:r>
      <w:r>
        <w:t xml:space="preserve">, 520 U.S. 154, 0, 117 S.Ct. 1154 (1997) (concluding the Endangered Species Act did not expressly preclude protection of the “recreational, aesthetic, and commercial interests” alleged by petitioners). </w:t>
      </w:r>
    </w:p>
  </w:footnote>
  <w:footnote w:id="40">
    <w:p w14:paraId="72A17951" w14:textId="77777777" w:rsidR="006B400E" w:rsidRDefault="006B400E" w:rsidP="00853475">
      <w:pPr>
        <w:pStyle w:val="FootnoteText"/>
        <w:tabs>
          <w:tab w:val="left" w:pos="810"/>
        </w:tabs>
        <w:ind w:left="720" w:hanging="720"/>
      </w:pPr>
      <w:r>
        <w:rPr>
          <w:rStyle w:val="FootnoteReference"/>
        </w:rPr>
        <w:footnoteRef/>
      </w:r>
      <w:r>
        <w:t xml:space="preserve"> </w:t>
      </w:r>
      <w:r>
        <w:tab/>
      </w:r>
      <w:r w:rsidRPr="00D818B3">
        <w:rPr>
          <w:u w:val="single"/>
        </w:rPr>
        <w:t>See</w:t>
      </w:r>
      <w:r>
        <w:t xml:space="preserve"> </w:t>
      </w:r>
      <w:r w:rsidRPr="00D818B3">
        <w:rPr>
          <w:u w:val="single"/>
        </w:rPr>
        <w:t>generally</w:t>
      </w:r>
      <w:r>
        <w:t xml:space="preserve"> Advice Letter.</w:t>
      </w:r>
    </w:p>
  </w:footnote>
  <w:footnote w:id="41">
    <w:p w14:paraId="24E9EF21" w14:textId="596879E2" w:rsidR="006B400E" w:rsidRDefault="006B400E" w:rsidP="00FA3408">
      <w:pPr>
        <w:pStyle w:val="FootnoteText"/>
        <w:ind w:left="720" w:hanging="720"/>
      </w:pPr>
      <w:r>
        <w:rPr>
          <w:rStyle w:val="FootnoteReference"/>
        </w:rPr>
        <w:footnoteRef/>
      </w:r>
      <w:r>
        <w:t xml:space="preserve"> </w:t>
      </w:r>
      <w:r>
        <w:tab/>
        <w:t>Docket No. UE-144160, Order 02 at 2.</w:t>
      </w:r>
    </w:p>
  </w:footnote>
  <w:footnote w:id="42">
    <w:p w14:paraId="3D87934A" w14:textId="77777777" w:rsidR="006B400E" w:rsidRDefault="006B400E" w:rsidP="00FA3408">
      <w:pPr>
        <w:pStyle w:val="FootnoteText"/>
        <w:ind w:left="720" w:hanging="720"/>
      </w:pPr>
      <w:r>
        <w:rPr>
          <w:rStyle w:val="FootnoteReference"/>
        </w:rPr>
        <w:footnoteRef/>
      </w:r>
      <w:r>
        <w:t xml:space="preserve"> </w:t>
      </w:r>
      <w:r>
        <w:tab/>
      </w:r>
      <w:r w:rsidRPr="00F2527B">
        <w:rPr>
          <w:u w:val="single"/>
        </w:rPr>
        <w:t>See</w:t>
      </w:r>
      <w:r>
        <w:t xml:space="preserve"> </w:t>
      </w:r>
      <w:r w:rsidRPr="000669E6">
        <w:rPr>
          <w:iCs/>
          <w:u w:val="single"/>
        </w:rPr>
        <w:t>Wash. Utils. &amp; Transp. Co</w:t>
      </w:r>
      <w:r>
        <w:rPr>
          <w:iCs/>
          <w:u w:val="single"/>
        </w:rPr>
        <w:t>mm’n.</w:t>
      </w:r>
      <w:r w:rsidRPr="00594B2F">
        <w:rPr>
          <w:u w:val="single"/>
        </w:rPr>
        <w:t xml:space="preserve"> </w:t>
      </w:r>
      <w:r>
        <w:rPr>
          <w:u w:val="single"/>
        </w:rPr>
        <w:t xml:space="preserve">v. </w:t>
      </w:r>
      <w:r w:rsidRPr="00271006">
        <w:rPr>
          <w:u w:val="single"/>
        </w:rPr>
        <w:t>PSE</w:t>
      </w:r>
      <w:r>
        <w:t xml:space="preserve">, </w:t>
      </w:r>
      <w:r w:rsidRPr="00271006">
        <w:t>Dockets UE-1518</w:t>
      </w:r>
      <w:r>
        <w:t xml:space="preserve">71 and UG-151872 (consolidated), </w:t>
      </w:r>
      <w:r w:rsidRPr="00271006">
        <w:t>Order 02</w:t>
      </w:r>
      <w:r>
        <w:t xml:space="preserve"> at ¶ 8 (Jan. 7, 2016).</w:t>
      </w:r>
    </w:p>
  </w:footnote>
  <w:footnote w:id="43">
    <w:p w14:paraId="152A509B" w14:textId="3D254FAF" w:rsidR="006B400E" w:rsidRDefault="006B400E" w:rsidP="00FA3408">
      <w:pPr>
        <w:pStyle w:val="FootnoteText"/>
        <w:ind w:left="720" w:hanging="720"/>
      </w:pPr>
      <w:r>
        <w:rPr>
          <w:rStyle w:val="FootnoteReference"/>
        </w:rPr>
        <w:footnoteRef/>
      </w:r>
      <w:r>
        <w:t xml:space="preserve"> </w:t>
      </w:r>
      <w:r>
        <w:tab/>
      </w:r>
      <w:r w:rsidRPr="000F0B8D">
        <w:rPr>
          <w:u w:val="single"/>
        </w:rPr>
        <w:t>Air Liquide America Corp. v. PSE</w:t>
      </w:r>
      <w:r>
        <w:t>, Docket Nos. UE-001952 and UE-001959 Eleventh Supplemental Order at ¶¶ 47-53 (Apr. 5, 2001).</w:t>
      </w:r>
    </w:p>
  </w:footnote>
  <w:footnote w:id="44">
    <w:p w14:paraId="1363122B" w14:textId="77777777" w:rsidR="006B400E" w:rsidRDefault="006B400E" w:rsidP="00FA3408">
      <w:pPr>
        <w:pStyle w:val="FootnoteText"/>
      </w:pPr>
      <w:r>
        <w:rPr>
          <w:rStyle w:val="FootnoteReference"/>
        </w:rPr>
        <w:footnoteRef/>
      </w:r>
      <w:r>
        <w:t xml:space="preserve"> </w:t>
      </w:r>
      <w:r>
        <w:tab/>
      </w:r>
      <w:r w:rsidRPr="003C3928">
        <w:rPr>
          <w:u w:val="single"/>
        </w:rPr>
        <w:t>Id.</w:t>
      </w:r>
      <w:r>
        <w:t xml:space="preserve"> at ¶ 52.</w:t>
      </w:r>
    </w:p>
  </w:footnote>
  <w:footnote w:id="45">
    <w:p w14:paraId="759DD5D9" w14:textId="77777777" w:rsidR="006B400E" w:rsidRDefault="006B400E" w:rsidP="000B2EB5">
      <w:pPr>
        <w:pStyle w:val="FootnoteText"/>
        <w:tabs>
          <w:tab w:val="left" w:pos="810"/>
        </w:tabs>
        <w:ind w:left="720" w:hanging="720"/>
      </w:pPr>
      <w:r>
        <w:rPr>
          <w:rStyle w:val="FootnoteReference"/>
        </w:rPr>
        <w:footnoteRef/>
      </w:r>
      <w:r>
        <w:t xml:space="preserve"> </w:t>
      </w:r>
      <w:r>
        <w:tab/>
      </w:r>
      <w:r w:rsidRPr="004A48F4">
        <w:t>Oregon has a unique and burdensome approach to valuing stranded costs and benefits in which there are annual stranded cost</w:t>
      </w:r>
      <w:r>
        <w:t>/benefit</w:t>
      </w:r>
      <w:r w:rsidRPr="004A48F4">
        <w:t xml:space="preserve"> proceedings.</w:t>
      </w:r>
      <w:r>
        <w:t xml:space="preserve"> Oregon customers’ participation is generally on a one or five year basis, after which they can return to cost of service regulation.  In contrast, PSE’s proposed Schedule 451 and the existing Schedule 448/449 are permanent elections in which will not require annual re-evaluation of stranded costs for the customers that elect retail access. </w:t>
      </w:r>
    </w:p>
  </w:footnote>
  <w:footnote w:id="46">
    <w:p w14:paraId="4321E68F" w14:textId="5892D6D8" w:rsidR="006B400E" w:rsidRPr="003A273B" w:rsidRDefault="006B400E" w:rsidP="000B2EB5">
      <w:pPr>
        <w:pStyle w:val="FootnoteText"/>
        <w:tabs>
          <w:tab w:val="left" w:pos="810"/>
        </w:tabs>
        <w:ind w:left="720" w:hanging="720"/>
      </w:pPr>
      <w:r w:rsidRPr="003A273B">
        <w:rPr>
          <w:rStyle w:val="FootnoteReference"/>
        </w:rPr>
        <w:footnoteRef/>
      </w:r>
      <w:r w:rsidRPr="003A273B">
        <w:t xml:space="preserve"> </w:t>
      </w:r>
      <w:r w:rsidRPr="003A273B">
        <w:tab/>
      </w:r>
      <w:r w:rsidRPr="00817B03">
        <w:rPr>
          <w:u w:val="single"/>
        </w:rPr>
        <w:t>E.g.</w:t>
      </w:r>
      <w:r>
        <w:t xml:space="preserve">, </w:t>
      </w:r>
      <w:r w:rsidRPr="001707CD">
        <w:rPr>
          <w:u w:val="single"/>
        </w:rPr>
        <w:t xml:space="preserve">Re </w:t>
      </w:r>
      <w:r>
        <w:rPr>
          <w:u w:val="single"/>
        </w:rPr>
        <w:t>PacifiCorp, dba Pac. Power, 2017</w:t>
      </w:r>
      <w:r w:rsidRPr="001707CD">
        <w:rPr>
          <w:u w:val="single"/>
        </w:rPr>
        <w:t xml:space="preserve"> Transition Adjustment Mechanism</w:t>
      </w:r>
      <w:r>
        <w:t>, OPUC Docket No. UE 307, Prehearing Conference Memorandum at 1 (Apr. 26, 2016) (Noble Solutions, a energy service supplier has “s</w:t>
      </w:r>
      <w:r w:rsidRPr="00F11EDB">
        <w:t>ufficient interest in the proceedings to participate and that their participation will not unreasonably broaden the issues, burden the r</w:t>
      </w:r>
      <w:r>
        <w:t xml:space="preserve">ecord, or delay the proceedings.”); </w:t>
      </w:r>
      <w:r w:rsidRPr="006A0867">
        <w:rPr>
          <w:u w:val="single"/>
        </w:rPr>
        <w:t>Re PacifiCorp, dba Pac. Power, 201</w:t>
      </w:r>
      <w:r>
        <w:rPr>
          <w:u w:val="single"/>
        </w:rPr>
        <w:t>6</w:t>
      </w:r>
      <w:r w:rsidRPr="006A0867">
        <w:rPr>
          <w:u w:val="single"/>
        </w:rPr>
        <w:t xml:space="preserve"> Transition Adjustment Mechanism</w:t>
      </w:r>
      <w:r w:rsidRPr="006A0867">
        <w:t xml:space="preserve">, </w:t>
      </w:r>
      <w:r>
        <w:t>OPUC Docket No. UE 296</w:t>
      </w:r>
      <w:r w:rsidRPr="006A0867">
        <w:t xml:space="preserve">, </w:t>
      </w:r>
      <w:r>
        <w:t>Prehearing Conference Memorandum at 1</w:t>
      </w:r>
      <w:r w:rsidRPr="006A0867">
        <w:t xml:space="preserve"> </w:t>
      </w:r>
      <w:r>
        <w:t xml:space="preserve">(May 1, 2015) (Two energy service suppliers (Noble Solutions and YAM Services) were granted intervention); </w:t>
      </w:r>
      <w:r>
        <w:rPr>
          <w:u w:val="single"/>
        </w:rPr>
        <w:t>Re PacifiCorp, dba Pac.</w:t>
      </w:r>
      <w:r w:rsidRPr="005939A0">
        <w:rPr>
          <w:u w:val="single"/>
        </w:rPr>
        <w:t xml:space="preserve"> Power, Transition Adjustment, Five-Year Cost of Service Op</w:t>
      </w:r>
      <w:r>
        <w:rPr>
          <w:u w:val="single"/>
        </w:rPr>
        <w:t>t</w:t>
      </w:r>
      <w:r w:rsidRPr="005939A0">
        <w:rPr>
          <w:u w:val="single"/>
        </w:rPr>
        <w:t>-Out</w:t>
      </w:r>
      <w:r>
        <w:t xml:space="preserve">, OPUC Docket No. UE 267, Ruling at 1 (May 13, 2013) (The interventions of NIPPC and three energy service suppliers (Noble, </w:t>
      </w:r>
      <w:r w:rsidRPr="005D2474">
        <w:t xml:space="preserve">Shell Energy, </w:t>
      </w:r>
      <w:r>
        <w:t xml:space="preserve">and </w:t>
      </w:r>
      <w:r w:rsidRPr="005D2474">
        <w:t>Constellation NewEnergy</w:t>
      </w:r>
      <w:r>
        <w:t xml:space="preserve">) were granted). </w:t>
      </w:r>
    </w:p>
  </w:footnote>
  <w:footnote w:id="47">
    <w:p w14:paraId="31A67E01" w14:textId="6848D3AA" w:rsidR="006B400E" w:rsidRDefault="006B400E">
      <w:pPr>
        <w:pStyle w:val="FootnoteText"/>
      </w:pPr>
      <w:r>
        <w:rPr>
          <w:rStyle w:val="FootnoteReference"/>
        </w:rPr>
        <w:footnoteRef/>
      </w:r>
      <w:r>
        <w:t xml:space="preserve"> </w:t>
      </w:r>
      <w:r>
        <w:tab/>
        <w:t>Order 04 at ¶ 25.</w:t>
      </w:r>
    </w:p>
  </w:footnote>
  <w:footnote w:id="48">
    <w:p w14:paraId="0696D831" w14:textId="3D9F5C91" w:rsidR="006B400E" w:rsidRDefault="006B400E" w:rsidP="000B2EB5">
      <w:pPr>
        <w:pStyle w:val="FootnoteText"/>
        <w:tabs>
          <w:tab w:val="left" w:pos="810"/>
        </w:tabs>
        <w:ind w:left="720" w:hanging="720"/>
      </w:pPr>
      <w:r>
        <w:rPr>
          <w:rStyle w:val="FootnoteReference"/>
        </w:rPr>
        <w:footnoteRef/>
      </w:r>
      <w:r>
        <w:t xml:space="preserve"> </w:t>
      </w:r>
      <w:r>
        <w:tab/>
      </w:r>
      <w:r w:rsidRPr="00B23D94">
        <w:rPr>
          <w:u w:val="single"/>
        </w:rPr>
        <w:t>E.g.</w:t>
      </w:r>
      <w:r>
        <w:t xml:space="preserve">, </w:t>
      </w:r>
      <w:r w:rsidRPr="00983D66">
        <w:rPr>
          <w:u w:val="single"/>
        </w:rPr>
        <w:t>Re PacifiCorp, dba Pac. Power, Transition Adjustment, Five-Year Cost of Service Opt-Out</w:t>
      </w:r>
      <w:r w:rsidRPr="00983D66">
        <w:t xml:space="preserve">, </w:t>
      </w:r>
      <w:r>
        <w:t xml:space="preserve">OPUC </w:t>
      </w:r>
      <w:r w:rsidRPr="00983D66">
        <w:t xml:space="preserve">Docket No. UE 267, Order No. </w:t>
      </w:r>
      <w:r>
        <w:t xml:space="preserve">15-060 at 1-2, 4-13 (Feb. 24, 2015) (industrial customers, NIPPC and numerous energy service suppliers litigated retail access issues); </w:t>
      </w:r>
      <w:r w:rsidRPr="00983D66">
        <w:rPr>
          <w:u w:val="single"/>
        </w:rPr>
        <w:t>Re Investigation into Direct Access Issues for Industrial and Commercial Customers Under SB 1149</w:t>
      </w:r>
      <w:r w:rsidRPr="00983D66">
        <w:t xml:space="preserve">, </w:t>
      </w:r>
      <w:r>
        <w:t xml:space="preserve">OPUC </w:t>
      </w:r>
      <w:r w:rsidRPr="00983D66">
        <w:t xml:space="preserve">Docket No. UM 1081, Order No. 04-516 at </w:t>
      </w:r>
      <w:r>
        <w:t>3-15</w:t>
      </w:r>
      <w:r w:rsidRPr="00983D66">
        <w:t xml:space="preserve"> (Sept. 14, 2004)</w:t>
      </w:r>
      <w:r>
        <w:t xml:space="preserve"> (eligible customers and energy service supplier litigated direct access issues)</w:t>
      </w:r>
      <w:r w:rsidRPr="00983D66">
        <w:t xml:space="preserve">.    </w:t>
      </w:r>
    </w:p>
  </w:footnote>
  <w:footnote w:id="49">
    <w:p w14:paraId="63F073EA" w14:textId="77777777" w:rsidR="006B400E" w:rsidRDefault="006B400E" w:rsidP="000B2EB5">
      <w:pPr>
        <w:pStyle w:val="FootnoteText"/>
        <w:tabs>
          <w:tab w:val="left" w:pos="810"/>
        </w:tabs>
        <w:ind w:left="720" w:hanging="720"/>
      </w:pPr>
      <w:r>
        <w:rPr>
          <w:rStyle w:val="FootnoteReference"/>
        </w:rPr>
        <w:footnoteRef/>
      </w:r>
      <w:r>
        <w:t xml:space="preserve"> </w:t>
      </w:r>
      <w:r>
        <w:tab/>
      </w:r>
      <w:r w:rsidRPr="00621C27">
        <w:rPr>
          <w:u w:val="single"/>
        </w:rPr>
        <w:t>E.g.</w:t>
      </w:r>
      <w:r>
        <w:t xml:space="preserve">, </w:t>
      </w:r>
      <w:r w:rsidRPr="00F94938">
        <w:rPr>
          <w:u w:val="single"/>
        </w:rPr>
        <w:t xml:space="preserve">Re </w:t>
      </w:r>
      <w:r>
        <w:rPr>
          <w:u w:val="single"/>
        </w:rPr>
        <w:t>PacifiCorp, dba Pac. Power, 2017</w:t>
      </w:r>
      <w:r w:rsidRPr="00F94938">
        <w:rPr>
          <w:u w:val="single"/>
        </w:rPr>
        <w:t xml:space="preserve"> Transition Adjustment Mechanism</w:t>
      </w:r>
      <w:r w:rsidRPr="00F94938">
        <w:t xml:space="preserve">, </w:t>
      </w:r>
      <w:r>
        <w:t xml:space="preserve">OPUC </w:t>
      </w:r>
      <w:r w:rsidRPr="00F94938">
        <w:t xml:space="preserve">Docket No. UE 307, </w:t>
      </w:r>
      <w:r>
        <w:t>Order No. 16-418 at 1-2 (Oct. 27, 2016) (only Noble Solutions raised retail access issues).</w:t>
      </w:r>
    </w:p>
  </w:footnote>
  <w:footnote w:id="50">
    <w:p w14:paraId="32B6E1A1" w14:textId="77777777" w:rsidR="006B400E" w:rsidRDefault="006B400E" w:rsidP="00C776BB">
      <w:pPr>
        <w:pStyle w:val="FootnoteText"/>
        <w:ind w:left="720" w:hanging="720"/>
      </w:pPr>
      <w:r>
        <w:rPr>
          <w:rStyle w:val="FootnoteReference"/>
        </w:rPr>
        <w:footnoteRef/>
      </w:r>
      <w:r>
        <w:t xml:space="preserve"> </w:t>
      </w:r>
      <w:r>
        <w:tab/>
      </w:r>
      <w:r w:rsidRPr="00321F8E">
        <w:rPr>
          <w:u w:val="single"/>
        </w:rPr>
        <w:t>See</w:t>
      </w:r>
      <w:r>
        <w:t xml:space="preserve"> </w:t>
      </w:r>
      <w:r w:rsidRPr="00C8673E">
        <w:rPr>
          <w:u w:val="single"/>
        </w:rPr>
        <w:t>Re PGE Petition for Partial Waiver of Competitive Bidding Guidelines and Approval of Request for Proposal Schedule</w:t>
      </w:r>
      <w:r>
        <w:t xml:space="preserve">, OPUC Docket No. UM 1773, NIPPC Petition to Intervene (May 13, 2016); </w:t>
      </w:r>
      <w:r w:rsidRPr="00C8673E">
        <w:rPr>
          <w:u w:val="single"/>
        </w:rPr>
        <w:t>Re PGE Request for Proposals for Capacity Resources</w:t>
      </w:r>
      <w:r>
        <w:t xml:space="preserve">, OPUC Docket No. UM 1535, NIPPC Petition to Intervene (Mar. 29, 2011); </w:t>
      </w:r>
      <w:r w:rsidRPr="00C8673E">
        <w:rPr>
          <w:u w:val="single"/>
        </w:rPr>
        <w:t>Re NIPPC Request for Investigation into PacifiCorp’s 2016 RFP</w:t>
      </w:r>
      <w:r>
        <w:t>, OPUC Docket No. UM 1771, AR 598, NIPPC Petition for Temporary Rulemaking and Investigation (Apr. 25, 2016).</w:t>
      </w:r>
    </w:p>
  </w:footnote>
  <w:footnote w:id="51">
    <w:p w14:paraId="2CFABB73" w14:textId="3671A208" w:rsidR="006B400E" w:rsidRDefault="006B400E" w:rsidP="00C776BB">
      <w:pPr>
        <w:pStyle w:val="FootnoteText"/>
        <w:ind w:left="720" w:hanging="720"/>
      </w:pPr>
      <w:r>
        <w:rPr>
          <w:rStyle w:val="FootnoteReference"/>
        </w:rPr>
        <w:footnoteRef/>
      </w:r>
      <w:r>
        <w:t xml:space="preserve"> </w:t>
      </w:r>
      <w:r>
        <w:tab/>
      </w:r>
      <w:r>
        <w:rPr>
          <w:u w:val="single"/>
        </w:rPr>
        <w:t>Re PacifiCorp, dba Pac.</w:t>
      </w:r>
      <w:r w:rsidRPr="00B80EE3">
        <w:rPr>
          <w:u w:val="single"/>
        </w:rPr>
        <w:t xml:space="preserve"> Power, Petition for Approval of the 2017 PacifiCorp Inter-Jurisdictional Allocation Protocol</w:t>
      </w:r>
      <w:r>
        <w:t xml:space="preserve">, OPUC Docket No. UM 1050, NIPPC’s Signatory Pages (Apr. 15, 2016); </w:t>
      </w:r>
      <w:r w:rsidRPr="00B80EE3">
        <w:rPr>
          <w:u w:val="single"/>
        </w:rPr>
        <w:t>Re Investigation Regarding Competitive Bidding</w:t>
      </w:r>
      <w:r>
        <w:t xml:space="preserve">, OPUC Docket No. UM 1182, NIPPC’s Signatory Pages (Nov. 16, 2012); </w:t>
      </w:r>
      <w:r>
        <w:rPr>
          <w:u w:val="single"/>
        </w:rPr>
        <w:t>Re PacifiCorp, dba Pac.</w:t>
      </w:r>
      <w:r w:rsidRPr="005939A0">
        <w:rPr>
          <w:u w:val="single"/>
        </w:rPr>
        <w:t xml:space="preserve"> Power, Transition Adjustment, Five-Year Cost of Service Op</w:t>
      </w:r>
      <w:r>
        <w:rPr>
          <w:u w:val="single"/>
        </w:rPr>
        <w:t>t</w:t>
      </w:r>
      <w:r w:rsidRPr="005939A0">
        <w:rPr>
          <w:u w:val="single"/>
        </w:rPr>
        <w:t>-Out</w:t>
      </w:r>
      <w:r>
        <w:t xml:space="preserve">, OPUC Docket No. UE 267, Order No. 13-090 (Mar. 18, 2013) (NIPPC filed comments, but did not file Signatory Pages or access any confidential materials); </w:t>
      </w:r>
      <w:r w:rsidRPr="00CB60DE">
        <w:rPr>
          <w:u w:val="single"/>
        </w:rPr>
        <w:t>Re Investigation into Qualifying Facility Contracting and Pricing</w:t>
      </w:r>
      <w:r>
        <w:t>, OPUC Docket No. UM 1610, Order No. 16-434 (Nov. 15, 2016) (NIPPC filed joint comments along with other parties, but did not file Signatory Pages or access any confidential materials).</w:t>
      </w:r>
    </w:p>
  </w:footnote>
  <w:footnote w:id="52">
    <w:p w14:paraId="29F5FC14" w14:textId="552D5F9B" w:rsidR="006B400E" w:rsidRDefault="006B400E" w:rsidP="00C776BB">
      <w:pPr>
        <w:pStyle w:val="FootnoteText"/>
        <w:ind w:left="720" w:hanging="720"/>
      </w:pPr>
      <w:r>
        <w:rPr>
          <w:rStyle w:val="FootnoteReference"/>
        </w:rPr>
        <w:footnoteRef/>
      </w:r>
      <w:r>
        <w:t xml:space="preserve"> </w:t>
      </w:r>
      <w:r>
        <w:tab/>
      </w:r>
      <w:r w:rsidRPr="000669E6">
        <w:rPr>
          <w:iCs/>
          <w:u w:val="single"/>
        </w:rPr>
        <w:t>Wash. Utils. &amp; Transp. Co</w:t>
      </w:r>
      <w:r>
        <w:rPr>
          <w:iCs/>
          <w:u w:val="single"/>
        </w:rPr>
        <w:t>mm’n</w:t>
      </w:r>
      <w:r w:rsidRPr="00594B2F">
        <w:rPr>
          <w:u w:val="single"/>
        </w:rPr>
        <w:t xml:space="preserve"> </w:t>
      </w:r>
      <w:r w:rsidRPr="00972FB8">
        <w:rPr>
          <w:u w:val="single"/>
        </w:rPr>
        <w:t>v. PSE</w:t>
      </w:r>
      <w:r>
        <w:t xml:space="preserve">, Docket No. UE-161123, Order 03 Protective Order With “Highly Confidential” Provisions at ¶ 14 (Nov. 17, 2016); </w:t>
      </w:r>
      <w:r>
        <w:rPr>
          <w:u w:val="single"/>
        </w:rPr>
        <w:t>see</w:t>
      </w:r>
      <w:r w:rsidRPr="000113E7">
        <w:t xml:space="preserve"> </w:t>
      </w:r>
      <w:r w:rsidRPr="000669E6">
        <w:rPr>
          <w:iCs/>
          <w:u w:val="single"/>
        </w:rPr>
        <w:t>Wash. Utils. &amp; Transp. Co</w:t>
      </w:r>
      <w:r>
        <w:rPr>
          <w:iCs/>
          <w:u w:val="single"/>
        </w:rPr>
        <w:t>mm’n</w:t>
      </w:r>
      <w:r w:rsidRPr="00594B2F">
        <w:rPr>
          <w:u w:val="single"/>
        </w:rPr>
        <w:t xml:space="preserve"> </w:t>
      </w:r>
      <w:r w:rsidRPr="00972FB8">
        <w:rPr>
          <w:u w:val="single"/>
        </w:rPr>
        <w:t>v. PSE</w:t>
      </w:r>
      <w:r>
        <w:t>, Docket Nos. UE-111048 and UG-111049 (consolidated) Order 01 Protective Order With “Highly Confidential” Provisions at ¶ 14 (June 17,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24D"/>
    <w:multiLevelType w:val="hybridMultilevel"/>
    <w:tmpl w:val="3DB48B48"/>
    <w:lvl w:ilvl="0" w:tplc="2DDC9F0E">
      <w:start w:val="1"/>
      <w:numFmt w:val="decimal"/>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724C2E"/>
    <w:multiLevelType w:val="hybridMultilevel"/>
    <w:tmpl w:val="686EB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07FF6"/>
    <w:multiLevelType w:val="hybridMultilevel"/>
    <w:tmpl w:val="012C2C4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130E1"/>
    <w:multiLevelType w:val="multilevel"/>
    <w:tmpl w:val="66DA40B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5D4999"/>
    <w:multiLevelType w:val="hybridMultilevel"/>
    <w:tmpl w:val="B36E1A76"/>
    <w:lvl w:ilvl="0" w:tplc="6C600760">
      <w:start w:val="1"/>
      <w:numFmt w:val="decimal"/>
      <w:lvlText w:val="%1."/>
      <w:lvlJc w:val="left"/>
      <w:pPr>
        <w:ind w:left="0" w:hanging="360"/>
      </w:pPr>
      <w:rPr>
        <w:rFonts w:hint="default"/>
      </w:rPr>
    </w:lvl>
    <w:lvl w:ilvl="1" w:tplc="6C6007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E3AE8"/>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26673C"/>
    <w:multiLevelType w:val="hybridMultilevel"/>
    <w:tmpl w:val="849A9B6C"/>
    <w:lvl w:ilvl="0" w:tplc="00528236">
      <w:start w:val="1"/>
      <w:numFmt w:val="decimal"/>
      <w:lvlText w:val="%1."/>
      <w:lvlJc w:val="left"/>
      <w:pPr>
        <w:ind w:left="1440" w:hanging="18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AE42DB"/>
    <w:multiLevelType w:val="multilevel"/>
    <w:tmpl w:val="EB768D30"/>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9A5C57"/>
    <w:multiLevelType w:val="hybridMultilevel"/>
    <w:tmpl w:val="66DA40B2"/>
    <w:lvl w:ilvl="0" w:tplc="D74AED86">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53170"/>
    <w:multiLevelType w:val="hybridMultilevel"/>
    <w:tmpl w:val="A1E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E7A10"/>
    <w:multiLevelType w:val="hybridMultilevel"/>
    <w:tmpl w:val="2F183434"/>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013C2"/>
    <w:multiLevelType w:val="multilevel"/>
    <w:tmpl w:val="849A9B6C"/>
    <w:lvl w:ilvl="0">
      <w:start w:val="1"/>
      <w:numFmt w:val="decimal"/>
      <w:lvlText w:val="%1."/>
      <w:lvlJc w:val="left"/>
      <w:pPr>
        <w:ind w:left="1440" w:hanging="180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51F167A"/>
    <w:multiLevelType w:val="multilevel"/>
    <w:tmpl w:val="0186CD60"/>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FA108E"/>
    <w:multiLevelType w:val="hybridMultilevel"/>
    <w:tmpl w:val="97368E60"/>
    <w:lvl w:ilvl="0" w:tplc="6C600760">
      <w:start w:val="1"/>
      <w:numFmt w:val="decimal"/>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3F2A6B"/>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F30150"/>
    <w:multiLevelType w:val="hybridMultilevel"/>
    <w:tmpl w:val="0186CD60"/>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116DD"/>
    <w:multiLevelType w:val="hybridMultilevel"/>
    <w:tmpl w:val="ADC637F2"/>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D3624"/>
    <w:multiLevelType w:val="multilevel"/>
    <w:tmpl w:val="3DB48B48"/>
    <w:lvl w:ilvl="0">
      <w:start w:val="1"/>
      <w:numFmt w:val="decimal"/>
      <w:lvlText w:val="%1."/>
      <w:lvlJc w:val="right"/>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F6A57F2"/>
    <w:multiLevelType w:val="hybridMultilevel"/>
    <w:tmpl w:val="3D6A5E4C"/>
    <w:lvl w:ilvl="0" w:tplc="565EB126">
      <w:start w:val="1"/>
      <w:numFmt w:val="decimal"/>
      <w:lvlText w:val="%1."/>
      <w:lvlJc w:val="right"/>
      <w:pPr>
        <w:ind w:left="1440" w:hanging="144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B767B2"/>
    <w:multiLevelType w:val="hybridMultilevel"/>
    <w:tmpl w:val="D920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D0845"/>
    <w:multiLevelType w:val="hybridMultilevel"/>
    <w:tmpl w:val="EB768D3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14193"/>
    <w:multiLevelType w:val="multilevel"/>
    <w:tmpl w:val="3D6A5E4C"/>
    <w:lvl w:ilvl="0">
      <w:start w:val="1"/>
      <w:numFmt w:val="decimal"/>
      <w:lvlText w:val="%1."/>
      <w:lvlJc w:val="right"/>
      <w:pPr>
        <w:ind w:left="1440" w:hanging="144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8240538"/>
    <w:multiLevelType w:val="hybridMultilevel"/>
    <w:tmpl w:val="ED1CC8A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10EFE"/>
    <w:multiLevelType w:val="hybridMultilevel"/>
    <w:tmpl w:val="0A2224B8"/>
    <w:lvl w:ilvl="0" w:tplc="A3AEDB7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2707FB4"/>
    <w:multiLevelType w:val="hybridMultilevel"/>
    <w:tmpl w:val="E3CE190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815C5C"/>
    <w:multiLevelType w:val="hybridMultilevel"/>
    <w:tmpl w:val="9E8A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71166"/>
    <w:multiLevelType w:val="multilevel"/>
    <w:tmpl w:val="D92057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F1A4D82"/>
    <w:multiLevelType w:val="multilevel"/>
    <w:tmpl w:val="97368E60"/>
    <w:lvl w:ilvl="0">
      <w:start w:val="1"/>
      <w:numFmt w:val="decimal"/>
      <w:lvlText w:val="%1."/>
      <w:lvlJc w:val="left"/>
      <w:pPr>
        <w:ind w:left="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3"/>
  </w:num>
  <w:num w:numId="2">
    <w:abstractNumId w:val="19"/>
  </w:num>
  <w:num w:numId="3">
    <w:abstractNumId w:val="27"/>
  </w:num>
  <w:num w:numId="4">
    <w:abstractNumId w:val="6"/>
  </w:num>
  <w:num w:numId="5">
    <w:abstractNumId w:val="11"/>
  </w:num>
  <w:num w:numId="6">
    <w:abstractNumId w:val="13"/>
  </w:num>
  <w:num w:numId="7">
    <w:abstractNumId w:val="28"/>
  </w:num>
  <w:num w:numId="8">
    <w:abstractNumId w:val="2"/>
  </w:num>
  <w:num w:numId="9">
    <w:abstractNumId w:val="5"/>
  </w:num>
  <w:num w:numId="10">
    <w:abstractNumId w:val="14"/>
  </w:num>
  <w:num w:numId="11">
    <w:abstractNumId w:val="4"/>
  </w:num>
  <w:num w:numId="12">
    <w:abstractNumId w:val="10"/>
  </w:num>
  <w:num w:numId="13">
    <w:abstractNumId w:val="16"/>
  </w:num>
  <w:num w:numId="14">
    <w:abstractNumId w:val="15"/>
  </w:num>
  <w:num w:numId="15">
    <w:abstractNumId w:val="12"/>
  </w:num>
  <w:num w:numId="16">
    <w:abstractNumId w:val="25"/>
  </w:num>
  <w:num w:numId="17">
    <w:abstractNumId w:val="9"/>
  </w:num>
  <w:num w:numId="18">
    <w:abstractNumId w:val="22"/>
  </w:num>
  <w:num w:numId="19">
    <w:abstractNumId w:val="8"/>
  </w:num>
  <w:num w:numId="20">
    <w:abstractNumId w:val="3"/>
  </w:num>
  <w:num w:numId="21">
    <w:abstractNumId w:val="20"/>
  </w:num>
  <w:num w:numId="22">
    <w:abstractNumId w:val="7"/>
  </w:num>
  <w:num w:numId="23">
    <w:abstractNumId w:val="0"/>
  </w:num>
  <w:num w:numId="24">
    <w:abstractNumId w:val="17"/>
  </w:num>
  <w:num w:numId="25">
    <w:abstractNumId w:val="18"/>
  </w:num>
  <w:num w:numId="26">
    <w:abstractNumId w:val="21"/>
  </w:num>
  <w:num w:numId="27">
    <w:abstractNumId w:val="24"/>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2"/>
    <w:rsid w:val="0000209B"/>
    <w:rsid w:val="0000482B"/>
    <w:rsid w:val="000101D7"/>
    <w:rsid w:val="000112B1"/>
    <w:rsid w:val="000113E7"/>
    <w:rsid w:val="00011931"/>
    <w:rsid w:val="00014CB0"/>
    <w:rsid w:val="00023103"/>
    <w:rsid w:val="00023324"/>
    <w:rsid w:val="0002356E"/>
    <w:rsid w:val="00031166"/>
    <w:rsid w:val="00031D0A"/>
    <w:rsid w:val="00040489"/>
    <w:rsid w:val="000457F0"/>
    <w:rsid w:val="00050975"/>
    <w:rsid w:val="00052728"/>
    <w:rsid w:val="000529E9"/>
    <w:rsid w:val="00055B8B"/>
    <w:rsid w:val="00061EBA"/>
    <w:rsid w:val="0006241B"/>
    <w:rsid w:val="00064746"/>
    <w:rsid w:val="000678A4"/>
    <w:rsid w:val="00070BAE"/>
    <w:rsid w:val="00070E9D"/>
    <w:rsid w:val="00076ABF"/>
    <w:rsid w:val="00076E21"/>
    <w:rsid w:val="000909C6"/>
    <w:rsid w:val="00090E17"/>
    <w:rsid w:val="000932B6"/>
    <w:rsid w:val="000A119D"/>
    <w:rsid w:val="000A12AD"/>
    <w:rsid w:val="000A1CEA"/>
    <w:rsid w:val="000A4BD2"/>
    <w:rsid w:val="000A6234"/>
    <w:rsid w:val="000A6484"/>
    <w:rsid w:val="000B0AFC"/>
    <w:rsid w:val="000B2EB5"/>
    <w:rsid w:val="000B4586"/>
    <w:rsid w:val="000B60FA"/>
    <w:rsid w:val="000B7029"/>
    <w:rsid w:val="000B7B0E"/>
    <w:rsid w:val="000C0C2C"/>
    <w:rsid w:val="000C3C3C"/>
    <w:rsid w:val="000D25D7"/>
    <w:rsid w:val="000D6A59"/>
    <w:rsid w:val="000D731B"/>
    <w:rsid w:val="000F0B8D"/>
    <w:rsid w:val="000F3D40"/>
    <w:rsid w:val="0011145B"/>
    <w:rsid w:val="00113FC8"/>
    <w:rsid w:val="00117E20"/>
    <w:rsid w:val="00120038"/>
    <w:rsid w:val="00121783"/>
    <w:rsid w:val="001225A8"/>
    <w:rsid w:val="00122B57"/>
    <w:rsid w:val="00126194"/>
    <w:rsid w:val="00127D50"/>
    <w:rsid w:val="00130AEC"/>
    <w:rsid w:val="00134FB1"/>
    <w:rsid w:val="0014076F"/>
    <w:rsid w:val="00141E33"/>
    <w:rsid w:val="001423F1"/>
    <w:rsid w:val="001519A6"/>
    <w:rsid w:val="00152A5C"/>
    <w:rsid w:val="001530E5"/>
    <w:rsid w:val="001620A7"/>
    <w:rsid w:val="001649E4"/>
    <w:rsid w:val="001669E2"/>
    <w:rsid w:val="00170F19"/>
    <w:rsid w:val="00172519"/>
    <w:rsid w:val="00180650"/>
    <w:rsid w:val="00183218"/>
    <w:rsid w:val="00183862"/>
    <w:rsid w:val="00184A6F"/>
    <w:rsid w:val="00184F78"/>
    <w:rsid w:val="0019573A"/>
    <w:rsid w:val="001A03E0"/>
    <w:rsid w:val="001A0CB9"/>
    <w:rsid w:val="001A528A"/>
    <w:rsid w:val="001A73B2"/>
    <w:rsid w:val="001B29CB"/>
    <w:rsid w:val="001B59EB"/>
    <w:rsid w:val="001B7E9E"/>
    <w:rsid w:val="001D0AB3"/>
    <w:rsid w:val="001D0D1D"/>
    <w:rsid w:val="001D13A1"/>
    <w:rsid w:val="001D437F"/>
    <w:rsid w:val="001E0DFA"/>
    <w:rsid w:val="001E0F19"/>
    <w:rsid w:val="001E2CA7"/>
    <w:rsid w:val="001E4E7C"/>
    <w:rsid w:val="001F254C"/>
    <w:rsid w:val="002009D6"/>
    <w:rsid w:val="00207AB6"/>
    <w:rsid w:val="002126D4"/>
    <w:rsid w:val="00213EA5"/>
    <w:rsid w:val="002148C5"/>
    <w:rsid w:val="0021497E"/>
    <w:rsid w:val="002159A1"/>
    <w:rsid w:val="00223A2D"/>
    <w:rsid w:val="0022416A"/>
    <w:rsid w:val="002255F2"/>
    <w:rsid w:val="00227C69"/>
    <w:rsid w:val="002308AC"/>
    <w:rsid w:val="00230EB4"/>
    <w:rsid w:val="00242500"/>
    <w:rsid w:val="00245175"/>
    <w:rsid w:val="00254335"/>
    <w:rsid w:val="00257578"/>
    <w:rsid w:val="00260920"/>
    <w:rsid w:val="00265EEB"/>
    <w:rsid w:val="00267A25"/>
    <w:rsid w:val="00271634"/>
    <w:rsid w:val="0027482A"/>
    <w:rsid w:val="002757B1"/>
    <w:rsid w:val="00283EF2"/>
    <w:rsid w:val="002865A3"/>
    <w:rsid w:val="00290525"/>
    <w:rsid w:val="00295EB7"/>
    <w:rsid w:val="002B33A4"/>
    <w:rsid w:val="002C53A5"/>
    <w:rsid w:val="002C6189"/>
    <w:rsid w:val="002D3137"/>
    <w:rsid w:val="002D3711"/>
    <w:rsid w:val="002D4CA1"/>
    <w:rsid w:val="002D5C59"/>
    <w:rsid w:val="002E45B8"/>
    <w:rsid w:val="002E6011"/>
    <w:rsid w:val="002F0B88"/>
    <w:rsid w:val="002F1A26"/>
    <w:rsid w:val="002F275E"/>
    <w:rsid w:val="002F3E1D"/>
    <w:rsid w:val="002F4AF9"/>
    <w:rsid w:val="00301C91"/>
    <w:rsid w:val="00303B4A"/>
    <w:rsid w:val="00303D69"/>
    <w:rsid w:val="00304BFE"/>
    <w:rsid w:val="00310DEF"/>
    <w:rsid w:val="003115F3"/>
    <w:rsid w:val="003139F2"/>
    <w:rsid w:val="0031421B"/>
    <w:rsid w:val="003151F3"/>
    <w:rsid w:val="00316C68"/>
    <w:rsid w:val="0032110B"/>
    <w:rsid w:val="00321F8E"/>
    <w:rsid w:val="003257E2"/>
    <w:rsid w:val="00331DB2"/>
    <w:rsid w:val="003357A1"/>
    <w:rsid w:val="00341D2C"/>
    <w:rsid w:val="00344FF9"/>
    <w:rsid w:val="003520C0"/>
    <w:rsid w:val="00364F3A"/>
    <w:rsid w:val="00365B22"/>
    <w:rsid w:val="00371117"/>
    <w:rsid w:val="003758DD"/>
    <w:rsid w:val="0037612A"/>
    <w:rsid w:val="00382018"/>
    <w:rsid w:val="00384248"/>
    <w:rsid w:val="00390FB4"/>
    <w:rsid w:val="0039344D"/>
    <w:rsid w:val="003A25A5"/>
    <w:rsid w:val="003A5958"/>
    <w:rsid w:val="003A68D1"/>
    <w:rsid w:val="003B09C5"/>
    <w:rsid w:val="003B1143"/>
    <w:rsid w:val="003B2C72"/>
    <w:rsid w:val="003B40EF"/>
    <w:rsid w:val="003C3928"/>
    <w:rsid w:val="003C7C8A"/>
    <w:rsid w:val="003D03F0"/>
    <w:rsid w:val="003D7EC0"/>
    <w:rsid w:val="003E15B5"/>
    <w:rsid w:val="003E76C0"/>
    <w:rsid w:val="003F6C6D"/>
    <w:rsid w:val="00412391"/>
    <w:rsid w:val="004151FF"/>
    <w:rsid w:val="004169C9"/>
    <w:rsid w:val="0042072F"/>
    <w:rsid w:val="00422DB4"/>
    <w:rsid w:val="00423DC4"/>
    <w:rsid w:val="004346D0"/>
    <w:rsid w:val="00435E7E"/>
    <w:rsid w:val="00442290"/>
    <w:rsid w:val="00443EC1"/>
    <w:rsid w:val="00444E1D"/>
    <w:rsid w:val="004453A7"/>
    <w:rsid w:val="00451AC7"/>
    <w:rsid w:val="00454391"/>
    <w:rsid w:val="004563C8"/>
    <w:rsid w:val="004565FC"/>
    <w:rsid w:val="0046324C"/>
    <w:rsid w:val="00465C44"/>
    <w:rsid w:val="00472CBD"/>
    <w:rsid w:val="00477EDA"/>
    <w:rsid w:val="0048270B"/>
    <w:rsid w:val="004836C5"/>
    <w:rsid w:val="004A42A1"/>
    <w:rsid w:val="004B0237"/>
    <w:rsid w:val="004B06A9"/>
    <w:rsid w:val="004B102E"/>
    <w:rsid w:val="004B2996"/>
    <w:rsid w:val="004C0276"/>
    <w:rsid w:val="004C23A4"/>
    <w:rsid w:val="004C7953"/>
    <w:rsid w:val="004E427D"/>
    <w:rsid w:val="004E431F"/>
    <w:rsid w:val="004E6470"/>
    <w:rsid w:val="004E791C"/>
    <w:rsid w:val="004F106E"/>
    <w:rsid w:val="004F4489"/>
    <w:rsid w:val="004F7DDF"/>
    <w:rsid w:val="0050087A"/>
    <w:rsid w:val="00505C91"/>
    <w:rsid w:val="0051556C"/>
    <w:rsid w:val="00516B91"/>
    <w:rsid w:val="00523F20"/>
    <w:rsid w:val="00525829"/>
    <w:rsid w:val="00525CE3"/>
    <w:rsid w:val="00525E22"/>
    <w:rsid w:val="005271A5"/>
    <w:rsid w:val="00530518"/>
    <w:rsid w:val="00531335"/>
    <w:rsid w:val="0054485C"/>
    <w:rsid w:val="005608BE"/>
    <w:rsid w:val="00560FF2"/>
    <w:rsid w:val="00571FC8"/>
    <w:rsid w:val="00583375"/>
    <w:rsid w:val="00583480"/>
    <w:rsid w:val="00583E21"/>
    <w:rsid w:val="0058714B"/>
    <w:rsid w:val="0059632A"/>
    <w:rsid w:val="00597E43"/>
    <w:rsid w:val="005A039A"/>
    <w:rsid w:val="005A27BE"/>
    <w:rsid w:val="005A36AA"/>
    <w:rsid w:val="005A5003"/>
    <w:rsid w:val="005A7A2A"/>
    <w:rsid w:val="005B38EB"/>
    <w:rsid w:val="005B5954"/>
    <w:rsid w:val="005C093B"/>
    <w:rsid w:val="005C3C17"/>
    <w:rsid w:val="005C69DD"/>
    <w:rsid w:val="005D1E67"/>
    <w:rsid w:val="005D5455"/>
    <w:rsid w:val="005E013D"/>
    <w:rsid w:val="005E08D4"/>
    <w:rsid w:val="005E4908"/>
    <w:rsid w:val="005F0A10"/>
    <w:rsid w:val="005F33E9"/>
    <w:rsid w:val="006019CF"/>
    <w:rsid w:val="00605D23"/>
    <w:rsid w:val="00613703"/>
    <w:rsid w:val="00623B14"/>
    <w:rsid w:val="00623E73"/>
    <w:rsid w:val="00625777"/>
    <w:rsid w:val="00626862"/>
    <w:rsid w:val="00626EF3"/>
    <w:rsid w:val="00627024"/>
    <w:rsid w:val="006336EC"/>
    <w:rsid w:val="0063490F"/>
    <w:rsid w:val="00634DDB"/>
    <w:rsid w:val="00646ED8"/>
    <w:rsid w:val="00656B7E"/>
    <w:rsid w:val="00664175"/>
    <w:rsid w:val="0066536E"/>
    <w:rsid w:val="006715E1"/>
    <w:rsid w:val="006722D9"/>
    <w:rsid w:val="00673D0B"/>
    <w:rsid w:val="0068045A"/>
    <w:rsid w:val="00682C44"/>
    <w:rsid w:val="00684829"/>
    <w:rsid w:val="006866C4"/>
    <w:rsid w:val="0068767D"/>
    <w:rsid w:val="0069255A"/>
    <w:rsid w:val="006A0E97"/>
    <w:rsid w:val="006A3AAB"/>
    <w:rsid w:val="006A5BDA"/>
    <w:rsid w:val="006A70D4"/>
    <w:rsid w:val="006B19A1"/>
    <w:rsid w:val="006B3EAB"/>
    <w:rsid w:val="006B400E"/>
    <w:rsid w:val="006B59A5"/>
    <w:rsid w:val="006B65C1"/>
    <w:rsid w:val="006C3849"/>
    <w:rsid w:val="006C43DC"/>
    <w:rsid w:val="006C5D37"/>
    <w:rsid w:val="006D69D1"/>
    <w:rsid w:val="006E08FC"/>
    <w:rsid w:val="006E526B"/>
    <w:rsid w:val="006E76F0"/>
    <w:rsid w:val="006F12A7"/>
    <w:rsid w:val="006F23D5"/>
    <w:rsid w:val="007045C1"/>
    <w:rsid w:val="007076BA"/>
    <w:rsid w:val="00714FC1"/>
    <w:rsid w:val="0071753E"/>
    <w:rsid w:val="0072035D"/>
    <w:rsid w:val="0072300E"/>
    <w:rsid w:val="00724361"/>
    <w:rsid w:val="00724D37"/>
    <w:rsid w:val="007258F0"/>
    <w:rsid w:val="00725E00"/>
    <w:rsid w:val="007261D1"/>
    <w:rsid w:val="00734BED"/>
    <w:rsid w:val="00740AF6"/>
    <w:rsid w:val="007560BE"/>
    <w:rsid w:val="0077767A"/>
    <w:rsid w:val="00782955"/>
    <w:rsid w:val="00790546"/>
    <w:rsid w:val="00792C00"/>
    <w:rsid w:val="007932B6"/>
    <w:rsid w:val="00793632"/>
    <w:rsid w:val="007A1ECB"/>
    <w:rsid w:val="007B480F"/>
    <w:rsid w:val="007B5D6D"/>
    <w:rsid w:val="007C08DB"/>
    <w:rsid w:val="007C4A44"/>
    <w:rsid w:val="007C5867"/>
    <w:rsid w:val="007C5E95"/>
    <w:rsid w:val="007D252B"/>
    <w:rsid w:val="007D4A0A"/>
    <w:rsid w:val="007D52FA"/>
    <w:rsid w:val="007E06A0"/>
    <w:rsid w:val="007E3624"/>
    <w:rsid w:val="007F37CE"/>
    <w:rsid w:val="007F58E9"/>
    <w:rsid w:val="00806854"/>
    <w:rsid w:val="008145B9"/>
    <w:rsid w:val="00814C4F"/>
    <w:rsid w:val="008161C6"/>
    <w:rsid w:val="008235E4"/>
    <w:rsid w:val="008249F9"/>
    <w:rsid w:val="008323AE"/>
    <w:rsid w:val="00833F04"/>
    <w:rsid w:val="00843531"/>
    <w:rsid w:val="008437EA"/>
    <w:rsid w:val="0084654D"/>
    <w:rsid w:val="00853475"/>
    <w:rsid w:val="008544D2"/>
    <w:rsid w:val="008551F5"/>
    <w:rsid w:val="00857CE2"/>
    <w:rsid w:val="00864958"/>
    <w:rsid w:val="00865F92"/>
    <w:rsid w:val="00866F16"/>
    <w:rsid w:val="008726E2"/>
    <w:rsid w:val="008732C9"/>
    <w:rsid w:val="00880E34"/>
    <w:rsid w:val="0088135D"/>
    <w:rsid w:val="008872D2"/>
    <w:rsid w:val="00892DDC"/>
    <w:rsid w:val="008A0870"/>
    <w:rsid w:val="008A0BD9"/>
    <w:rsid w:val="008A4BE6"/>
    <w:rsid w:val="008A5ECC"/>
    <w:rsid w:val="008B0CC3"/>
    <w:rsid w:val="008B4113"/>
    <w:rsid w:val="008B5B83"/>
    <w:rsid w:val="008C4B26"/>
    <w:rsid w:val="008D38C4"/>
    <w:rsid w:val="008E0BC3"/>
    <w:rsid w:val="008E1823"/>
    <w:rsid w:val="008E3D6D"/>
    <w:rsid w:val="008E593E"/>
    <w:rsid w:val="008E6225"/>
    <w:rsid w:val="008E6F7F"/>
    <w:rsid w:val="008F1828"/>
    <w:rsid w:val="008F7C2C"/>
    <w:rsid w:val="00905215"/>
    <w:rsid w:val="009065DF"/>
    <w:rsid w:val="00906612"/>
    <w:rsid w:val="0090663A"/>
    <w:rsid w:val="00913202"/>
    <w:rsid w:val="00914806"/>
    <w:rsid w:val="0091706D"/>
    <w:rsid w:val="0092320F"/>
    <w:rsid w:val="00927CB1"/>
    <w:rsid w:val="00931D81"/>
    <w:rsid w:val="00934279"/>
    <w:rsid w:val="00934CBE"/>
    <w:rsid w:val="00941C10"/>
    <w:rsid w:val="00953476"/>
    <w:rsid w:val="00954770"/>
    <w:rsid w:val="00954ABA"/>
    <w:rsid w:val="00956754"/>
    <w:rsid w:val="0095713B"/>
    <w:rsid w:val="0096084F"/>
    <w:rsid w:val="009611CD"/>
    <w:rsid w:val="0096593A"/>
    <w:rsid w:val="0097098F"/>
    <w:rsid w:val="0097232B"/>
    <w:rsid w:val="00972B87"/>
    <w:rsid w:val="00972FB8"/>
    <w:rsid w:val="0097354C"/>
    <w:rsid w:val="00973D9E"/>
    <w:rsid w:val="00982F6B"/>
    <w:rsid w:val="009848F1"/>
    <w:rsid w:val="00985FC7"/>
    <w:rsid w:val="00987424"/>
    <w:rsid w:val="00994794"/>
    <w:rsid w:val="00995E36"/>
    <w:rsid w:val="009A1103"/>
    <w:rsid w:val="009A2E98"/>
    <w:rsid w:val="009B7BB6"/>
    <w:rsid w:val="009D74B0"/>
    <w:rsid w:val="009E0252"/>
    <w:rsid w:val="009E3716"/>
    <w:rsid w:val="009E3A29"/>
    <w:rsid w:val="009E483A"/>
    <w:rsid w:val="009E7B11"/>
    <w:rsid w:val="009F63BF"/>
    <w:rsid w:val="009F6B60"/>
    <w:rsid w:val="00A04EAC"/>
    <w:rsid w:val="00A101F3"/>
    <w:rsid w:val="00A14596"/>
    <w:rsid w:val="00A15373"/>
    <w:rsid w:val="00A212CF"/>
    <w:rsid w:val="00A22901"/>
    <w:rsid w:val="00A2388D"/>
    <w:rsid w:val="00A261A8"/>
    <w:rsid w:val="00A26C35"/>
    <w:rsid w:val="00A31ED4"/>
    <w:rsid w:val="00A3427B"/>
    <w:rsid w:val="00A34A88"/>
    <w:rsid w:val="00A40AD0"/>
    <w:rsid w:val="00A412C9"/>
    <w:rsid w:val="00A50BD4"/>
    <w:rsid w:val="00A51F3D"/>
    <w:rsid w:val="00A5281C"/>
    <w:rsid w:val="00A649DC"/>
    <w:rsid w:val="00A65C78"/>
    <w:rsid w:val="00A718DF"/>
    <w:rsid w:val="00A75025"/>
    <w:rsid w:val="00A815B2"/>
    <w:rsid w:val="00A8687D"/>
    <w:rsid w:val="00A91456"/>
    <w:rsid w:val="00A967A6"/>
    <w:rsid w:val="00AA19BA"/>
    <w:rsid w:val="00AA1B03"/>
    <w:rsid w:val="00AA50E0"/>
    <w:rsid w:val="00AA517A"/>
    <w:rsid w:val="00AB2E33"/>
    <w:rsid w:val="00AB348E"/>
    <w:rsid w:val="00AB5AD4"/>
    <w:rsid w:val="00AB5D7B"/>
    <w:rsid w:val="00AD17B3"/>
    <w:rsid w:val="00AD2538"/>
    <w:rsid w:val="00AD4142"/>
    <w:rsid w:val="00AD435B"/>
    <w:rsid w:val="00AD4F42"/>
    <w:rsid w:val="00AD5B5D"/>
    <w:rsid w:val="00AD5D59"/>
    <w:rsid w:val="00AE36BF"/>
    <w:rsid w:val="00AE55C3"/>
    <w:rsid w:val="00AE6228"/>
    <w:rsid w:val="00AF1736"/>
    <w:rsid w:val="00B02F07"/>
    <w:rsid w:val="00B11CD9"/>
    <w:rsid w:val="00B1413F"/>
    <w:rsid w:val="00B149EA"/>
    <w:rsid w:val="00B15BD6"/>
    <w:rsid w:val="00B17330"/>
    <w:rsid w:val="00B218EC"/>
    <w:rsid w:val="00B23D94"/>
    <w:rsid w:val="00B25162"/>
    <w:rsid w:val="00B3334F"/>
    <w:rsid w:val="00B419E8"/>
    <w:rsid w:val="00B43A04"/>
    <w:rsid w:val="00B464FC"/>
    <w:rsid w:val="00B50095"/>
    <w:rsid w:val="00B514F8"/>
    <w:rsid w:val="00B547C4"/>
    <w:rsid w:val="00B577FD"/>
    <w:rsid w:val="00B60B8A"/>
    <w:rsid w:val="00B61868"/>
    <w:rsid w:val="00B73E9A"/>
    <w:rsid w:val="00B741B6"/>
    <w:rsid w:val="00B76F2C"/>
    <w:rsid w:val="00B84E1D"/>
    <w:rsid w:val="00B859C5"/>
    <w:rsid w:val="00B87FE8"/>
    <w:rsid w:val="00B95587"/>
    <w:rsid w:val="00B96FB7"/>
    <w:rsid w:val="00BA15CA"/>
    <w:rsid w:val="00BA2185"/>
    <w:rsid w:val="00BA6872"/>
    <w:rsid w:val="00BB2D1A"/>
    <w:rsid w:val="00BB5B1B"/>
    <w:rsid w:val="00BC0F90"/>
    <w:rsid w:val="00BC1E34"/>
    <w:rsid w:val="00BD17F4"/>
    <w:rsid w:val="00BE4688"/>
    <w:rsid w:val="00BE4C65"/>
    <w:rsid w:val="00BE6040"/>
    <w:rsid w:val="00BE69D9"/>
    <w:rsid w:val="00BF57CA"/>
    <w:rsid w:val="00C015A8"/>
    <w:rsid w:val="00C02820"/>
    <w:rsid w:val="00C1078A"/>
    <w:rsid w:val="00C1156B"/>
    <w:rsid w:val="00C11FC2"/>
    <w:rsid w:val="00C30E31"/>
    <w:rsid w:val="00C337A3"/>
    <w:rsid w:val="00C45F9F"/>
    <w:rsid w:val="00C55E8B"/>
    <w:rsid w:val="00C57A3C"/>
    <w:rsid w:val="00C67818"/>
    <w:rsid w:val="00C75A84"/>
    <w:rsid w:val="00C776BB"/>
    <w:rsid w:val="00C91B38"/>
    <w:rsid w:val="00C946DE"/>
    <w:rsid w:val="00C9535E"/>
    <w:rsid w:val="00C96A96"/>
    <w:rsid w:val="00CA1D92"/>
    <w:rsid w:val="00CA1E04"/>
    <w:rsid w:val="00CA4454"/>
    <w:rsid w:val="00CA5158"/>
    <w:rsid w:val="00CB5D5F"/>
    <w:rsid w:val="00CC1B4B"/>
    <w:rsid w:val="00CC2460"/>
    <w:rsid w:val="00CC6FAD"/>
    <w:rsid w:val="00CD1028"/>
    <w:rsid w:val="00CD2A70"/>
    <w:rsid w:val="00CD4140"/>
    <w:rsid w:val="00CD6F7B"/>
    <w:rsid w:val="00CD760E"/>
    <w:rsid w:val="00CE702F"/>
    <w:rsid w:val="00CF0E9A"/>
    <w:rsid w:val="00CF3660"/>
    <w:rsid w:val="00CF7652"/>
    <w:rsid w:val="00D04098"/>
    <w:rsid w:val="00D04330"/>
    <w:rsid w:val="00D11073"/>
    <w:rsid w:val="00D1166C"/>
    <w:rsid w:val="00D12227"/>
    <w:rsid w:val="00D129B5"/>
    <w:rsid w:val="00D1552B"/>
    <w:rsid w:val="00D16639"/>
    <w:rsid w:val="00D20786"/>
    <w:rsid w:val="00D21BEC"/>
    <w:rsid w:val="00D301DA"/>
    <w:rsid w:val="00D337EF"/>
    <w:rsid w:val="00D41FC5"/>
    <w:rsid w:val="00D453F4"/>
    <w:rsid w:val="00D47586"/>
    <w:rsid w:val="00D47BA3"/>
    <w:rsid w:val="00D50E34"/>
    <w:rsid w:val="00D5166C"/>
    <w:rsid w:val="00D51EB0"/>
    <w:rsid w:val="00D57785"/>
    <w:rsid w:val="00D62AC8"/>
    <w:rsid w:val="00D662F7"/>
    <w:rsid w:val="00D66701"/>
    <w:rsid w:val="00D66A67"/>
    <w:rsid w:val="00D7026B"/>
    <w:rsid w:val="00D71609"/>
    <w:rsid w:val="00D7509E"/>
    <w:rsid w:val="00D90A88"/>
    <w:rsid w:val="00D96E52"/>
    <w:rsid w:val="00D96E53"/>
    <w:rsid w:val="00DA33FB"/>
    <w:rsid w:val="00DA3E8F"/>
    <w:rsid w:val="00DA46A2"/>
    <w:rsid w:val="00DA5767"/>
    <w:rsid w:val="00DA7477"/>
    <w:rsid w:val="00DA7C36"/>
    <w:rsid w:val="00DA7FE3"/>
    <w:rsid w:val="00DC0868"/>
    <w:rsid w:val="00DC1221"/>
    <w:rsid w:val="00DC5D41"/>
    <w:rsid w:val="00DD51C2"/>
    <w:rsid w:val="00DE42A9"/>
    <w:rsid w:val="00DF1656"/>
    <w:rsid w:val="00DF6CF0"/>
    <w:rsid w:val="00E006B5"/>
    <w:rsid w:val="00E02824"/>
    <w:rsid w:val="00E02E06"/>
    <w:rsid w:val="00E059E1"/>
    <w:rsid w:val="00E14336"/>
    <w:rsid w:val="00E1793A"/>
    <w:rsid w:val="00E23D73"/>
    <w:rsid w:val="00E242C6"/>
    <w:rsid w:val="00E31D7E"/>
    <w:rsid w:val="00E32D46"/>
    <w:rsid w:val="00E34B0B"/>
    <w:rsid w:val="00E34C41"/>
    <w:rsid w:val="00E40968"/>
    <w:rsid w:val="00E46961"/>
    <w:rsid w:val="00E5236E"/>
    <w:rsid w:val="00E60502"/>
    <w:rsid w:val="00E6741C"/>
    <w:rsid w:val="00E744EF"/>
    <w:rsid w:val="00E76ED7"/>
    <w:rsid w:val="00E863D7"/>
    <w:rsid w:val="00E87BC2"/>
    <w:rsid w:val="00E91245"/>
    <w:rsid w:val="00E92B10"/>
    <w:rsid w:val="00E93886"/>
    <w:rsid w:val="00E95420"/>
    <w:rsid w:val="00EA0F5B"/>
    <w:rsid w:val="00EA17EA"/>
    <w:rsid w:val="00EA47A3"/>
    <w:rsid w:val="00EA62B9"/>
    <w:rsid w:val="00EB3CEA"/>
    <w:rsid w:val="00EB48BB"/>
    <w:rsid w:val="00EB5A90"/>
    <w:rsid w:val="00EC3D47"/>
    <w:rsid w:val="00EC4321"/>
    <w:rsid w:val="00ED0639"/>
    <w:rsid w:val="00ED153A"/>
    <w:rsid w:val="00ED67B8"/>
    <w:rsid w:val="00EE3435"/>
    <w:rsid w:val="00EE41E4"/>
    <w:rsid w:val="00EE455B"/>
    <w:rsid w:val="00EE4C22"/>
    <w:rsid w:val="00EE5D09"/>
    <w:rsid w:val="00EE67BC"/>
    <w:rsid w:val="00EE6905"/>
    <w:rsid w:val="00EF473E"/>
    <w:rsid w:val="00EF481F"/>
    <w:rsid w:val="00F03DE2"/>
    <w:rsid w:val="00F04F2C"/>
    <w:rsid w:val="00F07C83"/>
    <w:rsid w:val="00F1121B"/>
    <w:rsid w:val="00F13C02"/>
    <w:rsid w:val="00F14715"/>
    <w:rsid w:val="00F14A32"/>
    <w:rsid w:val="00F17362"/>
    <w:rsid w:val="00F2527B"/>
    <w:rsid w:val="00F2677B"/>
    <w:rsid w:val="00F2795B"/>
    <w:rsid w:val="00F27B6D"/>
    <w:rsid w:val="00F27E03"/>
    <w:rsid w:val="00F31EA6"/>
    <w:rsid w:val="00F36092"/>
    <w:rsid w:val="00F44E94"/>
    <w:rsid w:val="00F45967"/>
    <w:rsid w:val="00F51C59"/>
    <w:rsid w:val="00F55892"/>
    <w:rsid w:val="00F616ED"/>
    <w:rsid w:val="00F660F0"/>
    <w:rsid w:val="00F73AD7"/>
    <w:rsid w:val="00F74530"/>
    <w:rsid w:val="00F74A27"/>
    <w:rsid w:val="00F74EF8"/>
    <w:rsid w:val="00F81F53"/>
    <w:rsid w:val="00F864F7"/>
    <w:rsid w:val="00F865D1"/>
    <w:rsid w:val="00F87DF4"/>
    <w:rsid w:val="00FA25A0"/>
    <w:rsid w:val="00FA3408"/>
    <w:rsid w:val="00FB43FA"/>
    <w:rsid w:val="00FB4C09"/>
    <w:rsid w:val="00FB6597"/>
    <w:rsid w:val="00FB6F80"/>
    <w:rsid w:val="00FB70E1"/>
    <w:rsid w:val="00FC588E"/>
    <w:rsid w:val="00FC6CA9"/>
    <w:rsid w:val="00FC7C10"/>
    <w:rsid w:val="00FD1051"/>
    <w:rsid w:val="00FD73C7"/>
    <w:rsid w:val="00FE251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95A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paragraph" w:styleId="FootnoteText">
    <w:name w:val="footnote text"/>
    <w:basedOn w:val="Normal"/>
    <w:link w:val="FootnoteTextChar"/>
    <w:uiPriority w:val="99"/>
    <w:unhideWhenUsed/>
    <w:rsid w:val="00725E00"/>
    <w:rPr>
      <w:szCs w:val="24"/>
    </w:rPr>
  </w:style>
  <w:style w:type="character" w:customStyle="1" w:styleId="FootnoteTextChar">
    <w:name w:val="Footnote Text Char"/>
    <w:basedOn w:val="DefaultParagraphFont"/>
    <w:link w:val="FootnoteText"/>
    <w:uiPriority w:val="99"/>
    <w:rsid w:val="00725E00"/>
    <w:rPr>
      <w:sz w:val="24"/>
      <w:szCs w:val="24"/>
    </w:rPr>
  </w:style>
  <w:style w:type="character" w:styleId="FootnoteReference">
    <w:name w:val="footnote reference"/>
    <w:basedOn w:val="DefaultParagraphFont"/>
    <w:uiPriority w:val="99"/>
    <w:unhideWhenUsed/>
    <w:rsid w:val="00725E00"/>
    <w:rPr>
      <w:vertAlign w:val="superscript"/>
    </w:rPr>
  </w:style>
  <w:style w:type="character" w:styleId="CommentReference">
    <w:name w:val="annotation reference"/>
    <w:basedOn w:val="DefaultParagraphFont"/>
    <w:uiPriority w:val="99"/>
    <w:semiHidden/>
    <w:unhideWhenUsed/>
    <w:rsid w:val="00ED0639"/>
    <w:rPr>
      <w:sz w:val="18"/>
      <w:szCs w:val="18"/>
    </w:rPr>
  </w:style>
  <w:style w:type="paragraph" w:styleId="CommentText">
    <w:name w:val="annotation text"/>
    <w:basedOn w:val="Normal"/>
    <w:link w:val="CommentTextChar"/>
    <w:uiPriority w:val="99"/>
    <w:semiHidden/>
    <w:unhideWhenUsed/>
    <w:rsid w:val="00ED0639"/>
    <w:rPr>
      <w:szCs w:val="24"/>
    </w:rPr>
  </w:style>
  <w:style w:type="character" w:customStyle="1" w:styleId="CommentTextChar">
    <w:name w:val="Comment Text Char"/>
    <w:basedOn w:val="DefaultParagraphFont"/>
    <w:link w:val="CommentText"/>
    <w:uiPriority w:val="99"/>
    <w:semiHidden/>
    <w:rsid w:val="00ED0639"/>
    <w:rPr>
      <w:sz w:val="24"/>
      <w:szCs w:val="24"/>
    </w:rPr>
  </w:style>
  <w:style w:type="paragraph" w:styleId="CommentSubject">
    <w:name w:val="annotation subject"/>
    <w:basedOn w:val="CommentText"/>
    <w:next w:val="CommentText"/>
    <w:link w:val="CommentSubjectChar"/>
    <w:uiPriority w:val="99"/>
    <w:semiHidden/>
    <w:unhideWhenUsed/>
    <w:rsid w:val="00ED0639"/>
    <w:rPr>
      <w:b/>
      <w:bCs/>
      <w:sz w:val="20"/>
      <w:szCs w:val="20"/>
    </w:rPr>
  </w:style>
  <w:style w:type="character" w:customStyle="1" w:styleId="CommentSubjectChar">
    <w:name w:val="Comment Subject Char"/>
    <w:basedOn w:val="CommentTextChar"/>
    <w:link w:val="CommentSubject"/>
    <w:uiPriority w:val="99"/>
    <w:semiHidden/>
    <w:rsid w:val="00ED0639"/>
    <w:rPr>
      <w:b/>
      <w:bCs/>
      <w:sz w:val="24"/>
      <w:szCs w:val="24"/>
    </w:rPr>
  </w:style>
  <w:style w:type="paragraph" w:styleId="Revision">
    <w:name w:val="Revision"/>
    <w:hidden/>
    <w:uiPriority w:val="99"/>
    <w:semiHidden/>
    <w:rsid w:val="003A25A5"/>
    <w:rPr>
      <w:sz w:val="24"/>
    </w:rPr>
  </w:style>
  <w:style w:type="paragraph" w:styleId="DocumentMap">
    <w:name w:val="Document Map"/>
    <w:basedOn w:val="Normal"/>
    <w:link w:val="DocumentMapChar"/>
    <w:uiPriority w:val="99"/>
    <w:semiHidden/>
    <w:unhideWhenUsed/>
    <w:rsid w:val="00D129B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129B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55875">
      <w:bodyDiv w:val="1"/>
      <w:marLeft w:val="0"/>
      <w:marRight w:val="0"/>
      <w:marTop w:val="0"/>
      <w:marBottom w:val="0"/>
      <w:divBdr>
        <w:top w:val="none" w:sz="0" w:space="0" w:color="auto"/>
        <w:left w:val="none" w:sz="0" w:space="0" w:color="auto"/>
        <w:bottom w:val="none" w:sz="0" w:space="0" w:color="auto"/>
        <w:right w:val="none" w:sz="0" w:space="0" w:color="auto"/>
      </w:divBdr>
    </w:div>
    <w:div w:id="1948006811">
      <w:bodyDiv w:val="1"/>
      <w:marLeft w:val="0"/>
      <w:marRight w:val="0"/>
      <w:marTop w:val="0"/>
      <w:marBottom w:val="0"/>
      <w:divBdr>
        <w:top w:val="none" w:sz="0" w:space="0" w:color="auto"/>
        <w:left w:val="none" w:sz="0" w:space="0" w:color="auto"/>
        <w:bottom w:val="none" w:sz="0" w:space="0" w:color="auto"/>
        <w:right w:val="none" w:sz="0" w:space="0" w:color="auto"/>
      </w:divBdr>
    </w:div>
    <w:div w:id="20055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201105F-F8CA-40F9-BE37-D70254C681A7}"/>
</file>

<file path=customXml/itemProps2.xml><?xml version="1.0" encoding="utf-8"?>
<ds:datastoreItem xmlns:ds="http://schemas.openxmlformats.org/officeDocument/2006/customXml" ds:itemID="{79CDBD99-A44D-48A7-BB79-5561E7092BB3}"/>
</file>

<file path=customXml/itemProps3.xml><?xml version="1.0" encoding="utf-8"?>
<ds:datastoreItem xmlns:ds="http://schemas.openxmlformats.org/officeDocument/2006/customXml" ds:itemID="{E8CA2397-4FB0-4016-962B-B71F6EF4507F}"/>
</file>

<file path=customXml/itemProps4.xml><?xml version="1.0" encoding="utf-8"?>
<ds:datastoreItem xmlns:ds="http://schemas.openxmlformats.org/officeDocument/2006/customXml" ds:itemID="{BB7EE86E-7C91-4E93-A555-69BCD5B4581C}"/>
</file>

<file path=docProps/app.xml><?xml version="1.0" encoding="utf-8"?>
<Properties xmlns="http://schemas.openxmlformats.org/officeDocument/2006/extended-properties" xmlns:vt="http://schemas.openxmlformats.org/officeDocument/2006/docPropsVTypes">
  <Template>Normal.dotm</Template>
  <TotalTime>118</TotalTime>
  <Pages>24</Pages>
  <Words>5513</Words>
  <Characters>31426</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BEFORE THE PUBLIC UTILITY COMMISSION</vt:lpstr>
    </vt:vector>
  </TitlesOfParts>
  <Company>Davison Van Cleve</Company>
  <LinksUpToDate>false</LinksUpToDate>
  <CharactersWithSpaces>36866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dc:title>
  <dc:creator>Linda Vitale</dc:creator>
  <cp:lastModifiedBy>sidney villanueva</cp:lastModifiedBy>
  <cp:revision>18</cp:revision>
  <cp:lastPrinted>2016-12-03T00:14:00Z</cp:lastPrinted>
  <dcterms:created xsi:type="dcterms:W3CDTF">2016-12-02T18:39:00Z</dcterms:created>
  <dcterms:modified xsi:type="dcterms:W3CDTF">2016-12-03T00:35:00Z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