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9FD0" w14:textId="194D491B" w:rsidR="00C0665B" w:rsidRPr="00A24BAC" w:rsidRDefault="00B814E2" w:rsidP="00586395">
      <w:pPr>
        <w:ind w:left="5580"/>
        <w:rPr>
          <w:b/>
          <w:lang w:val="fr-FR"/>
        </w:rPr>
      </w:pPr>
      <w:r w:rsidRPr="00A24BAC">
        <w:rPr>
          <w:b/>
          <w:lang w:val="fr-FR"/>
        </w:rPr>
        <w:t>Exhibit No. ___</w:t>
      </w:r>
      <w:r w:rsidR="00DB0189">
        <w:rPr>
          <w:b/>
          <w:lang w:val="fr-FR"/>
        </w:rPr>
        <w:t xml:space="preserve"> (SP-</w:t>
      </w:r>
      <w:r w:rsidR="000F09C9">
        <w:rPr>
          <w:b/>
          <w:lang w:val="fr-FR"/>
        </w:rPr>
        <w:t>4</w:t>
      </w:r>
      <w:r w:rsidR="00DB0189">
        <w:rPr>
          <w:b/>
          <w:lang w:val="fr-FR"/>
        </w:rPr>
        <w:t>T)</w:t>
      </w:r>
    </w:p>
    <w:p w14:paraId="0C05E1E1" w14:textId="4D510094" w:rsidR="00B814E2" w:rsidRPr="00B814E2" w:rsidRDefault="00586395" w:rsidP="00586395">
      <w:pPr>
        <w:ind w:left="5580"/>
        <w:rPr>
          <w:b/>
        </w:rPr>
      </w:pPr>
      <w:r>
        <w:rPr>
          <w:b/>
        </w:rPr>
        <w:t>Docket UT-</w:t>
      </w:r>
      <w:r w:rsidR="006734AB">
        <w:rPr>
          <w:b/>
        </w:rPr>
        <w:t>140597</w:t>
      </w:r>
    </w:p>
    <w:p w14:paraId="58B73D1E" w14:textId="7CE8B92F" w:rsidR="004369C2" w:rsidRDefault="0046251D" w:rsidP="00586395">
      <w:pPr>
        <w:tabs>
          <w:tab w:val="left" w:pos="6570"/>
        </w:tabs>
        <w:ind w:left="5580"/>
        <w:rPr>
          <w:b/>
        </w:rPr>
      </w:pPr>
      <w:r>
        <w:rPr>
          <w:b/>
        </w:rPr>
        <w:t>Witness:</w:t>
      </w:r>
      <w:r w:rsidR="00586395">
        <w:rPr>
          <w:b/>
        </w:rPr>
        <w:tab/>
      </w:r>
      <w:r w:rsidR="006734AB">
        <w:rPr>
          <w:b/>
        </w:rPr>
        <w:t>Susie Paul</w:t>
      </w:r>
    </w:p>
    <w:p w14:paraId="7AAC653E" w14:textId="0B75C319" w:rsidR="008B464D" w:rsidRPr="00B814E2" w:rsidRDefault="004369C2" w:rsidP="00BA7847">
      <w:pPr>
        <w:tabs>
          <w:tab w:val="left" w:pos="6570"/>
        </w:tabs>
        <w:ind w:left="5580"/>
        <w:rPr>
          <w:b/>
        </w:rPr>
      </w:pPr>
      <w:r>
        <w:rPr>
          <w:b/>
        </w:rPr>
        <w:tab/>
      </w:r>
    </w:p>
    <w:p w14:paraId="42B4FCA0" w14:textId="77777777" w:rsidR="00B814E2" w:rsidRPr="00B814E2" w:rsidRDefault="00B814E2" w:rsidP="00B814E2">
      <w:pPr>
        <w:rPr>
          <w:b/>
        </w:rPr>
      </w:pPr>
    </w:p>
    <w:p w14:paraId="344C5EC4" w14:textId="77777777" w:rsidR="00B814E2" w:rsidRPr="00B814E2" w:rsidRDefault="00B814E2" w:rsidP="00B814E2">
      <w:pPr>
        <w:rPr>
          <w:b/>
        </w:rPr>
      </w:pPr>
    </w:p>
    <w:p w14:paraId="70DC5A78" w14:textId="77777777" w:rsidR="00B814E2" w:rsidRPr="00B814E2" w:rsidRDefault="00B814E2" w:rsidP="00B814E2">
      <w:pPr>
        <w:ind w:left="-360" w:right="-252"/>
        <w:jc w:val="center"/>
        <w:rPr>
          <w:b/>
        </w:rPr>
      </w:pPr>
      <w:r w:rsidRPr="00B814E2">
        <w:rPr>
          <w:b/>
        </w:rPr>
        <w:t>BEFORE THE WASHINGTON UTILITIES AND TRANSPORTATION COMMISSION</w:t>
      </w:r>
    </w:p>
    <w:p w14:paraId="5087A28E" w14:textId="77777777" w:rsidR="00B814E2" w:rsidRPr="00B814E2" w:rsidRDefault="00B814E2" w:rsidP="00B814E2">
      <w:pPr>
        <w:rPr>
          <w:b/>
        </w:rPr>
      </w:pPr>
    </w:p>
    <w:p w14:paraId="7E741040"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05B1E07D" w14:textId="77777777" w:rsidTr="00B13D4F">
        <w:tc>
          <w:tcPr>
            <w:tcW w:w="4590" w:type="dxa"/>
            <w:tcBorders>
              <w:top w:val="single" w:sz="6" w:space="0" w:color="FFFFFF"/>
              <w:left w:val="single" w:sz="6" w:space="0" w:color="FFFFFF"/>
              <w:bottom w:val="single" w:sz="7" w:space="0" w:color="000000"/>
              <w:right w:val="single" w:sz="6" w:space="0" w:color="FFFFFF"/>
            </w:tcBorders>
          </w:tcPr>
          <w:p w14:paraId="45A07251" w14:textId="77777777" w:rsidR="00586395" w:rsidRPr="00586395" w:rsidRDefault="00586395" w:rsidP="00586395">
            <w:pPr>
              <w:rPr>
                <w:b/>
                <w:bCs/>
              </w:rPr>
            </w:pPr>
            <w:r w:rsidRPr="00586395">
              <w:rPr>
                <w:b/>
                <w:bCs/>
              </w:rPr>
              <w:t>WASHINGTON UTILITIES AND TRANSPORTATION COMMISSION,</w:t>
            </w:r>
          </w:p>
          <w:p w14:paraId="374E6C10" w14:textId="77777777" w:rsidR="00586395" w:rsidRPr="00586395" w:rsidRDefault="00586395" w:rsidP="00586395">
            <w:pPr>
              <w:rPr>
                <w:b/>
                <w:bCs/>
              </w:rPr>
            </w:pPr>
          </w:p>
          <w:p w14:paraId="56946519" w14:textId="77777777" w:rsidR="00586395" w:rsidRPr="00586395" w:rsidRDefault="00586395" w:rsidP="00586395">
            <w:pPr>
              <w:rPr>
                <w:b/>
                <w:bCs/>
              </w:rPr>
            </w:pPr>
            <w:r w:rsidRPr="00586395">
              <w:rPr>
                <w:b/>
                <w:bCs/>
              </w:rPr>
              <w:tab/>
              <w:t>Complainant,</w:t>
            </w:r>
          </w:p>
          <w:p w14:paraId="15F74E45" w14:textId="77777777" w:rsidR="00586395" w:rsidRPr="00586395" w:rsidRDefault="00586395" w:rsidP="00586395">
            <w:pPr>
              <w:rPr>
                <w:b/>
                <w:bCs/>
              </w:rPr>
            </w:pPr>
          </w:p>
          <w:p w14:paraId="4B826CE8" w14:textId="77777777" w:rsidR="00586395" w:rsidRPr="00586395" w:rsidRDefault="00586395" w:rsidP="00586395">
            <w:pPr>
              <w:rPr>
                <w:b/>
                <w:bCs/>
              </w:rPr>
            </w:pPr>
            <w:r w:rsidRPr="00586395">
              <w:rPr>
                <w:b/>
                <w:bCs/>
              </w:rPr>
              <w:t>v.</w:t>
            </w:r>
          </w:p>
          <w:p w14:paraId="6598D0D4" w14:textId="77777777" w:rsidR="00586395" w:rsidRPr="00586395" w:rsidRDefault="00586395" w:rsidP="00586395">
            <w:pPr>
              <w:rPr>
                <w:b/>
                <w:bCs/>
              </w:rPr>
            </w:pPr>
          </w:p>
          <w:p w14:paraId="329038F9" w14:textId="478D1BF1" w:rsidR="00586395" w:rsidRPr="00586395" w:rsidRDefault="00BA7847" w:rsidP="00586395">
            <w:pPr>
              <w:rPr>
                <w:b/>
                <w:bCs/>
              </w:rPr>
            </w:pPr>
            <w:r>
              <w:rPr>
                <w:b/>
                <w:bCs/>
              </w:rPr>
              <w:t>QWEST CORPORATION d/b/a CENTURYLINK QC</w:t>
            </w:r>
            <w:r w:rsidR="00586395" w:rsidRPr="00586395">
              <w:rPr>
                <w:b/>
                <w:bCs/>
              </w:rPr>
              <w:t>,</w:t>
            </w:r>
          </w:p>
          <w:p w14:paraId="61E667C5" w14:textId="77777777" w:rsidR="00586395" w:rsidRPr="00586395" w:rsidRDefault="00586395" w:rsidP="00586395">
            <w:pPr>
              <w:rPr>
                <w:b/>
                <w:bCs/>
              </w:rPr>
            </w:pPr>
          </w:p>
          <w:p w14:paraId="5F27DD10" w14:textId="77777777" w:rsidR="00B814E2" w:rsidRDefault="00586395" w:rsidP="00586395">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17588941" w14:textId="3BDB6BF0" w:rsidR="00B814E2" w:rsidRDefault="00B814E2" w:rsidP="00B13D4F">
            <w:pPr>
              <w:ind w:firstLine="720"/>
              <w:rPr>
                <w:b/>
                <w:bCs/>
              </w:rPr>
            </w:pPr>
            <w:r>
              <w:rPr>
                <w:b/>
                <w:bCs/>
              </w:rPr>
              <w:t xml:space="preserve">DOCKET </w:t>
            </w:r>
            <w:r w:rsidR="00586395">
              <w:rPr>
                <w:b/>
                <w:bCs/>
              </w:rPr>
              <w:t>UT-</w:t>
            </w:r>
            <w:r w:rsidR="006734AB">
              <w:rPr>
                <w:b/>
                <w:bCs/>
              </w:rPr>
              <w:t>140597</w:t>
            </w:r>
          </w:p>
          <w:p w14:paraId="3A963F4E" w14:textId="77777777" w:rsidR="00B814E2" w:rsidRDefault="00B814E2" w:rsidP="00B13D4F">
            <w:pPr>
              <w:rPr>
                <w:b/>
                <w:bCs/>
              </w:rPr>
            </w:pPr>
          </w:p>
          <w:p w14:paraId="3107721F" w14:textId="77777777" w:rsidR="00B814E2" w:rsidRDefault="00B814E2" w:rsidP="00B13D4F">
            <w:pPr>
              <w:spacing w:after="19"/>
              <w:ind w:left="720"/>
              <w:rPr>
                <w:b/>
                <w:bCs/>
              </w:rPr>
            </w:pPr>
          </w:p>
        </w:tc>
      </w:tr>
    </w:tbl>
    <w:p w14:paraId="13FDCAFE" w14:textId="77777777" w:rsidR="00B814E2" w:rsidRDefault="00B814E2" w:rsidP="00B814E2">
      <w:pPr>
        <w:jc w:val="both"/>
      </w:pPr>
    </w:p>
    <w:p w14:paraId="0A6132DD" w14:textId="77777777" w:rsidR="00B814E2" w:rsidRDefault="00B814E2" w:rsidP="00B814E2">
      <w:pPr>
        <w:rPr>
          <w:b/>
          <w:bCs/>
        </w:rPr>
      </w:pPr>
    </w:p>
    <w:p w14:paraId="4DE911CA" w14:textId="77777777" w:rsidR="00B814E2" w:rsidRDefault="00B814E2" w:rsidP="00B814E2">
      <w:pPr>
        <w:rPr>
          <w:b/>
          <w:bCs/>
        </w:rPr>
      </w:pPr>
    </w:p>
    <w:p w14:paraId="015C537E" w14:textId="48A0FA88" w:rsidR="00B814E2" w:rsidRDefault="000F09C9" w:rsidP="00B814E2">
      <w:pPr>
        <w:tabs>
          <w:tab w:val="center" w:pos="4680"/>
        </w:tabs>
        <w:jc w:val="center"/>
        <w:rPr>
          <w:b/>
          <w:bCs/>
        </w:rPr>
      </w:pPr>
      <w:r>
        <w:rPr>
          <w:b/>
          <w:bCs/>
        </w:rPr>
        <w:t xml:space="preserve">REBUTTAL </w:t>
      </w:r>
      <w:r w:rsidR="00B814E2">
        <w:rPr>
          <w:b/>
          <w:bCs/>
        </w:rPr>
        <w:t>TESTIMONY OF</w:t>
      </w:r>
    </w:p>
    <w:p w14:paraId="4DFBCBD5" w14:textId="77777777" w:rsidR="00B814E2" w:rsidRDefault="00B814E2" w:rsidP="00B814E2">
      <w:pPr>
        <w:jc w:val="center"/>
        <w:rPr>
          <w:b/>
          <w:bCs/>
        </w:rPr>
      </w:pPr>
    </w:p>
    <w:p w14:paraId="3D75848F" w14:textId="606B44C7" w:rsidR="006734AB" w:rsidRDefault="006734AB" w:rsidP="008B464D">
      <w:pPr>
        <w:tabs>
          <w:tab w:val="center" w:pos="4680"/>
        </w:tabs>
        <w:jc w:val="center"/>
        <w:rPr>
          <w:b/>
          <w:bCs/>
        </w:rPr>
      </w:pPr>
      <w:r>
        <w:rPr>
          <w:b/>
          <w:bCs/>
        </w:rPr>
        <w:t>Susie Paul</w:t>
      </w:r>
    </w:p>
    <w:p w14:paraId="1088DB80" w14:textId="77777777" w:rsidR="00B814E2" w:rsidRDefault="00B814E2" w:rsidP="00B814E2">
      <w:pPr>
        <w:jc w:val="center"/>
        <w:rPr>
          <w:b/>
          <w:bCs/>
        </w:rPr>
      </w:pPr>
    </w:p>
    <w:p w14:paraId="77F01068" w14:textId="77777777" w:rsidR="00286B4A" w:rsidRPr="00286B4A" w:rsidRDefault="00286B4A" w:rsidP="00286B4A">
      <w:pPr>
        <w:jc w:val="center"/>
        <w:rPr>
          <w:b/>
          <w:bCs/>
        </w:rPr>
      </w:pPr>
      <w:r w:rsidRPr="00286B4A">
        <w:rPr>
          <w:b/>
          <w:bCs/>
        </w:rPr>
        <w:t>STAFF OF</w:t>
      </w:r>
    </w:p>
    <w:p w14:paraId="4FB256FF" w14:textId="77777777" w:rsidR="00286B4A" w:rsidRPr="00286B4A" w:rsidRDefault="00286B4A" w:rsidP="00286B4A">
      <w:pPr>
        <w:jc w:val="center"/>
        <w:rPr>
          <w:b/>
          <w:bCs/>
        </w:rPr>
      </w:pPr>
      <w:r w:rsidRPr="00286B4A">
        <w:rPr>
          <w:b/>
          <w:bCs/>
        </w:rPr>
        <w:t>WASHINGTON UTILITIES AND</w:t>
      </w:r>
    </w:p>
    <w:p w14:paraId="6D5975FE" w14:textId="6C70E153" w:rsidR="00B814E2" w:rsidRDefault="00286B4A" w:rsidP="00286B4A">
      <w:pPr>
        <w:jc w:val="center"/>
        <w:rPr>
          <w:b/>
          <w:bCs/>
        </w:rPr>
      </w:pPr>
      <w:r w:rsidRPr="00286B4A">
        <w:rPr>
          <w:b/>
          <w:bCs/>
        </w:rPr>
        <w:t>TRANSPORTATION COMMISSION</w:t>
      </w:r>
    </w:p>
    <w:p w14:paraId="2B2603EA" w14:textId="77777777" w:rsidR="00286B4A" w:rsidRDefault="00286B4A" w:rsidP="00286B4A">
      <w:pPr>
        <w:jc w:val="center"/>
        <w:rPr>
          <w:b/>
          <w:bCs/>
        </w:rPr>
      </w:pPr>
    </w:p>
    <w:p w14:paraId="1C108FD4" w14:textId="77777777" w:rsidR="00B814E2" w:rsidRDefault="00B814E2" w:rsidP="00B814E2">
      <w:pPr>
        <w:rPr>
          <w:b/>
          <w:bCs/>
        </w:rPr>
      </w:pPr>
    </w:p>
    <w:p w14:paraId="0C399DF1" w14:textId="77777777" w:rsidR="00B814E2" w:rsidRDefault="00B814E2" w:rsidP="00B814E2">
      <w:pPr>
        <w:rPr>
          <w:b/>
          <w:bCs/>
        </w:rPr>
      </w:pPr>
    </w:p>
    <w:p w14:paraId="196CE86A" w14:textId="77777777" w:rsidR="00B814E2" w:rsidRDefault="00B814E2" w:rsidP="00B814E2">
      <w:pPr>
        <w:rPr>
          <w:b/>
          <w:bCs/>
        </w:rPr>
      </w:pPr>
    </w:p>
    <w:p w14:paraId="021CF763" w14:textId="69C8ACCB" w:rsidR="00B814E2" w:rsidRDefault="000F09C9" w:rsidP="00B814E2">
      <w:pPr>
        <w:jc w:val="center"/>
        <w:rPr>
          <w:b/>
          <w:bCs/>
        </w:rPr>
      </w:pPr>
      <w:r>
        <w:rPr>
          <w:b/>
          <w:bCs/>
        </w:rPr>
        <w:t>December 8</w:t>
      </w:r>
      <w:r w:rsidR="006734AB">
        <w:rPr>
          <w:b/>
          <w:bCs/>
        </w:rPr>
        <w:t>,</w:t>
      </w:r>
      <w:r w:rsidR="00586395" w:rsidRPr="00E714D3">
        <w:rPr>
          <w:b/>
          <w:bCs/>
        </w:rPr>
        <w:t xml:space="preserve"> 2015</w:t>
      </w:r>
    </w:p>
    <w:p w14:paraId="2C4B5261" w14:textId="77777777" w:rsidR="00B814E2" w:rsidRDefault="00B814E2" w:rsidP="00B814E2"/>
    <w:p w14:paraId="60A41CAB" w14:textId="77777777" w:rsidR="00B814E2" w:rsidRDefault="00B814E2" w:rsidP="00B814E2"/>
    <w:p w14:paraId="12ECBD44"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07FBDEFB" w14:textId="77777777" w:rsidR="00B814E2" w:rsidRDefault="00B814E2" w:rsidP="00B814E2">
      <w:pPr>
        <w:spacing w:line="480" w:lineRule="auto"/>
        <w:jc w:val="center"/>
        <w:rPr>
          <w:b/>
        </w:rPr>
      </w:pPr>
      <w:r>
        <w:rPr>
          <w:b/>
        </w:rPr>
        <w:lastRenderedPageBreak/>
        <w:t>I.</w:t>
      </w:r>
      <w:r>
        <w:rPr>
          <w:b/>
        </w:rPr>
        <w:tab/>
        <w:t>INTRODUCTION</w:t>
      </w:r>
    </w:p>
    <w:p w14:paraId="64A5FADA" w14:textId="77777777" w:rsidR="00B814E2" w:rsidRDefault="00B814E2" w:rsidP="00B814E2">
      <w:pPr>
        <w:spacing w:line="480" w:lineRule="auto"/>
        <w:rPr>
          <w:b/>
        </w:rPr>
      </w:pPr>
    </w:p>
    <w:p w14:paraId="3B62AF08" w14:textId="77777777" w:rsidR="000F09C9" w:rsidRPr="000F09C9" w:rsidRDefault="000F09C9" w:rsidP="000F09C9">
      <w:pPr>
        <w:pStyle w:val="Default"/>
        <w:spacing w:line="480" w:lineRule="auto"/>
        <w:rPr>
          <w:b/>
        </w:rPr>
      </w:pPr>
      <w:r w:rsidRPr="000F09C9">
        <w:rPr>
          <w:b/>
        </w:rPr>
        <w:t>Q.</w:t>
      </w:r>
      <w:r w:rsidRPr="000F09C9">
        <w:rPr>
          <w:b/>
        </w:rPr>
        <w:tab/>
        <w:t xml:space="preserve">Please state your name and business address.  </w:t>
      </w:r>
    </w:p>
    <w:p w14:paraId="53E1AC8F" w14:textId="2949C71C" w:rsidR="000F09C9" w:rsidRDefault="000F09C9" w:rsidP="000F09C9">
      <w:pPr>
        <w:pStyle w:val="Default"/>
        <w:spacing w:line="480" w:lineRule="auto"/>
        <w:ind w:left="720" w:hanging="720"/>
      </w:pPr>
      <w:r w:rsidRPr="000F09C9">
        <w:t>A.</w:t>
      </w:r>
      <w:r w:rsidRPr="000F09C9">
        <w:tab/>
      </w:r>
      <w:r w:rsidR="00925018" w:rsidRPr="002502FE">
        <w:t xml:space="preserve">My name is </w:t>
      </w:r>
      <w:r w:rsidR="00925018">
        <w:t xml:space="preserve">Susie Paul. </w:t>
      </w:r>
      <w:r w:rsidR="00925018" w:rsidRPr="002502FE">
        <w:t xml:space="preserve">My business address is 1300 S. Evergreen Park Drive S.W., P.O. Box 47250, Olympia, WA 98504.  </w:t>
      </w:r>
    </w:p>
    <w:p w14:paraId="37C0E7B6" w14:textId="77777777" w:rsidR="000F09C9" w:rsidRPr="000F09C9" w:rsidRDefault="000F09C9" w:rsidP="000F09C9">
      <w:pPr>
        <w:pStyle w:val="Default"/>
        <w:spacing w:line="480" w:lineRule="auto"/>
        <w:ind w:left="720" w:hanging="720"/>
      </w:pPr>
    </w:p>
    <w:p w14:paraId="1B5D1CCE" w14:textId="5999B9E0" w:rsidR="000F09C9" w:rsidRPr="000F09C9" w:rsidRDefault="000F09C9" w:rsidP="000F09C9">
      <w:pPr>
        <w:pStyle w:val="Default"/>
        <w:spacing w:line="480" w:lineRule="auto"/>
        <w:ind w:left="720" w:hanging="720"/>
        <w:rPr>
          <w:b/>
        </w:rPr>
      </w:pPr>
      <w:r w:rsidRPr="000F09C9">
        <w:rPr>
          <w:b/>
        </w:rPr>
        <w:t>Q.</w:t>
      </w:r>
      <w:r w:rsidRPr="000F09C9">
        <w:rPr>
          <w:b/>
        </w:rPr>
        <w:tab/>
        <w:t xml:space="preserve">Are you the same </w:t>
      </w:r>
      <w:r w:rsidR="00925018">
        <w:rPr>
          <w:b/>
        </w:rPr>
        <w:t>witness</w:t>
      </w:r>
      <w:r w:rsidRPr="000F09C9">
        <w:rPr>
          <w:b/>
        </w:rPr>
        <w:t xml:space="preserve"> who provide</w:t>
      </w:r>
      <w:r w:rsidR="00925018">
        <w:rPr>
          <w:b/>
        </w:rPr>
        <w:t>d testimony in this proceeding (</w:t>
      </w:r>
      <w:r w:rsidRPr="000F09C9">
        <w:rPr>
          <w:b/>
        </w:rPr>
        <w:t>Exhibit</w:t>
      </w:r>
      <w:r w:rsidR="00925018">
        <w:rPr>
          <w:b/>
        </w:rPr>
        <w:t> </w:t>
      </w:r>
      <w:r w:rsidRPr="000F09C9">
        <w:rPr>
          <w:b/>
        </w:rPr>
        <w:t xml:space="preserve">No. </w:t>
      </w:r>
      <w:r w:rsidR="00925018">
        <w:rPr>
          <w:b/>
        </w:rPr>
        <w:t xml:space="preserve">SP-1T) </w:t>
      </w:r>
      <w:r w:rsidRPr="000F09C9">
        <w:rPr>
          <w:b/>
        </w:rPr>
        <w:t xml:space="preserve">on </w:t>
      </w:r>
      <w:r w:rsidR="00925018">
        <w:rPr>
          <w:b/>
        </w:rPr>
        <w:t>October 13, 2015</w:t>
      </w:r>
      <w:r w:rsidRPr="000F09C9">
        <w:rPr>
          <w:b/>
        </w:rPr>
        <w:t xml:space="preserve">, on behalf of Commission Staff? </w:t>
      </w:r>
    </w:p>
    <w:p w14:paraId="5E26D41D" w14:textId="3BAE38DC" w:rsidR="000F09C9" w:rsidRPr="000F09C9" w:rsidRDefault="00925018" w:rsidP="000F09C9">
      <w:pPr>
        <w:pStyle w:val="Default"/>
        <w:spacing w:line="480" w:lineRule="auto"/>
      </w:pPr>
      <w:r>
        <w:t>A.</w:t>
      </w:r>
      <w:r>
        <w:tab/>
        <w:t>Yes.</w:t>
      </w:r>
    </w:p>
    <w:p w14:paraId="76BD3035" w14:textId="1A00A93D" w:rsidR="00925018" w:rsidRDefault="00925018" w:rsidP="000F09C9">
      <w:pPr>
        <w:pStyle w:val="Default"/>
        <w:spacing w:line="480" w:lineRule="auto"/>
      </w:pPr>
    </w:p>
    <w:p w14:paraId="1A32F542" w14:textId="67F66184" w:rsidR="00925018" w:rsidRDefault="00925018" w:rsidP="000F09C9">
      <w:pPr>
        <w:pStyle w:val="Default"/>
        <w:spacing w:line="480" w:lineRule="auto"/>
        <w:rPr>
          <w:b/>
        </w:rPr>
      </w:pPr>
      <w:r>
        <w:rPr>
          <w:b/>
        </w:rPr>
        <w:t>Q.</w:t>
      </w:r>
      <w:r>
        <w:rPr>
          <w:b/>
        </w:rPr>
        <w:tab/>
        <w:t>What is the purpose of your current testimony?</w:t>
      </w:r>
    </w:p>
    <w:p w14:paraId="5C116879" w14:textId="454DFFA4" w:rsidR="00925018" w:rsidRDefault="00925018" w:rsidP="00925018">
      <w:pPr>
        <w:pStyle w:val="Default"/>
        <w:spacing w:line="480" w:lineRule="auto"/>
        <w:ind w:left="720" w:hanging="720"/>
      </w:pPr>
      <w:r>
        <w:t>A.</w:t>
      </w:r>
      <w:r>
        <w:tab/>
        <w:t xml:space="preserve">The purpose of this testimony is to reaffirm Staff’s support for the </w:t>
      </w:r>
      <w:r w:rsidR="00C3581B">
        <w:t xml:space="preserve">September 2015 </w:t>
      </w:r>
      <w:r w:rsidR="00B93FC9">
        <w:t>Multiparty Settlement Agreement</w:t>
      </w:r>
      <w:r w:rsidR="00C3581B">
        <w:t xml:space="preserve"> (Settlement Agreement)</w:t>
      </w:r>
      <w:r>
        <w:t xml:space="preserve"> </w:t>
      </w:r>
      <w:r w:rsidR="00C3581B">
        <w:t>entered into by Staff and CenturyLink (Settling Parties). This testimony also</w:t>
      </w:r>
      <w:r>
        <w:t xml:space="preserve"> </w:t>
      </w:r>
      <w:r w:rsidR="006F16B3">
        <w:t xml:space="preserve">responds to </w:t>
      </w:r>
      <w:r>
        <w:t xml:space="preserve">Public Counsel’s </w:t>
      </w:r>
      <w:r w:rsidR="00C3581B">
        <w:t>opposition to</w:t>
      </w:r>
      <w:r>
        <w:t xml:space="preserve"> th</w:t>
      </w:r>
      <w:r w:rsidR="00C3581B">
        <w:t>e</w:t>
      </w:r>
      <w:r>
        <w:t xml:space="preserve"> </w:t>
      </w:r>
      <w:r w:rsidR="00C3581B">
        <w:t>Settlement Agreement</w:t>
      </w:r>
      <w:r>
        <w:t>.</w:t>
      </w:r>
    </w:p>
    <w:p w14:paraId="7B24DD19" w14:textId="77777777" w:rsidR="00925018" w:rsidRDefault="00925018" w:rsidP="00925018">
      <w:pPr>
        <w:pStyle w:val="Default"/>
        <w:spacing w:line="480" w:lineRule="auto"/>
        <w:ind w:left="720" w:hanging="720"/>
      </w:pPr>
    </w:p>
    <w:p w14:paraId="4FA4024F" w14:textId="213FF138" w:rsidR="00925018" w:rsidRDefault="00925018" w:rsidP="00925018">
      <w:pPr>
        <w:pStyle w:val="Default"/>
        <w:spacing w:line="480" w:lineRule="auto"/>
        <w:ind w:left="720" w:hanging="720"/>
        <w:rPr>
          <w:b/>
        </w:rPr>
      </w:pPr>
      <w:r>
        <w:rPr>
          <w:b/>
        </w:rPr>
        <w:t>Q.</w:t>
      </w:r>
      <w:r>
        <w:rPr>
          <w:b/>
        </w:rPr>
        <w:tab/>
        <w:t>Have you reviewed the testimony filed by Public Counsel on October 27, 2015?</w:t>
      </w:r>
    </w:p>
    <w:p w14:paraId="2B3B6935" w14:textId="33D579D5" w:rsidR="00925018" w:rsidRDefault="00925018" w:rsidP="00925018">
      <w:pPr>
        <w:pStyle w:val="Default"/>
        <w:spacing w:line="480" w:lineRule="auto"/>
        <w:ind w:left="720" w:hanging="720"/>
      </w:pPr>
      <w:r>
        <w:t>A.</w:t>
      </w:r>
      <w:r>
        <w:tab/>
        <w:t>Yes</w:t>
      </w:r>
      <w:r w:rsidR="00960C4D">
        <w:t xml:space="preserve">. </w:t>
      </w:r>
      <w:r>
        <w:t xml:space="preserve">I reviewed </w:t>
      </w:r>
      <w:r w:rsidR="00B93FC9">
        <w:t xml:space="preserve">the </w:t>
      </w:r>
      <w:r>
        <w:t xml:space="preserve">testimony and supporting exhibits </w:t>
      </w:r>
      <w:r w:rsidR="00B93FC9">
        <w:t>of</w:t>
      </w:r>
      <w:r>
        <w:t xml:space="preserve"> witnesses David C. Bergmann, </w:t>
      </w:r>
      <w:r w:rsidR="00B93FC9">
        <w:t>Thomas R. Orr, and Alicia Cappola.</w:t>
      </w:r>
    </w:p>
    <w:p w14:paraId="22CF727C" w14:textId="77777777" w:rsidR="00B93FC9" w:rsidRDefault="00B93FC9" w:rsidP="00925018">
      <w:pPr>
        <w:pStyle w:val="Default"/>
        <w:spacing w:line="480" w:lineRule="auto"/>
        <w:ind w:left="720" w:hanging="720"/>
      </w:pPr>
    </w:p>
    <w:p w14:paraId="6719A8C3" w14:textId="72552439" w:rsidR="00B93FC9" w:rsidRDefault="00B93FC9" w:rsidP="00925018">
      <w:pPr>
        <w:pStyle w:val="Default"/>
        <w:spacing w:line="480" w:lineRule="auto"/>
        <w:ind w:left="720" w:hanging="720"/>
        <w:rPr>
          <w:b/>
        </w:rPr>
      </w:pPr>
      <w:r>
        <w:rPr>
          <w:b/>
        </w:rPr>
        <w:t>Q.</w:t>
      </w:r>
      <w:r>
        <w:rPr>
          <w:b/>
        </w:rPr>
        <w:tab/>
        <w:t>D</w:t>
      </w:r>
      <w:r w:rsidR="00CB152B">
        <w:rPr>
          <w:b/>
        </w:rPr>
        <w:t>oes any of this testimony diminish Staff’s</w:t>
      </w:r>
      <w:r>
        <w:rPr>
          <w:b/>
        </w:rPr>
        <w:t xml:space="preserve"> support for the Settlement Agreement?</w:t>
      </w:r>
    </w:p>
    <w:p w14:paraId="0BFC5825" w14:textId="1EDCF3A0" w:rsidR="00CB152B" w:rsidRDefault="00CB152B" w:rsidP="00CB152B">
      <w:pPr>
        <w:pStyle w:val="Default"/>
        <w:spacing w:line="480" w:lineRule="auto"/>
        <w:ind w:left="720" w:hanging="720"/>
      </w:pPr>
      <w:r>
        <w:lastRenderedPageBreak/>
        <w:t>A.</w:t>
      </w:r>
      <w:r>
        <w:tab/>
        <w:t xml:space="preserve">No. Staff </w:t>
      </w:r>
      <w:r w:rsidR="00C70E25">
        <w:t>strongly believes</w:t>
      </w:r>
      <w:r>
        <w:t xml:space="preserve"> that the Settlement Agreement is consistent with the public interest, and that it is appropriate for Commission approval.</w:t>
      </w:r>
    </w:p>
    <w:p w14:paraId="4889F089" w14:textId="77777777" w:rsidR="00C3581B" w:rsidRDefault="00C3581B" w:rsidP="00CB152B">
      <w:pPr>
        <w:pStyle w:val="Default"/>
        <w:spacing w:line="480" w:lineRule="auto"/>
        <w:ind w:left="720" w:hanging="720"/>
      </w:pPr>
    </w:p>
    <w:p w14:paraId="17BA7040" w14:textId="3F59B93D" w:rsidR="00CB152B" w:rsidRPr="00CB152B" w:rsidRDefault="00CB152B" w:rsidP="00CB152B">
      <w:pPr>
        <w:pStyle w:val="Default"/>
        <w:spacing w:line="480" w:lineRule="auto"/>
        <w:ind w:left="720" w:hanging="720"/>
        <w:jc w:val="center"/>
        <w:rPr>
          <w:b/>
        </w:rPr>
      </w:pPr>
      <w:r>
        <w:rPr>
          <w:b/>
        </w:rPr>
        <w:t>II.</w:t>
      </w:r>
      <w:r>
        <w:rPr>
          <w:b/>
        </w:rPr>
        <w:tab/>
        <w:t>REBUTTAL TO DAVID BERGMANN</w:t>
      </w:r>
    </w:p>
    <w:p w14:paraId="14D71300" w14:textId="77777777" w:rsidR="00925018" w:rsidRDefault="00925018" w:rsidP="000F09C9">
      <w:pPr>
        <w:pStyle w:val="Default"/>
        <w:spacing w:line="480" w:lineRule="auto"/>
      </w:pPr>
    </w:p>
    <w:p w14:paraId="70242FB3" w14:textId="61A924B7" w:rsidR="00CB152B" w:rsidRDefault="00890FF4" w:rsidP="00890FF4">
      <w:pPr>
        <w:pStyle w:val="Default"/>
        <w:spacing w:line="480" w:lineRule="auto"/>
        <w:ind w:left="720" w:hanging="720"/>
        <w:rPr>
          <w:b/>
        </w:rPr>
      </w:pPr>
      <w:r>
        <w:rPr>
          <w:b/>
        </w:rPr>
        <w:t>Q.</w:t>
      </w:r>
      <w:r>
        <w:rPr>
          <w:b/>
        </w:rPr>
        <w:tab/>
        <w:t xml:space="preserve">When did </w:t>
      </w:r>
      <w:r w:rsidR="00A20BE8">
        <w:rPr>
          <w:b/>
        </w:rPr>
        <w:t>Staff</w:t>
      </w:r>
      <w:r>
        <w:rPr>
          <w:b/>
        </w:rPr>
        <w:t xml:space="preserve"> first become aware of Mr. Bergmann’s involvement in this docket</w:t>
      </w:r>
      <w:r w:rsidR="00CB152B">
        <w:rPr>
          <w:b/>
        </w:rPr>
        <w:t>?</w:t>
      </w:r>
    </w:p>
    <w:p w14:paraId="12E4B936" w14:textId="4EFDDE79" w:rsidR="00CB152B" w:rsidRPr="009A38A6" w:rsidRDefault="00CB152B" w:rsidP="00CB152B">
      <w:pPr>
        <w:pStyle w:val="Default"/>
        <w:spacing w:line="480" w:lineRule="auto"/>
        <w:ind w:left="720" w:hanging="720"/>
        <w:rPr>
          <w:i/>
        </w:rPr>
      </w:pPr>
      <w:r>
        <w:t>A.</w:t>
      </w:r>
      <w:r>
        <w:tab/>
      </w:r>
      <w:r w:rsidR="004D5544">
        <w:t xml:space="preserve">Staff </w:t>
      </w:r>
      <w:r w:rsidR="00301751">
        <w:t xml:space="preserve">first </w:t>
      </w:r>
      <w:r w:rsidR="004D5544">
        <w:t xml:space="preserve">became aware of Mr. Bergmann’s involvement when </w:t>
      </w:r>
      <w:r w:rsidR="00052133">
        <w:t xml:space="preserve">Public Counsel filed </w:t>
      </w:r>
      <w:r w:rsidR="0092183E">
        <w:t>Mr. Bergmann’s</w:t>
      </w:r>
      <w:r w:rsidR="002660F2">
        <w:t xml:space="preserve"> confidentiality agreement with the Commission on August 18, 2015</w:t>
      </w:r>
      <w:r w:rsidR="00301751">
        <w:t>.</w:t>
      </w:r>
    </w:p>
    <w:p w14:paraId="3D5B2636" w14:textId="77777777" w:rsidR="00890FF4" w:rsidRDefault="00890FF4" w:rsidP="00CB152B">
      <w:pPr>
        <w:pStyle w:val="Default"/>
        <w:spacing w:line="480" w:lineRule="auto"/>
        <w:ind w:left="720" w:hanging="720"/>
      </w:pPr>
    </w:p>
    <w:p w14:paraId="7C16DE79" w14:textId="68C5D5A0" w:rsidR="00890FF4" w:rsidRDefault="00890FF4" w:rsidP="00CB152B">
      <w:pPr>
        <w:pStyle w:val="Default"/>
        <w:spacing w:line="480" w:lineRule="auto"/>
        <w:ind w:left="720" w:hanging="720"/>
        <w:rPr>
          <w:b/>
        </w:rPr>
      </w:pPr>
      <w:r>
        <w:rPr>
          <w:b/>
        </w:rPr>
        <w:t>Q.</w:t>
      </w:r>
      <w:r>
        <w:rPr>
          <w:b/>
        </w:rPr>
        <w:tab/>
      </w:r>
      <w:r w:rsidR="00E5541C">
        <w:rPr>
          <w:b/>
        </w:rPr>
        <w:t>To what extent did Mr. Bergmann participate in Staff’s investigation of the April 2014 outage?</w:t>
      </w:r>
    </w:p>
    <w:p w14:paraId="4B810184" w14:textId="3A1C7377" w:rsidR="004D5544" w:rsidRDefault="00E5541C" w:rsidP="004D5544">
      <w:pPr>
        <w:pStyle w:val="Default"/>
        <w:spacing w:line="480" w:lineRule="auto"/>
        <w:ind w:left="720" w:hanging="720"/>
        <w:rPr>
          <w:i/>
        </w:rPr>
      </w:pPr>
      <w:r>
        <w:t>A.</w:t>
      </w:r>
      <w:r>
        <w:tab/>
      </w:r>
      <w:r w:rsidR="004D5544">
        <w:t xml:space="preserve">To date, Mr. Bergmann has had </w:t>
      </w:r>
      <w:r w:rsidR="006F16B3">
        <w:t xml:space="preserve">no </w:t>
      </w:r>
      <w:r w:rsidR="004D5544">
        <w:t>communication</w:t>
      </w:r>
      <w:r w:rsidR="006F16B3">
        <w:t xml:space="preserve"> whatsoever</w:t>
      </w:r>
      <w:r w:rsidR="004D5544">
        <w:t xml:space="preserve"> with </w:t>
      </w:r>
      <w:r w:rsidR="00D301AA">
        <w:t>S</w:t>
      </w:r>
      <w:r w:rsidR="004D5544">
        <w:t>taff.</w:t>
      </w:r>
      <w:r w:rsidR="006F16B3">
        <w:t xml:space="preserve"> He did not participate in any </w:t>
      </w:r>
      <w:r w:rsidR="002315B3">
        <w:t>aspect of</w:t>
      </w:r>
      <w:r w:rsidR="006F16B3">
        <w:t xml:space="preserve"> Staff’s investigation.</w:t>
      </w:r>
      <w:r w:rsidR="001D5006">
        <w:t xml:space="preserve"> His analysis consists solely of his review of Staff’s work.</w:t>
      </w:r>
    </w:p>
    <w:p w14:paraId="6D12DE3D" w14:textId="77777777" w:rsidR="00B97274" w:rsidRDefault="00B97274" w:rsidP="00CB152B">
      <w:pPr>
        <w:pStyle w:val="Default"/>
        <w:spacing w:line="480" w:lineRule="auto"/>
        <w:ind w:left="720" w:hanging="720"/>
        <w:rPr>
          <w:i/>
        </w:rPr>
      </w:pPr>
    </w:p>
    <w:p w14:paraId="0E00AE8A" w14:textId="70867744" w:rsidR="00401209" w:rsidRDefault="00401209" w:rsidP="00CB152B">
      <w:pPr>
        <w:pStyle w:val="Default"/>
        <w:spacing w:line="480" w:lineRule="auto"/>
        <w:ind w:left="720" w:hanging="720"/>
        <w:rPr>
          <w:i/>
        </w:rPr>
      </w:pPr>
      <w:r>
        <w:rPr>
          <w:b/>
        </w:rPr>
        <w:t>Q.</w:t>
      </w:r>
      <w:r>
        <w:rPr>
          <w:b/>
        </w:rPr>
        <w:tab/>
      </w:r>
      <w:r w:rsidR="008B02EB">
        <w:rPr>
          <w:b/>
        </w:rPr>
        <w:t>H</w:t>
      </w:r>
      <w:r>
        <w:rPr>
          <w:b/>
        </w:rPr>
        <w:t xml:space="preserve">as Mr. Bergmann ever </w:t>
      </w:r>
      <w:r w:rsidR="00B933D0">
        <w:rPr>
          <w:b/>
        </w:rPr>
        <w:t>participated, in any capacity,</w:t>
      </w:r>
      <w:r>
        <w:rPr>
          <w:b/>
        </w:rPr>
        <w:t xml:space="preserve"> in an enforcement action </w:t>
      </w:r>
      <w:r w:rsidR="00ED6644">
        <w:rPr>
          <w:b/>
        </w:rPr>
        <w:t xml:space="preserve">of any kind </w:t>
      </w:r>
      <w:r>
        <w:rPr>
          <w:b/>
        </w:rPr>
        <w:t xml:space="preserve">before the Washington Utilities and Transportation Commission? </w:t>
      </w:r>
    </w:p>
    <w:p w14:paraId="2117DB9E" w14:textId="1E585CA7" w:rsidR="00401209" w:rsidRPr="00722101" w:rsidRDefault="00401209" w:rsidP="00CB152B">
      <w:pPr>
        <w:pStyle w:val="Default"/>
        <w:spacing w:line="480" w:lineRule="auto"/>
        <w:ind w:left="720" w:hanging="720"/>
        <w:rPr>
          <w:i/>
        </w:rPr>
      </w:pPr>
      <w:r>
        <w:t>A.</w:t>
      </w:r>
      <w:r>
        <w:tab/>
      </w:r>
      <w:r w:rsidR="00ED6644">
        <w:t xml:space="preserve">No. </w:t>
      </w:r>
      <w:r w:rsidR="004D5544">
        <w:t xml:space="preserve">Mr. Bergmann assisted Public Counsel in </w:t>
      </w:r>
      <w:r w:rsidR="008B02EB">
        <w:t xml:space="preserve">its </w:t>
      </w:r>
      <w:r w:rsidR="004D5544">
        <w:t xml:space="preserve">preparation of rulemaking comments in </w:t>
      </w:r>
      <w:r w:rsidR="008B02EB">
        <w:t>D</w:t>
      </w:r>
      <w:r w:rsidR="004D5544">
        <w:t>ocket UT-131239</w:t>
      </w:r>
      <w:r w:rsidR="008B02EB">
        <w:t xml:space="preserve"> (Universal Service Fund)</w:t>
      </w:r>
      <w:r w:rsidR="00301751">
        <w:t>.</w:t>
      </w:r>
      <w:r w:rsidR="004D5544">
        <w:t xml:space="preserve"> </w:t>
      </w:r>
      <w:r w:rsidR="008B02EB">
        <w:t>Mr. Bergmann also acted as a consultant to Public Counsel and participated in a workshop held by the Commission in Docket UT-140680</w:t>
      </w:r>
      <w:r w:rsidR="009F2D6C">
        <w:t xml:space="preserve"> (Telecom Rules Review Rulemaking)</w:t>
      </w:r>
      <w:r w:rsidR="008B02EB">
        <w:t xml:space="preserve">. </w:t>
      </w:r>
      <w:r w:rsidR="00715C87">
        <w:t xml:space="preserve">However, </w:t>
      </w:r>
      <w:r w:rsidR="008B02EB">
        <w:lastRenderedPageBreak/>
        <w:t>Mr. Bergmann</w:t>
      </w:r>
      <w:r w:rsidR="004D5544">
        <w:t xml:space="preserve"> has never</w:t>
      </w:r>
      <w:r w:rsidR="008B02EB">
        <w:t xml:space="preserve"> </w:t>
      </w:r>
      <w:r w:rsidR="004D5544">
        <w:t>participated</w:t>
      </w:r>
      <w:r w:rsidR="00715C87">
        <w:t>, in any capacity,</w:t>
      </w:r>
      <w:r w:rsidR="004D5544">
        <w:t xml:space="preserve"> in any </w:t>
      </w:r>
      <w:r w:rsidR="00715C87">
        <w:t xml:space="preserve">enforcement </w:t>
      </w:r>
      <w:r w:rsidR="004D5544">
        <w:t xml:space="preserve">litigation </w:t>
      </w:r>
      <w:r w:rsidR="0092183E">
        <w:t xml:space="preserve">or investigation </w:t>
      </w:r>
      <w:r w:rsidR="004D5544">
        <w:t>before the Commission</w:t>
      </w:r>
      <w:r w:rsidR="0092183E">
        <w:t>.</w:t>
      </w:r>
    </w:p>
    <w:p w14:paraId="3F24E55B" w14:textId="77777777" w:rsidR="00401209" w:rsidRDefault="00401209" w:rsidP="00CB152B">
      <w:pPr>
        <w:pStyle w:val="Default"/>
        <w:spacing w:line="480" w:lineRule="auto"/>
        <w:ind w:left="720" w:hanging="720"/>
        <w:rPr>
          <w:i/>
        </w:rPr>
      </w:pPr>
    </w:p>
    <w:p w14:paraId="6D02321F" w14:textId="54470C45" w:rsidR="00473CD9" w:rsidRDefault="00473CD9" w:rsidP="00CB152B">
      <w:pPr>
        <w:pStyle w:val="Default"/>
        <w:spacing w:line="480" w:lineRule="auto"/>
        <w:ind w:left="720" w:hanging="720"/>
        <w:rPr>
          <w:b/>
        </w:rPr>
      </w:pPr>
      <w:r>
        <w:rPr>
          <w:b/>
        </w:rPr>
        <w:t>Q.</w:t>
      </w:r>
      <w:r>
        <w:rPr>
          <w:b/>
        </w:rPr>
        <w:tab/>
        <w:t>Does Mr. Bergmann dispute any of the stipulated facts contained in the Settlement Agreement?</w:t>
      </w:r>
    </w:p>
    <w:p w14:paraId="32FAA2DF" w14:textId="3EE72E3D" w:rsidR="00473CD9" w:rsidRPr="00473CD9" w:rsidRDefault="00473CD9" w:rsidP="00CB152B">
      <w:pPr>
        <w:pStyle w:val="Default"/>
        <w:spacing w:line="480" w:lineRule="auto"/>
        <w:ind w:left="720" w:hanging="720"/>
      </w:pPr>
      <w:r>
        <w:t>A.</w:t>
      </w:r>
      <w:r>
        <w:tab/>
        <w:t>No</w:t>
      </w:r>
      <w:bookmarkStart w:id="0" w:name="_GoBack"/>
      <w:bookmarkEnd w:id="0"/>
      <w:r w:rsidR="001D5006">
        <w:t>, Mr. Bergmann does not dispute any facts. He merely argues that the Settlement Agreement devalues the importance of the outage at issue. He discounts Staff’s long history of capable and thorough investigative work and established expertise in arriving at appropriate penalty recommendations in enforcement proceedings.</w:t>
      </w:r>
    </w:p>
    <w:p w14:paraId="5C3A5354" w14:textId="77777777" w:rsidR="00473CD9" w:rsidRDefault="00473CD9" w:rsidP="00CB152B">
      <w:pPr>
        <w:pStyle w:val="Default"/>
        <w:spacing w:line="480" w:lineRule="auto"/>
        <w:ind w:left="720" w:hanging="720"/>
        <w:rPr>
          <w:b/>
        </w:rPr>
      </w:pPr>
    </w:p>
    <w:p w14:paraId="22E03A4F" w14:textId="0849C607" w:rsidR="00B97274" w:rsidRDefault="00B97274" w:rsidP="00CB152B">
      <w:pPr>
        <w:pStyle w:val="Default"/>
        <w:spacing w:line="480" w:lineRule="auto"/>
        <w:ind w:left="720" w:hanging="720"/>
        <w:rPr>
          <w:b/>
        </w:rPr>
      </w:pPr>
      <w:r>
        <w:rPr>
          <w:b/>
        </w:rPr>
        <w:t>Q.</w:t>
      </w:r>
      <w:r>
        <w:rPr>
          <w:b/>
        </w:rPr>
        <w:tab/>
      </w:r>
      <w:r w:rsidR="009E3FAC">
        <w:rPr>
          <w:b/>
        </w:rPr>
        <w:t>Mr. Bergmann advocates for a “maximum penalty,” which he calculates as $11,495,000.</w:t>
      </w:r>
      <w:r w:rsidR="009E3FAC">
        <w:rPr>
          <w:rStyle w:val="FootnoteReference"/>
          <w:b/>
        </w:rPr>
        <w:footnoteReference w:id="2"/>
      </w:r>
      <w:r w:rsidR="009E3FAC">
        <w:rPr>
          <w:b/>
        </w:rPr>
        <w:t xml:space="preserve"> What is your reaction to this proposal?</w:t>
      </w:r>
    </w:p>
    <w:p w14:paraId="65CCD5F1" w14:textId="43620A5C" w:rsidR="009D0332" w:rsidRDefault="00B97274" w:rsidP="004D5544">
      <w:pPr>
        <w:pStyle w:val="Default"/>
        <w:spacing w:line="480" w:lineRule="auto"/>
        <w:ind w:left="720" w:hanging="720"/>
      </w:pPr>
      <w:r>
        <w:t>A.</w:t>
      </w:r>
      <w:r>
        <w:tab/>
      </w:r>
      <w:r w:rsidR="004D5544">
        <w:t xml:space="preserve">The penalty </w:t>
      </w:r>
      <w:r w:rsidR="009C6815">
        <w:t xml:space="preserve">recommended </w:t>
      </w:r>
      <w:r w:rsidR="004D5544">
        <w:t xml:space="preserve">by Mr. Bergmann is </w:t>
      </w:r>
      <w:r w:rsidR="009F2D6C">
        <w:t>excessive, unwarranted</w:t>
      </w:r>
      <w:r w:rsidR="00052133">
        <w:t>, and unduly punitive</w:t>
      </w:r>
      <w:r w:rsidR="004D5544">
        <w:t xml:space="preserve">. </w:t>
      </w:r>
      <w:r w:rsidR="00E96071">
        <w:t xml:space="preserve">The proposed amount, $11.5 million, may be the maximum penalty </w:t>
      </w:r>
      <w:r w:rsidR="00E96071" w:rsidRPr="00960C4D">
        <w:t>available</w:t>
      </w:r>
      <w:r w:rsidR="00E96071">
        <w:t xml:space="preserve"> under law. But it is not the maximum penalty </w:t>
      </w:r>
      <w:r w:rsidR="00E96071" w:rsidRPr="00773F6E">
        <w:t xml:space="preserve">supported by the facts </w:t>
      </w:r>
      <w:r w:rsidR="009D0332" w:rsidRPr="00960C4D">
        <w:t xml:space="preserve">and </w:t>
      </w:r>
      <w:r w:rsidR="00E96071" w:rsidRPr="00773F6E">
        <w:t>circumstances of this cas</w:t>
      </w:r>
      <w:r w:rsidR="009F2D6C">
        <w:t>e, as reflected, analyzed, and discussed in Staff’s Investigation Report.</w:t>
      </w:r>
      <w:r w:rsidR="001D5006">
        <w:t xml:space="preserve"> Typically, the parties to a settlement agreement compromise their respective litigation positions. That is not the case here. Here, the </w:t>
      </w:r>
      <w:r w:rsidR="0092183E">
        <w:t>Settling Parties</w:t>
      </w:r>
      <w:r w:rsidR="001D5006">
        <w:t xml:space="preserve"> settled on the full penalty sought by Staff at the outset</w:t>
      </w:r>
      <w:r w:rsidR="0092183E">
        <w:t xml:space="preserve"> of litigation</w:t>
      </w:r>
      <w:r w:rsidR="001D5006">
        <w:t>.</w:t>
      </w:r>
    </w:p>
    <w:p w14:paraId="79E58E8E" w14:textId="77777777" w:rsidR="00B97274" w:rsidRDefault="00B97274" w:rsidP="00CB152B">
      <w:pPr>
        <w:pStyle w:val="Default"/>
        <w:spacing w:line="480" w:lineRule="auto"/>
        <w:ind w:left="720" w:hanging="720"/>
      </w:pPr>
    </w:p>
    <w:p w14:paraId="3551BEDF" w14:textId="0237898F" w:rsidR="002D11BF" w:rsidRDefault="002D11BF" w:rsidP="00CB152B">
      <w:pPr>
        <w:pStyle w:val="Default"/>
        <w:spacing w:line="480" w:lineRule="auto"/>
        <w:ind w:left="720" w:hanging="720"/>
        <w:rPr>
          <w:b/>
        </w:rPr>
      </w:pPr>
      <w:r>
        <w:rPr>
          <w:b/>
        </w:rPr>
        <w:t>Q.</w:t>
      </w:r>
      <w:r>
        <w:rPr>
          <w:b/>
        </w:rPr>
        <w:tab/>
        <w:t>Mr. Bergmann characterizes the Settling Parties’ agreed $2.9 million penalty as “minimal.”</w:t>
      </w:r>
      <w:r>
        <w:rPr>
          <w:rStyle w:val="FootnoteReference"/>
          <w:b/>
        </w:rPr>
        <w:footnoteReference w:id="3"/>
      </w:r>
      <w:r>
        <w:rPr>
          <w:b/>
        </w:rPr>
        <w:t xml:space="preserve"> Do you agree with this</w:t>
      </w:r>
      <w:r w:rsidRPr="002D11BF">
        <w:rPr>
          <w:b/>
        </w:rPr>
        <w:t xml:space="preserve"> </w:t>
      </w:r>
      <w:r>
        <w:rPr>
          <w:b/>
        </w:rPr>
        <w:t>portrayal?</w:t>
      </w:r>
    </w:p>
    <w:p w14:paraId="7BD7E00F" w14:textId="1B33215E" w:rsidR="00A66FCA" w:rsidRDefault="002D11BF" w:rsidP="009F2D6C">
      <w:pPr>
        <w:pStyle w:val="Default"/>
        <w:spacing w:line="480" w:lineRule="auto"/>
        <w:ind w:left="720" w:hanging="720"/>
      </w:pPr>
      <w:r>
        <w:lastRenderedPageBreak/>
        <w:t>A.</w:t>
      </w:r>
      <w:r>
        <w:tab/>
      </w:r>
      <w:r w:rsidR="004D5544">
        <w:t xml:space="preserve">No. I do not agree. </w:t>
      </w:r>
      <w:r w:rsidR="00064CB7">
        <w:t>As I testified previously, the Settling Parties’ proposed $2.9 million penalty is an exceptional penalty for an exceptional case.</w:t>
      </w:r>
      <w:r w:rsidR="009F2D6C">
        <w:t xml:space="preserve"> </w:t>
      </w:r>
      <w:r w:rsidR="00E848CB">
        <w:t xml:space="preserve">The Settling Parties’ proposal is substantiated by Staff’s </w:t>
      </w:r>
      <w:r w:rsidR="004318EA">
        <w:t>I</w:t>
      </w:r>
      <w:r w:rsidR="00E848CB">
        <w:t xml:space="preserve">nvestigation </w:t>
      </w:r>
      <w:r w:rsidR="004318EA">
        <w:t>R</w:t>
      </w:r>
      <w:r w:rsidR="00E848CB">
        <w:t>eport</w:t>
      </w:r>
      <w:r w:rsidR="0050390B">
        <w:t xml:space="preserve"> which, in turn, is </w:t>
      </w:r>
      <w:r w:rsidR="001E4316">
        <w:t>substantiated by</w:t>
      </w:r>
      <w:r w:rsidR="0050390B">
        <w:t xml:space="preserve"> Staff’s</w:t>
      </w:r>
      <w:r w:rsidR="009F2D6C">
        <w:t xml:space="preserve"> comprehensive</w:t>
      </w:r>
      <w:r w:rsidR="0050390B">
        <w:t>, first-hand evaluation of the</w:t>
      </w:r>
      <w:r w:rsidR="001E4316">
        <w:t xml:space="preserve"> facts. </w:t>
      </w:r>
      <w:r w:rsidR="0050390B">
        <w:t xml:space="preserve">In contrast, </w:t>
      </w:r>
      <w:r w:rsidR="00E848CB">
        <w:t>Mr. Bergmann’s</w:t>
      </w:r>
      <w:r w:rsidR="0050390B">
        <w:t xml:space="preserve"> proposal </w:t>
      </w:r>
      <w:r w:rsidR="00E848CB">
        <w:t xml:space="preserve">is substantiated primarily by his own opinion. </w:t>
      </w:r>
      <w:r w:rsidR="0050390B">
        <w:t>As I previously discussed</w:t>
      </w:r>
      <w:r w:rsidR="00E848CB">
        <w:t xml:space="preserve">, Mr. Bergmann performed no independent investigation. He relies on </w:t>
      </w:r>
      <w:r w:rsidR="0050390B">
        <w:t>Staff’s investigation and concedes that he “generally agree[s] with Staff’s assessment of the statute and rules violated by CenturyLink.”</w:t>
      </w:r>
      <w:r w:rsidR="0050390B">
        <w:rPr>
          <w:rStyle w:val="FootnoteReference"/>
        </w:rPr>
        <w:footnoteReference w:id="4"/>
      </w:r>
      <w:r w:rsidR="0050390B">
        <w:t xml:space="preserve"> </w:t>
      </w:r>
      <w:r w:rsidR="00715C87">
        <w:t>H</w:t>
      </w:r>
      <w:r w:rsidR="0050390B">
        <w:t>e</w:t>
      </w:r>
      <w:r w:rsidR="00715C87">
        <w:t xml:space="preserve"> also</w:t>
      </w:r>
      <w:r w:rsidR="0050390B">
        <w:t xml:space="preserve"> has no experience </w:t>
      </w:r>
      <w:r w:rsidR="001E4316">
        <w:t>litigating</w:t>
      </w:r>
      <w:r w:rsidR="00BE5A65">
        <w:t xml:space="preserve"> penalty</w:t>
      </w:r>
      <w:r w:rsidR="0050390B">
        <w:t xml:space="preserve"> cases </w:t>
      </w:r>
      <w:r w:rsidR="001E4316">
        <w:t>before the Commission</w:t>
      </w:r>
      <w:r w:rsidR="00715C87">
        <w:t xml:space="preserve"> (which means he has never before analyzed or applied the Commission’s enforcement policy in </w:t>
      </w:r>
      <w:r w:rsidR="00715C87" w:rsidRPr="009D0332">
        <w:t>Docket A-120061</w:t>
      </w:r>
      <w:r w:rsidR="00715C87">
        <w:t>).</w:t>
      </w:r>
      <w:r w:rsidR="001E4316">
        <w:t xml:space="preserve"> In sum, </w:t>
      </w:r>
      <w:r w:rsidR="00715C87">
        <w:t>Mr. Bergmann</w:t>
      </w:r>
      <w:r w:rsidR="001E4316">
        <w:t xml:space="preserve"> gives the Commission no persuasive reason to trust his analysis</w:t>
      </w:r>
      <w:r w:rsidR="00715C87">
        <w:t xml:space="preserve"> over the recommendations of</w:t>
      </w:r>
      <w:r w:rsidR="001E4316">
        <w:t xml:space="preserve"> the Commission’s own Staff.</w:t>
      </w:r>
    </w:p>
    <w:p w14:paraId="183E5E90" w14:textId="77777777" w:rsidR="00722101" w:rsidRDefault="00722101" w:rsidP="00CB152B">
      <w:pPr>
        <w:pStyle w:val="Default"/>
        <w:spacing w:line="480" w:lineRule="auto"/>
        <w:ind w:left="720" w:hanging="720"/>
        <w:rPr>
          <w:i/>
        </w:rPr>
      </w:pPr>
    </w:p>
    <w:p w14:paraId="5A45A507" w14:textId="2A5EA5BA" w:rsidR="00BB7FCC" w:rsidRDefault="00BB7FCC">
      <w:pPr>
        <w:pStyle w:val="Default"/>
        <w:spacing w:line="480" w:lineRule="auto"/>
        <w:ind w:left="720" w:hanging="720"/>
        <w:rPr>
          <w:b/>
        </w:rPr>
      </w:pPr>
      <w:r>
        <w:rPr>
          <w:b/>
        </w:rPr>
        <w:t>Q.</w:t>
      </w:r>
      <w:r>
        <w:rPr>
          <w:b/>
        </w:rPr>
        <w:tab/>
        <w:t>Mr. Bergmann contends that</w:t>
      </w:r>
      <w:r w:rsidR="00727C52">
        <w:rPr>
          <w:b/>
        </w:rPr>
        <w:t xml:space="preserve"> the Settling Parties “fail to explain” how the </w:t>
      </w:r>
      <w:r w:rsidR="00BE5A65">
        <w:rPr>
          <w:b/>
        </w:rPr>
        <w:t xml:space="preserve">Commission’s enforcement policy in Docket A-120061 </w:t>
      </w:r>
      <w:r w:rsidR="00727C52">
        <w:rPr>
          <w:b/>
        </w:rPr>
        <w:t xml:space="preserve">supports the </w:t>
      </w:r>
      <w:r w:rsidR="00BE5A65">
        <w:rPr>
          <w:b/>
        </w:rPr>
        <w:t>proposed</w:t>
      </w:r>
      <w:r w:rsidR="00727C52">
        <w:rPr>
          <w:b/>
        </w:rPr>
        <w:t xml:space="preserve"> $2.9 million penalty.</w:t>
      </w:r>
      <w:r>
        <w:rPr>
          <w:rStyle w:val="FootnoteReference"/>
          <w:b/>
        </w:rPr>
        <w:footnoteReference w:id="5"/>
      </w:r>
      <w:r>
        <w:rPr>
          <w:b/>
        </w:rPr>
        <w:t xml:space="preserve"> </w:t>
      </w:r>
      <w:r w:rsidR="00727C52">
        <w:rPr>
          <w:b/>
        </w:rPr>
        <w:t>Is this claim accurate?</w:t>
      </w:r>
    </w:p>
    <w:p w14:paraId="75B694C2" w14:textId="2954AC71" w:rsidR="00D6265B" w:rsidRDefault="00727C52" w:rsidP="00960C4D">
      <w:pPr>
        <w:pStyle w:val="Default"/>
        <w:spacing w:line="480" w:lineRule="auto"/>
        <w:ind w:left="720" w:hanging="720"/>
      </w:pPr>
      <w:r>
        <w:t>A.</w:t>
      </w:r>
      <w:r>
        <w:tab/>
      </w:r>
      <w:r w:rsidR="004D5544">
        <w:t>No</w:t>
      </w:r>
      <w:r w:rsidR="00064CB7">
        <w:t xml:space="preserve">. </w:t>
      </w:r>
      <w:r w:rsidR="00064CB7" w:rsidRPr="009A7F06">
        <w:t xml:space="preserve">In formulating its penalty recommendation, Staff explicitly </w:t>
      </w:r>
      <w:r w:rsidR="00064CB7" w:rsidRPr="00ED674C">
        <w:t xml:space="preserve">considered the Commission’s enforcement policy. </w:t>
      </w:r>
      <w:r w:rsidR="00911897" w:rsidRPr="00ED674C">
        <w:t>Staff’s analysis</w:t>
      </w:r>
      <w:r w:rsidR="00052133">
        <w:t xml:space="preserve"> </w:t>
      </w:r>
      <w:r w:rsidR="00911897" w:rsidRPr="00ED674C">
        <w:t>appears on</w:t>
      </w:r>
      <w:r w:rsidR="00E9447F" w:rsidRPr="00ED674C">
        <w:t xml:space="preserve"> pages 28-30 of </w:t>
      </w:r>
      <w:r w:rsidR="00CC46D8">
        <w:t>its</w:t>
      </w:r>
      <w:r w:rsidR="00E9447F" w:rsidRPr="00ED674C">
        <w:t xml:space="preserve"> </w:t>
      </w:r>
      <w:r w:rsidR="00911897" w:rsidRPr="00ED674C">
        <w:t>I</w:t>
      </w:r>
      <w:r w:rsidR="00E9447F" w:rsidRPr="00ED674C">
        <w:t xml:space="preserve">nvestigation </w:t>
      </w:r>
      <w:r w:rsidR="00911897" w:rsidRPr="00ED674C">
        <w:t>R</w:t>
      </w:r>
      <w:r w:rsidR="00E9447F" w:rsidRPr="00ED674C">
        <w:t>eport</w:t>
      </w:r>
      <w:r w:rsidR="00CC46D8">
        <w:t xml:space="preserve">. </w:t>
      </w:r>
      <w:r w:rsidR="00D6265B">
        <w:t>Consideration of the Commission’s factors directly informed Staff’s penalty recommendation.</w:t>
      </w:r>
    </w:p>
    <w:p w14:paraId="0FE0E5E6" w14:textId="77777777" w:rsidR="00D6265B" w:rsidRDefault="00D6265B" w:rsidP="00960C4D">
      <w:pPr>
        <w:pStyle w:val="Default"/>
        <w:spacing w:line="480" w:lineRule="auto"/>
      </w:pPr>
    </w:p>
    <w:p w14:paraId="2114FC8D" w14:textId="22A3CF00" w:rsidR="00D6265B" w:rsidRDefault="00D6265B">
      <w:pPr>
        <w:pStyle w:val="Default"/>
        <w:spacing w:line="480" w:lineRule="auto"/>
        <w:ind w:left="720" w:hanging="720"/>
        <w:rPr>
          <w:b/>
        </w:rPr>
      </w:pPr>
      <w:r>
        <w:rPr>
          <w:b/>
        </w:rPr>
        <w:lastRenderedPageBreak/>
        <w:t>Q.</w:t>
      </w:r>
      <w:r>
        <w:rPr>
          <w:b/>
        </w:rPr>
        <w:tab/>
        <w:t>Do you agree with Mr. Bergmann’s conclusion that every one of the Commission’s factors supports the maximum penalty in this case?</w:t>
      </w:r>
    </w:p>
    <w:p w14:paraId="60EAB7D1" w14:textId="2BC9F204" w:rsidR="00D6265B" w:rsidRDefault="00D6265B">
      <w:pPr>
        <w:pStyle w:val="Default"/>
        <w:spacing w:line="480" w:lineRule="auto"/>
        <w:ind w:left="720" w:hanging="720"/>
      </w:pPr>
      <w:r>
        <w:t>A.</w:t>
      </w:r>
      <w:r>
        <w:tab/>
        <w:t>No.</w:t>
      </w:r>
      <w:r w:rsidR="001D5006">
        <w:t xml:space="preserve"> </w:t>
      </w:r>
    </w:p>
    <w:p w14:paraId="6956A083" w14:textId="77777777" w:rsidR="00D6265B" w:rsidRDefault="00D6265B">
      <w:pPr>
        <w:pStyle w:val="Default"/>
        <w:spacing w:line="480" w:lineRule="auto"/>
        <w:ind w:left="720" w:hanging="720"/>
      </w:pPr>
    </w:p>
    <w:p w14:paraId="09A46CA9" w14:textId="77777777" w:rsidR="00D6265B" w:rsidRDefault="00D6265B">
      <w:pPr>
        <w:pStyle w:val="Default"/>
        <w:spacing w:line="480" w:lineRule="auto"/>
        <w:ind w:left="720" w:hanging="720"/>
        <w:rPr>
          <w:b/>
        </w:rPr>
      </w:pPr>
      <w:r>
        <w:rPr>
          <w:b/>
        </w:rPr>
        <w:t>Q.</w:t>
      </w:r>
      <w:r>
        <w:rPr>
          <w:b/>
        </w:rPr>
        <w:tab/>
        <w:t>Why not?</w:t>
      </w:r>
    </w:p>
    <w:p w14:paraId="2745C859" w14:textId="7CA1E679" w:rsidR="001D5006" w:rsidRDefault="00D21D9C">
      <w:pPr>
        <w:pStyle w:val="Default"/>
        <w:spacing w:line="480" w:lineRule="auto"/>
        <w:ind w:left="720" w:hanging="720"/>
      </w:pPr>
      <w:r>
        <w:t>A.</w:t>
      </w:r>
      <w:r>
        <w:tab/>
      </w:r>
      <w:r w:rsidR="001D5006">
        <w:t>Mr. Bergmann marches through the enforcement factors and interprets them in a biased manner. He clearly has a result in mind.</w:t>
      </w:r>
    </w:p>
    <w:p w14:paraId="31C799CB" w14:textId="662B3829" w:rsidR="00ED7B94" w:rsidRDefault="00D21D9C" w:rsidP="00960C4D">
      <w:pPr>
        <w:pStyle w:val="Default"/>
        <w:spacing w:line="480" w:lineRule="auto"/>
        <w:ind w:left="720" w:firstLine="720"/>
      </w:pPr>
      <w:r>
        <w:t xml:space="preserve">In my view, </w:t>
      </w:r>
      <w:r w:rsidR="001D5006">
        <w:t>two</w:t>
      </w:r>
      <w:r>
        <w:t xml:space="preserve"> primary considerations weigh against a maximum penalty in this case. First, </w:t>
      </w:r>
      <w:r w:rsidR="006007E2">
        <w:t>as we noted in the Investigation Report,</w:t>
      </w:r>
      <w:r w:rsidR="006007E2">
        <w:rPr>
          <w:rStyle w:val="FootnoteReference"/>
        </w:rPr>
        <w:footnoteReference w:id="6"/>
      </w:r>
      <w:r w:rsidR="006007E2">
        <w:t xml:space="preserve"> and as Mr. Bergmann acknowledges,</w:t>
      </w:r>
      <w:r w:rsidR="006007E2">
        <w:rPr>
          <w:rStyle w:val="FootnoteReference"/>
        </w:rPr>
        <w:footnoteReference w:id="7"/>
      </w:r>
      <w:r w:rsidR="006007E2">
        <w:t xml:space="preserve"> CenturyLink’s violations cannot be characterized as “intentional.” The outage was </w:t>
      </w:r>
      <w:r w:rsidR="00CD0BC5">
        <w:t>caused by technological failure.</w:t>
      </w:r>
      <w:r w:rsidR="006007E2">
        <w:t xml:space="preserve"> Staff has never alleged that </w:t>
      </w:r>
      <w:r w:rsidR="00CD0BC5">
        <w:t>the outage</w:t>
      </w:r>
      <w:r w:rsidR="006007E2">
        <w:t xml:space="preserve"> was in any way maliciously or deliberately caused. </w:t>
      </w:r>
    </w:p>
    <w:p w14:paraId="48F5314B" w14:textId="23CAFBB3" w:rsidR="00D6265B" w:rsidRPr="00ED7B94" w:rsidRDefault="00CD0BC5" w:rsidP="00960C4D">
      <w:pPr>
        <w:pStyle w:val="Default"/>
        <w:spacing w:line="480" w:lineRule="auto"/>
        <w:ind w:left="720" w:firstLine="720"/>
      </w:pPr>
      <w:r>
        <w:t>Second</w:t>
      </w:r>
      <w:r w:rsidR="006007E2">
        <w:t>,</w:t>
      </w:r>
      <w:r>
        <w:t xml:space="preserve"> CenturyLink has generally cooperated during this investigation. </w:t>
      </w:r>
      <w:r w:rsidR="00C7705C">
        <w:t xml:space="preserve">The best evidence of the parties’ cooperation is the Settlement Agreement. In the Agreement, CenturyLink stipulated to a detailed series of facts, admitted liability under all three causes of action brought by Staff, agreed to pay a significant penalty that </w:t>
      </w:r>
      <w:r w:rsidR="0092183E">
        <w:t>closely</w:t>
      </w:r>
      <w:r w:rsidR="00C7705C">
        <w:t xml:space="preserve"> matches the penalty originally recommended by Staff, and agreed to the majority of Staff’s monitoring and compliance recommendations. These considerations</w:t>
      </w:r>
      <w:r w:rsidR="00ED7B94">
        <w:t>, combined with the remainder of Staff’s analysis in the Investigation Report and Staff’s collective experience and judgment in enforcement cases,</w:t>
      </w:r>
      <w:r w:rsidR="00C7705C">
        <w:t xml:space="preserve"> weigh against the extreme $11.5 million </w:t>
      </w:r>
      <w:r w:rsidR="00ED7B94">
        <w:t>penalty advocated by Mr. Bergmann.</w:t>
      </w:r>
    </w:p>
    <w:p w14:paraId="0DE6B56A" w14:textId="3D26CDB5" w:rsidR="00911897" w:rsidRPr="00ED674C" w:rsidRDefault="00911897">
      <w:pPr>
        <w:pStyle w:val="Default"/>
        <w:spacing w:line="480" w:lineRule="auto"/>
        <w:ind w:left="720" w:hanging="720"/>
      </w:pPr>
    </w:p>
    <w:p w14:paraId="2271C9C4" w14:textId="77777777" w:rsidR="004C686D" w:rsidRPr="00B97274" w:rsidRDefault="004C686D" w:rsidP="004C686D">
      <w:pPr>
        <w:pStyle w:val="Default"/>
        <w:spacing w:line="480" w:lineRule="auto"/>
        <w:ind w:left="720" w:hanging="720"/>
        <w:rPr>
          <w:b/>
        </w:rPr>
      </w:pPr>
      <w:r>
        <w:rPr>
          <w:b/>
        </w:rPr>
        <w:lastRenderedPageBreak/>
        <w:t xml:space="preserve">Q. </w:t>
      </w:r>
      <w:r>
        <w:rPr>
          <w:b/>
        </w:rPr>
        <w:tab/>
        <w:t>Mr. Bergmann compares the Settling Parties’ agreed $2.9 million penalty to the $7.8 million penalty imposed by the Commission in Docket UT-033011, which concerned Qwest Corporation’s illegal withholding of interconnection agreements from public review. How do you respond to Mr. Bergmann’s claim that “</w:t>
      </w:r>
      <w:r w:rsidRPr="00F001B1">
        <w:rPr>
          <w:b/>
        </w:rPr>
        <w:t>CenturyLink’s violations here are arguably more se</w:t>
      </w:r>
      <w:r>
        <w:rPr>
          <w:b/>
        </w:rPr>
        <w:t xml:space="preserve">vere than Qwest’s regulatory </w:t>
      </w:r>
      <w:r w:rsidRPr="00F001B1">
        <w:rPr>
          <w:b/>
        </w:rPr>
        <w:t>misdeeds, and thus merit a similarly severe, or greater, penalty</w:t>
      </w:r>
      <w:r>
        <w:rPr>
          <w:b/>
        </w:rPr>
        <w:t>?”</w:t>
      </w:r>
      <w:r>
        <w:rPr>
          <w:rStyle w:val="FootnoteReference"/>
          <w:b/>
        </w:rPr>
        <w:footnoteReference w:id="8"/>
      </w:r>
    </w:p>
    <w:p w14:paraId="02563594" w14:textId="26A5F489" w:rsidR="004C686D" w:rsidRPr="00722101" w:rsidRDefault="004C686D" w:rsidP="004C686D">
      <w:pPr>
        <w:pStyle w:val="Default"/>
        <w:spacing w:line="480" w:lineRule="auto"/>
        <w:ind w:left="720" w:hanging="720"/>
      </w:pPr>
      <w:r>
        <w:t>A</w:t>
      </w:r>
      <w:r w:rsidRPr="00EF5B78">
        <w:t>.</w:t>
      </w:r>
      <w:r w:rsidRPr="00EF5B78">
        <w:tab/>
        <w:t xml:space="preserve">The Qwest docket involved more than “regulatory misdeeds.” </w:t>
      </w:r>
      <w:r>
        <w:t>Rather, the docket involved Qwest’s “</w:t>
      </w:r>
      <w:r w:rsidRPr="00943F9E">
        <w:rPr>
          <w:i/>
        </w:rPr>
        <w:t>willful and intentional</w:t>
      </w:r>
      <w:r>
        <w:t xml:space="preserve"> violation of state and federal law.”</w:t>
      </w:r>
      <w:r>
        <w:rPr>
          <w:rStyle w:val="FootnoteReference"/>
        </w:rPr>
        <w:footnoteReference w:id="9"/>
      </w:r>
      <w:r w:rsidR="00CD0BC5">
        <w:t xml:space="preserve"> At issue was the Commission’s requirement that ILECs and CLECs file interconnection agreements to prevent anticompetitive behavior. Qwest willfully and intentionally evaded this requirement. The current case </w:t>
      </w:r>
      <w:r w:rsidR="00DF59F6">
        <w:t>is distinguishable</w:t>
      </w:r>
      <w:r w:rsidR="00CD0BC5">
        <w:t>. Staff has never alleged that CenturyLink willfully</w:t>
      </w:r>
      <w:r w:rsidR="00DF59F6">
        <w:t xml:space="preserve"> or intentionally</w:t>
      </w:r>
      <w:r w:rsidR="00CD0BC5">
        <w:t xml:space="preserve"> caused the April 2014 outage.</w:t>
      </w:r>
    </w:p>
    <w:p w14:paraId="143A757B" w14:textId="77777777" w:rsidR="00BE5A65" w:rsidRDefault="00BE5A65">
      <w:pPr>
        <w:pStyle w:val="Default"/>
        <w:spacing w:line="480" w:lineRule="auto"/>
        <w:ind w:left="720" w:hanging="720"/>
      </w:pPr>
    </w:p>
    <w:p w14:paraId="1865E704" w14:textId="0868C709" w:rsidR="009A38A6" w:rsidRPr="009A38A6" w:rsidRDefault="009A38A6" w:rsidP="00CB152B">
      <w:pPr>
        <w:pStyle w:val="Default"/>
        <w:spacing w:line="480" w:lineRule="auto"/>
        <w:ind w:left="720" w:hanging="720"/>
        <w:rPr>
          <w:b/>
        </w:rPr>
      </w:pPr>
      <w:r>
        <w:rPr>
          <w:b/>
        </w:rPr>
        <w:t>Q.</w:t>
      </w:r>
      <w:r>
        <w:rPr>
          <w:b/>
        </w:rPr>
        <w:tab/>
      </w:r>
      <w:r w:rsidR="00C3581B">
        <w:rPr>
          <w:b/>
        </w:rPr>
        <w:t xml:space="preserve">The Settling Parties agree that CenturyLink </w:t>
      </w:r>
      <w:r w:rsidR="00640A91">
        <w:rPr>
          <w:b/>
        </w:rPr>
        <w:t>provided untimely outage notification to 51 PSAPs, thereby incurring 51 violations of WAC 480-120-412(2)</w:t>
      </w:r>
      <w:r w:rsidR="004D3F82">
        <w:rPr>
          <w:b/>
        </w:rPr>
        <w:t>. Mr. Bergmann asserts that “there was a violation for each of the 127 PSAPs in the state.”</w:t>
      </w:r>
      <w:r w:rsidR="00B97274">
        <w:rPr>
          <w:rStyle w:val="FootnoteReference"/>
          <w:b/>
        </w:rPr>
        <w:footnoteReference w:id="10"/>
      </w:r>
      <w:r w:rsidR="004D3F82">
        <w:rPr>
          <w:b/>
        </w:rPr>
        <w:t xml:space="preserve"> Do you agree with Mr. Bergmann?</w:t>
      </w:r>
    </w:p>
    <w:p w14:paraId="153E8AFF" w14:textId="1FB11D18" w:rsidR="009A38A6" w:rsidRDefault="004D3F82" w:rsidP="00CB152B">
      <w:pPr>
        <w:pStyle w:val="Default"/>
        <w:spacing w:line="480" w:lineRule="auto"/>
        <w:ind w:left="720" w:hanging="720"/>
        <w:rPr>
          <w:i/>
        </w:rPr>
      </w:pPr>
      <w:r>
        <w:t>A.</w:t>
      </w:r>
      <w:r>
        <w:tab/>
      </w:r>
      <w:r w:rsidR="004D5544">
        <w:t>No. There are 5</w:t>
      </w:r>
      <w:r w:rsidR="007F2B10">
        <w:t>5</w:t>
      </w:r>
      <w:r w:rsidR="004D5544">
        <w:t xml:space="preserve"> primary PSAPs</w:t>
      </w:r>
      <w:r w:rsidR="007F2B10">
        <w:t xml:space="preserve">, </w:t>
      </w:r>
      <w:r w:rsidR="00070398">
        <w:t>9</w:t>
      </w:r>
      <w:r w:rsidR="004D5544">
        <w:t xml:space="preserve"> secondary PSAPs</w:t>
      </w:r>
      <w:r w:rsidR="007F2B10">
        <w:t xml:space="preserve">, and </w:t>
      </w:r>
      <w:r w:rsidR="00070398">
        <w:t>4</w:t>
      </w:r>
      <w:r w:rsidR="007F2B10">
        <w:t xml:space="preserve"> back-up PSAPs</w:t>
      </w:r>
      <w:r w:rsidR="004D5544">
        <w:t xml:space="preserve"> in Washington state</w:t>
      </w:r>
      <w:r w:rsidR="003A52BB">
        <w:t>—not 127 as Mr. Bergmann asserts</w:t>
      </w:r>
      <w:r w:rsidR="008E5694">
        <w:t>.</w:t>
      </w:r>
      <w:r w:rsidR="004D5544">
        <w:t xml:space="preserve"> Staff was only able to document that 51 PSAPs </w:t>
      </w:r>
      <w:r w:rsidR="00A04E33">
        <w:t xml:space="preserve">received </w:t>
      </w:r>
      <w:r w:rsidR="004D5544">
        <w:t>untimely</w:t>
      </w:r>
      <w:r w:rsidR="00A04E33">
        <w:t xml:space="preserve"> outage notification</w:t>
      </w:r>
      <w:r w:rsidR="004D5544">
        <w:t>, or no notification</w:t>
      </w:r>
      <w:r w:rsidR="00A04E33">
        <w:t>,</w:t>
      </w:r>
      <w:r w:rsidR="004D5544">
        <w:t xml:space="preserve"> </w:t>
      </w:r>
      <w:r w:rsidR="00A04E33">
        <w:t xml:space="preserve">from </w:t>
      </w:r>
      <w:r w:rsidR="004D5544">
        <w:t xml:space="preserve">CenturyLink. It’s the same as knowing there were potentially 6.9 million </w:t>
      </w:r>
      <w:r w:rsidR="004D5544">
        <w:lastRenderedPageBreak/>
        <w:t>residents in Washington state affected by this statewide outage, but Staff could only document 5,684 failed calls.</w:t>
      </w:r>
      <w:r w:rsidR="008E5694">
        <w:t xml:space="preserve"> Mr. Bergmann asserts, without any proof, that all Washington PSAPs were untimely notified. This assertion</w:t>
      </w:r>
      <w:r w:rsidR="00052133">
        <w:t>, of course,</w:t>
      </w:r>
      <w:r w:rsidR="008E5694">
        <w:t xml:space="preserve"> is speculative. Staff’s analysis</w:t>
      </w:r>
      <w:r w:rsidR="00052133">
        <w:t xml:space="preserve"> is the only one with</w:t>
      </w:r>
      <w:r w:rsidR="008E5694">
        <w:t xml:space="preserve"> an evidentiary basis.</w:t>
      </w:r>
    </w:p>
    <w:p w14:paraId="60678476" w14:textId="77777777" w:rsidR="004D3F82" w:rsidRDefault="004D3F82" w:rsidP="00CB152B">
      <w:pPr>
        <w:pStyle w:val="Default"/>
        <w:spacing w:line="480" w:lineRule="auto"/>
        <w:ind w:left="720" w:hanging="720"/>
        <w:rPr>
          <w:i/>
        </w:rPr>
      </w:pPr>
    </w:p>
    <w:p w14:paraId="169522D7" w14:textId="5F03E0D6" w:rsidR="004D3F82" w:rsidRDefault="00473CD9" w:rsidP="00CB152B">
      <w:pPr>
        <w:pStyle w:val="Default"/>
        <w:spacing w:line="480" w:lineRule="auto"/>
        <w:ind w:left="720" w:hanging="720"/>
        <w:rPr>
          <w:b/>
        </w:rPr>
      </w:pPr>
      <w:r>
        <w:rPr>
          <w:b/>
        </w:rPr>
        <w:t>Q.</w:t>
      </w:r>
      <w:r>
        <w:rPr>
          <w:b/>
        </w:rPr>
        <w:tab/>
        <w:t>Mr. Bergmann argues that violations under Causes of Action 1 and 2 (RCW 80.36.080 and WAC 480-120-450(1)) should be counted on a “per-call basis.”</w:t>
      </w:r>
      <w:r w:rsidR="00BB7FCC">
        <w:rPr>
          <w:rStyle w:val="FootnoteReference"/>
          <w:b/>
        </w:rPr>
        <w:footnoteReference w:id="11"/>
      </w:r>
      <w:r w:rsidR="00BB7FCC">
        <w:rPr>
          <w:b/>
        </w:rPr>
        <w:t xml:space="preserve"> Do you agree</w:t>
      </w:r>
      <w:r w:rsidR="008C20B5" w:rsidRPr="008C20B5">
        <w:rPr>
          <w:b/>
        </w:rPr>
        <w:t xml:space="preserve"> </w:t>
      </w:r>
      <w:r w:rsidR="008C20B5">
        <w:rPr>
          <w:b/>
        </w:rPr>
        <w:t>with Mr. Bergmann</w:t>
      </w:r>
      <w:r w:rsidR="00BB7FCC">
        <w:rPr>
          <w:b/>
        </w:rPr>
        <w:t>?</w:t>
      </w:r>
    </w:p>
    <w:p w14:paraId="42A9E7D0" w14:textId="68B5F7A9" w:rsidR="00BB7FCC" w:rsidRDefault="00BB7FCC" w:rsidP="004D5544">
      <w:pPr>
        <w:pStyle w:val="Default"/>
        <w:spacing w:line="480" w:lineRule="auto"/>
        <w:ind w:left="720" w:hanging="720"/>
      </w:pPr>
      <w:r>
        <w:t>A.</w:t>
      </w:r>
      <w:r>
        <w:tab/>
      </w:r>
      <w:r w:rsidR="00273900">
        <w:t xml:space="preserve">This is a non-issue. </w:t>
      </w:r>
      <w:r w:rsidR="00052133">
        <w:t xml:space="preserve">Our </w:t>
      </w:r>
      <w:r>
        <w:t>Settlement Agreement counts</w:t>
      </w:r>
      <w:r w:rsidR="00273900">
        <w:t xml:space="preserve"> violations on a per-call basis, so Mr. Bergmann is doing nothing more than agreeing with the Settling Parties.</w:t>
      </w:r>
      <w:r w:rsidR="00ED674C">
        <w:t xml:space="preserve"> </w:t>
      </w:r>
    </w:p>
    <w:p w14:paraId="6AC83122" w14:textId="7F29B1BE" w:rsidR="008C20B5" w:rsidRDefault="008C20B5" w:rsidP="00CB152B">
      <w:pPr>
        <w:pStyle w:val="Default"/>
        <w:spacing w:line="480" w:lineRule="auto"/>
        <w:ind w:left="720" w:hanging="720"/>
      </w:pPr>
    </w:p>
    <w:p w14:paraId="1D678149" w14:textId="27EAF559" w:rsidR="008C20B5" w:rsidRDefault="008C20B5" w:rsidP="00CB152B">
      <w:pPr>
        <w:pStyle w:val="Default"/>
        <w:spacing w:line="480" w:lineRule="auto"/>
        <w:ind w:left="720" w:hanging="720"/>
        <w:rPr>
          <w:b/>
        </w:rPr>
      </w:pPr>
      <w:r>
        <w:rPr>
          <w:b/>
        </w:rPr>
        <w:t>Q.</w:t>
      </w:r>
      <w:r>
        <w:rPr>
          <w:b/>
        </w:rPr>
        <w:tab/>
        <w:t xml:space="preserve">Mr. Bergmann suggests that the penalty imposed by the Commission should be “commensurate” with the $16 million penalty imposed by the Federal Communications Commission in April 2015. </w:t>
      </w:r>
      <w:r w:rsidR="007612BE">
        <w:rPr>
          <w:b/>
        </w:rPr>
        <w:t>What is your response?</w:t>
      </w:r>
    </w:p>
    <w:p w14:paraId="1D41087C" w14:textId="6BB76025" w:rsidR="00CD0BC5" w:rsidRDefault="007612BE" w:rsidP="00CB152B">
      <w:pPr>
        <w:pStyle w:val="Default"/>
        <w:spacing w:line="480" w:lineRule="auto"/>
        <w:ind w:left="720" w:hanging="720"/>
      </w:pPr>
      <w:r>
        <w:t>A.</w:t>
      </w:r>
      <w:r>
        <w:tab/>
      </w:r>
      <w:r w:rsidR="004D5544">
        <w:t xml:space="preserve">Staff’s </w:t>
      </w:r>
      <w:r w:rsidR="00ED674C">
        <w:t>I</w:t>
      </w:r>
      <w:r w:rsidR="004D5544">
        <w:t xml:space="preserve">nvestigation </w:t>
      </w:r>
      <w:r w:rsidR="00ED674C">
        <w:t>R</w:t>
      </w:r>
      <w:r w:rsidR="004D5544">
        <w:t xml:space="preserve">eport, which included </w:t>
      </w:r>
      <w:r w:rsidR="00052133">
        <w:t xml:space="preserve">Staff’s </w:t>
      </w:r>
      <w:r w:rsidR="004D5544">
        <w:t xml:space="preserve">penalty recommendation, was issued on December 2, 2014, well before the </w:t>
      </w:r>
      <w:r w:rsidR="00FA66F1">
        <w:t xml:space="preserve">FCC imposed its penalty on </w:t>
      </w:r>
      <w:r w:rsidR="004D5544">
        <w:t xml:space="preserve">April 6, 2015. </w:t>
      </w:r>
      <w:r w:rsidR="00052133">
        <w:t xml:space="preserve">I would </w:t>
      </w:r>
      <w:r w:rsidR="00C80A84">
        <w:t xml:space="preserve">also </w:t>
      </w:r>
      <w:r w:rsidR="00052133">
        <w:t>note</w:t>
      </w:r>
      <w:r w:rsidR="00FA66F1">
        <w:t xml:space="preserve"> that the Commission’s enforcement policy, on which Mr. Bergmann relies so heavily, does not include</w:t>
      </w:r>
      <w:r w:rsidR="00C80A84">
        <w:t>,</w:t>
      </w:r>
      <w:r w:rsidR="00FA66F1">
        <w:t xml:space="preserve"> among its list of factors</w:t>
      </w:r>
      <w:r w:rsidR="00C80A84">
        <w:t xml:space="preserve"> to be considered,</w:t>
      </w:r>
      <w:r w:rsidR="00FA66F1">
        <w:t xml:space="preserve"> </w:t>
      </w:r>
      <w:r w:rsidR="004D5544">
        <w:t>penalties imposed by other</w:t>
      </w:r>
      <w:r w:rsidR="00FA66F1">
        <w:t xml:space="preserve"> governmental</w:t>
      </w:r>
      <w:r w:rsidR="004D5544">
        <w:t xml:space="preserve"> agencies.</w:t>
      </w:r>
      <w:r w:rsidR="00FA66F1">
        <w:t xml:space="preserve"> </w:t>
      </w:r>
    </w:p>
    <w:p w14:paraId="436F3906" w14:textId="77777777" w:rsidR="00CD0BC5" w:rsidRDefault="00CD0BC5" w:rsidP="00CB152B">
      <w:pPr>
        <w:pStyle w:val="Default"/>
        <w:spacing w:line="480" w:lineRule="auto"/>
        <w:ind w:left="720" w:hanging="720"/>
      </w:pPr>
    </w:p>
    <w:p w14:paraId="5E68E5BE" w14:textId="77777777" w:rsidR="00CD0BC5" w:rsidRDefault="00CD0BC5" w:rsidP="00CB152B">
      <w:pPr>
        <w:pStyle w:val="Default"/>
        <w:spacing w:line="480" w:lineRule="auto"/>
        <w:ind w:left="720" w:hanging="720"/>
        <w:rPr>
          <w:b/>
        </w:rPr>
      </w:pPr>
      <w:r>
        <w:rPr>
          <w:b/>
        </w:rPr>
        <w:t>Q.</w:t>
      </w:r>
      <w:r>
        <w:rPr>
          <w:b/>
        </w:rPr>
        <w:tab/>
        <w:t>Is there anything further you would like to say regarding Mr. Bergmann’s testimony?</w:t>
      </w:r>
    </w:p>
    <w:p w14:paraId="543659B8" w14:textId="33486FD1" w:rsidR="007612BE" w:rsidRDefault="00CD0BC5" w:rsidP="00CB152B">
      <w:pPr>
        <w:pStyle w:val="Default"/>
        <w:spacing w:line="480" w:lineRule="auto"/>
        <w:ind w:left="720" w:hanging="720"/>
      </w:pPr>
      <w:r>
        <w:lastRenderedPageBreak/>
        <w:t>A.</w:t>
      </w:r>
      <w:r>
        <w:tab/>
        <w:t xml:space="preserve">Only that Staff remains unapologetic for having arrived at a full settlement </w:t>
      </w:r>
      <w:r w:rsidR="00D30660">
        <w:t xml:space="preserve">with the Company. All would agree that 911 is a critical service. The dispute with Mr. Bergman centers </w:t>
      </w:r>
      <w:r w:rsidR="00DF59F6">
        <w:t>only</w:t>
      </w:r>
      <w:r w:rsidR="00D30660">
        <w:t xml:space="preserve"> on the penalty amount</w:t>
      </w:r>
      <w:r w:rsidR="00DF59F6">
        <w:t>, and Staff considers Mr. Bergmann’s proposal on that issue to be extreme and unduly punitive.</w:t>
      </w:r>
      <w:r w:rsidR="00D30660">
        <w:t xml:space="preserve"> Staff asks that the Commission adopt the Settlement Agreement in its entirety.</w:t>
      </w:r>
    </w:p>
    <w:p w14:paraId="7D86B4BF" w14:textId="77777777" w:rsidR="00444935" w:rsidRDefault="00444935" w:rsidP="00E5541C">
      <w:pPr>
        <w:pStyle w:val="Default"/>
        <w:spacing w:line="480" w:lineRule="auto"/>
        <w:ind w:left="720" w:hanging="720"/>
        <w:jc w:val="center"/>
        <w:rPr>
          <w:b/>
        </w:rPr>
      </w:pPr>
    </w:p>
    <w:p w14:paraId="797E8698" w14:textId="76D326D5" w:rsidR="00E5541C" w:rsidRDefault="00E5541C" w:rsidP="00E5541C">
      <w:pPr>
        <w:pStyle w:val="Default"/>
        <w:spacing w:line="480" w:lineRule="auto"/>
        <w:ind w:left="720" w:hanging="720"/>
        <w:jc w:val="center"/>
        <w:rPr>
          <w:b/>
        </w:rPr>
      </w:pPr>
      <w:r>
        <w:rPr>
          <w:b/>
        </w:rPr>
        <w:t>III.</w:t>
      </w:r>
      <w:r>
        <w:rPr>
          <w:b/>
        </w:rPr>
        <w:tab/>
        <w:t>REBUTTAL TO THOMAS ORR</w:t>
      </w:r>
    </w:p>
    <w:p w14:paraId="5E5ED30B" w14:textId="77777777" w:rsidR="00E5541C" w:rsidRDefault="00E5541C" w:rsidP="00E5541C">
      <w:pPr>
        <w:pStyle w:val="Default"/>
        <w:spacing w:line="480" w:lineRule="auto"/>
        <w:ind w:left="720" w:hanging="720"/>
        <w:jc w:val="center"/>
        <w:rPr>
          <w:b/>
        </w:rPr>
      </w:pPr>
    </w:p>
    <w:p w14:paraId="3403BD3B" w14:textId="3694D3A0" w:rsidR="00444935" w:rsidRDefault="00444935" w:rsidP="00444935">
      <w:pPr>
        <w:pStyle w:val="Default"/>
        <w:spacing w:line="480" w:lineRule="auto"/>
        <w:ind w:left="720" w:hanging="720"/>
        <w:rPr>
          <w:b/>
        </w:rPr>
      </w:pPr>
      <w:r>
        <w:rPr>
          <w:b/>
        </w:rPr>
        <w:t>Q.</w:t>
      </w:r>
      <w:r>
        <w:rPr>
          <w:b/>
        </w:rPr>
        <w:tab/>
        <w:t xml:space="preserve">The Settling Parties stipulated that the 911 outage ended </w:t>
      </w:r>
      <w:r w:rsidR="00393259">
        <w:rPr>
          <w:b/>
        </w:rPr>
        <w:t xml:space="preserve">at 6:06 a.m. on April 10, 2014. </w:t>
      </w:r>
      <w:r>
        <w:rPr>
          <w:b/>
        </w:rPr>
        <w:t>Mr. Orr states that “reports of 911</w:t>
      </w:r>
      <w:r w:rsidR="00393259">
        <w:rPr>
          <w:b/>
        </w:rPr>
        <w:t xml:space="preserve"> calls failing continued through to at least 1634 hours (4:34 p.m.).”</w:t>
      </w:r>
      <w:r w:rsidR="00393259">
        <w:rPr>
          <w:rStyle w:val="FootnoteReference"/>
          <w:b/>
        </w:rPr>
        <w:footnoteReference w:id="12"/>
      </w:r>
      <w:r>
        <w:rPr>
          <w:b/>
        </w:rPr>
        <w:t xml:space="preserve"> </w:t>
      </w:r>
      <w:r w:rsidR="00393259">
        <w:rPr>
          <w:b/>
        </w:rPr>
        <w:t>How do you explain this difference?</w:t>
      </w:r>
    </w:p>
    <w:p w14:paraId="054EAECE" w14:textId="3A262EFF" w:rsidR="00393259" w:rsidRDefault="00393259" w:rsidP="00444935">
      <w:pPr>
        <w:pStyle w:val="Default"/>
        <w:spacing w:line="480" w:lineRule="auto"/>
        <w:ind w:left="720" w:hanging="720"/>
        <w:rPr>
          <w:b/>
        </w:rPr>
      </w:pPr>
      <w:r>
        <w:t>A.</w:t>
      </w:r>
      <w:r>
        <w:tab/>
      </w:r>
      <w:r w:rsidR="00D938AA">
        <w:t xml:space="preserve">I am not aware of reports of 911 calls continuing to fail </w:t>
      </w:r>
      <w:r w:rsidR="009A7F06">
        <w:t>as of</w:t>
      </w:r>
      <w:r w:rsidR="00D938AA">
        <w:t xml:space="preserve"> 4:34 p.m.</w:t>
      </w:r>
      <w:r w:rsidR="008E5694">
        <w:t xml:space="preserve"> </w:t>
      </w:r>
      <w:r w:rsidR="009A7F06">
        <w:t xml:space="preserve">on April 10, 2014. </w:t>
      </w:r>
      <w:r w:rsidR="008E5694">
        <w:t xml:space="preserve">The Settling Parties have stipulated </w:t>
      </w:r>
      <w:r w:rsidR="00ED674C">
        <w:t>that “the outage lasted until 6:06 a.m. PDT on April 10, 2014.”</w:t>
      </w:r>
      <w:r w:rsidR="00ED674C">
        <w:rPr>
          <w:rStyle w:val="FootnoteReference"/>
        </w:rPr>
        <w:footnoteReference w:id="13"/>
      </w:r>
    </w:p>
    <w:p w14:paraId="62E5916D" w14:textId="77777777" w:rsidR="00444935" w:rsidRDefault="00444935" w:rsidP="00E5541C">
      <w:pPr>
        <w:pStyle w:val="Default"/>
        <w:spacing w:line="480" w:lineRule="auto"/>
        <w:ind w:left="720" w:hanging="720"/>
        <w:jc w:val="center"/>
        <w:rPr>
          <w:b/>
        </w:rPr>
      </w:pPr>
    </w:p>
    <w:p w14:paraId="1A18B504" w14:textId="60347809" w:rsidR="00E5541C" w:rsidRDefault="00E5541C" w:rsidP="00E5541C">
      <w:pPr>
        <w:pStyle w:val="Default"/>
        <w:spacing w:line="480" w:lineRule="auto"/>
        <w:ind w:left="720" w:hanging="720"/>
        <w:jc w:val="center"/>
        <w:rPr>
          <w:b/>
        </w:rPr>
      </w:pPr>
      <w:r>
        <w:rPr>
          <w:b/>
        </w:rPr>
        <w:t>IV.</w:t>
      </w:r>
      <w:r>
        <w:rPr>
          <w:b/>
        </w:rPr>
        <w:tab/>
        <w:t>REBUTTAL TO ALICIA CAPPOLA</w:t>
      </w:r>
    </w:p>
    <w:p w14:paraId="70422541" w14:textId="77777777" w:rsidR="00C962A3" w:rsidRDefault="00C962A3" w:rsidP="00E5541C">
      <w:pPr>
        <w:pStyle w:val="Default"/>
        <w:spacing w:line="480" w:lineRule="auto"/>
        <w:ind w:left="720" w:hanging="720"/>
        <w:jc w:val="center"/>
        <w:rPr>
          <w:b/>
        </w:rPr>
      </w:pPr>
    </w:p>
    <w:p w14:paraId="352561B3" w14:textId="3F8EDE7A" w:rsidR="00C962A3" w:rsidRDefault="00C962A3" w:rsidP="00C962A3">
      <w:pPr>
        <w:pStyle w:val="Default"/>
        <w:spacing w:line="480" w:lineRule="auto"/>
        <w:ind w:left="720" w:hanging="720"/>
        <w:rPr>
          <w:b/>
        </w:rPr>
      </w:pPr>
      <w:r>
        <w:rPr>
          <w:b/>
        </w:rPr>
        <w:t>Q.</w:t>
      </w:r>
      <w:r>
        <w:rPr>
          <w:b/>
        </w:rPr>
        <w:tab/>
        <w:t>Ms. Cappola testifies, “</w:t>
      </w:r>
      <w:r w:rsidRPr="009A38A6">
        <w:rPr>
          <w:b/>
        </w:rPr>
        <w:t>It is scary to need 911 and not be able to get through.</w:t>
      </w:r>
      <w:r>
        <w:rPr>
          <w:b/>
        </w:rPr>
        <w:t>”</w:t>
      </w:r>
      <w:r>
        <w:rPr>
          <w:rStyle w:val="FootnoteReference"/>
          <w:b/>
        </w:rPr>
        <w:footnoteReference w:id="14"/>
      </w:r>
      <w:r>
        <w:rPr>
          <w:b/>
        </w:rPr>
        <w:t xml:space="preserve"> She also recalls feeling terrified and helpless when faced with an intruder in her home. How do you respond?</w:t>
      </w:r>
    </w:p>
    <w:p w14:paraId="7621DCAD" w14:textId="38D700B2" w:rsidR="00C962A3" w:rsidRDefault="00C962A3" w:rsidP="00C962A3">
      <w:pPr>
        <w:pStyle w:val="Default"/>
        <w:spacing w:line="480" w:lineRule="auto"/>
        <w:ind w:left="720" w:hanging="720"/>
        <w:rPr>
          <w:i/>
        </w:rPr>
      </w:pPr>
      <w:r>
        <w:lastRenderedPageBreak/>
        <w:t>A.</w:t>
      </w:r>
      <w:r>
        <w:tab/>
        <w:t xml:space="preserve">Staff agrees that Ms. Cappola’s situation was terrifying. Staff considered this fact and also considered that every failed call to 911 represented someone in dire need of assistance who did not receive it. </w:t>
      </w:r>
      <w:r w:rsidR="000C791D">
        <w:t>Each of</w:t>
      </w:r>
      <w:r>
        <w:t xml:space="preserve"> us can imagine the terror of trying to get emergency </w:t>
      </w:r>
      <w:r w:rsidR="000C791D">
        <w:t xml:space="preserve">help </w:t>
      </w:r>
      <w:r>
        <w:t xml:space="preserve">for ourselves, or for our loved ones, and not being able to get that help. Ms. Cappola experienced that terror. Because of her experience, and the experiences of all other </w:t>
      </w:r>
      <w:r w:rsidR="00C80A84">
        <w:t>individuals</w:t>
      </w:r>
      <w:r>
        <w:t xml:space="preserve"> who attempted to get help and did not receive it, Staff recommended an exceptionally large and significant penalty.</w:t>
      </w:r>
    </w:p>
    <w:p w14:paraId="35F3ACAF" w14:textId="77777777" w:rsidR="00E5541C" w:rsidRDefault="00E5541C" w:rsidP="00E5541C">
      <w:pPr>
        <w:pStyle w:val="Default"/>
        <w:spacing w:line="480" w:lineRule="auto"/>
        <w:ind w:left="720" w:hanging="720"/>
        <w:jc w:val="center"/>
        <w:rPr>
          <w:b/>
        </w:rPr>
      </w:pPr>
    </w:p>
    <w:p w14:paraId="4C08A55E" w14:textId="2D03DC29" w:rsidR="00E5541C" w:rsidRDefault="00E5541C" w:rsidP="00E5541C">
      <w:pPr>
        <w:pStyle w:val="Default"/>
        <w:spacing w:line="480" w:lineRule="auto"/>
        <w:ind w:left="720" w:hanging="720"/>
        <w:rPr>
          <w:b/>
        </w:rPr>
      </w:pPr>
      <w:r>
        <w:rPr>
          <w:b/>
        </w:rPr>
        <w:t>Q.</w:t>
      </w:r>
      <w:r>
        <w:rPr>
          <w:b/>
        </w:rPr>
        <w:tab/>
        <w:t>Were you familiar with Ms. Cappola’s story before reviewing her written testimony in this docket?</w:t>
      </w:r>
    </w:p>
    <w:p w14:paraId="31A1F369" w14:textId="469F734E" w:rsidR="00E5541C" w:rsidRDefault="00E5541C" w:rsidP="00E5541C">
      <w:pPr>
        <w:pStyle w:val="Default"/>
        <w:spacing w:line="480" w:lineRule="auto"/>
        <w:ind w:left="720" w:hanging="720"/>
        <w:rPr>
          <w:i/>
        </w:rPr>
      </w:pPr>
      <w:r>
        <w:t>A.</w:t>
      </w:r>
      <w:r>
        <w:tab/>
      </w:r>
      <w:r w:rsidR="004D5544">
        <w:t>Yes. Staff initiated contact with Ms. Cappola by email on July 22, 2014, and conducted a telephone interview with her on July 23, 2014. During this interview, Ms. Cappola relayed her numerous attempts to reach 911 when threatened by an intruder. Staff</w:t>
      </w:r>
      <w:r w:rsidR="00D95615">
        <w:t xml:space="preserve"> ultimately</w:t>
      </w:r>
      <w:r w:rsidR="004D5544">
        <w:t xml:space="preserve"> had numerous </w:t>
      </w:r>
      <w:r w:rsidR="00D95615">
        <w:t xml:space="preserve">contacts </w:t>
      </w:r>
      <w:r w:rsidR="004D5544">
        <w:t xml:space="preserve">with Ms. Cappola during the investigation and </w:t>
      </w:r>
      <w:r w:rsidR="00D95615">
        <w:t xml:space="preserve">she </w:t>
      </w:r>
      <w:r w:rsidR="004D5544">
        <w:t>was instrumental in helping Staff to understand the outage</w:t>
      </w:r>
      <w:r w:rsidR="00D95615">
        <w:t>’s impacts—particularly on callers using</w:t>
      </w:r>
      <w:r w:rsidR="004D5544">
        <w:t xml:space="preserve"> wireless telephone</w:t>
      </w:r>
      <w:r w:rsidR="00D95615">
        <w:t>s</w:t>
      </w:r>
      <w:r w:rsidR="004D5544">
        <w:t xml:space="preserve">. Staff factored Ms. Cappola’s frightening experience in </w:t>
      </w:r>
      <w:r w:rsidR="00D95615">
        <w:t>its penalty recommendation</w:t>
      </w:r>
      <w:r w:rsidR="004D5544">
        <w:t>.</w:t>
      </w:r>
    </w:p>
    <w:p w14:paraId="7D744602" w14:textId="77777777" w:rsidR="00B71232" w:rsidRDefault="00B71232" w:rsidP="00E5541C">
      <w:pPr>
        <w:pStyle w:val="Default"/>
        <w:spacing w:line="480" w:lineRule="auto"/>
        <w:ind w:left="720" w:hanging="720"/>
        <w:rPr>
          <w:i/>
        </w:rPr>
      </w:pPr>
    </w:p>
    <w:p w14:paraId="4B7AAB28" w14:textId="1ABB4C9A" w:rsidR="00B71232" w:rsidRPr="00960C4D" w:rsidRDefault="00B71232" w:rsidP="00960C4D">
      <w:pPr>
        <w:pStyle w:val="Default"/>
        <w:spacing w:line="480" w:lineRule="auto"/>
        <w:ind w:left="720" w:hanging="720"/>
        <w:jc w:val="center"/>
        <w:rPr>
          <w:b/>
        </w:rPr>
      </w:pPr>
      <w:r>
        <w:rPr>
          <w:b/>
        </w:rPr>
        <w:t>V.</w:t>
      </w:r>
      <w:r>
        <w:rPr>
          <w:b/>
        </w:rPr>
        <w:tab/>
        <w:t>CONCLUSION</w:t>
      </w:r>
    </w:p>
    <w:p w14:paraId="66C05321" w14:textId="77777777" w:rsidR="00B71232" w:rsidRDefault="00B71232" w:rsidP="00E5541C">
      <w:pPr>
        <w:pStyle w:val="Default"/>
        <w:spacing w:line="480" w:lineRule="auto"/>
        <w:ind w:left="720" w:hanging="720"/>
        <w:rPr>
          <w:i/>
        </w:rPr>
      </w:pPr>
    </w:p>
    <w:p w14:paraId="61C81B45" w14:textId="77777777" w:rsidR="00B71232" w:rsidRDefault="00B71232" w:rsidP="00E5541C">
      <w:pPr>
        <w:pStyle w:val="Default"/>
        <w:spacing w:line="480" w:lineRule="auto"/>
        <w:ind w:left="720" w:hanging="720"/>
        <w:rPr>
          <w:b/>
        </w:rPr>
      </w:pPr>
      <w:r>
        <w:rPr>
          <w:b/>
        </w:rPr>
        <w:t>Q.</w:t>
      </w:r>
      <w:r>
        <w:rPr>
          <w:b/>
        </w:rPr>
        <w:tab/>
        <w:t>What should the Commission do with the Settlement Agreement?</w:t>
      </w:r>
    </w:p>
    <w:p w14:paraId="773068F0" w14:textId="5DEEE4CF" w:rsidR="009A38A6" w:rsidRPr="000F09C9" w:rsidRDefault="00B71232" w:rsidP="00E5541C">
      <w:pPr>
        <w:pStyle w:val="Default"/>
        <w:spacing w:line="480" w:lineRule="auto"/>
        <w:ind w:left="720" w:hanging="720"/>
      </w:pPr>
      <w:r>
        <w:t>A.</w:t>
      </w:r>
      <w:r>
        <w:tab/>
      </w:r>
      <w:r w:rsidR="00ED674C">
        <w:t>Staff recommends that t</w:t>
      </w:r>
      <w:r>
        <w:t>he Commission approve</w:t>
      </w:r>
      <w:r w:rsidR="00ED674C">
        <w:t xml:space="preserve"> and adopt</w:t>
      </w:r>
      <w:r>
        <w:t xml:space="preserve"> the Settlement Agreement without modification.</w:t>
      </w:r>
    </w:p>
    <w:sectPr w:rsidR="009A38A6" w:rsidRPr="000F09C9" w:rsidSect="0015026F">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FFE7" w14:textId="77777777" w:rsidR="00D84A1C" w:rsidRDefault="00D84A1C" w:rsidP="0015026F">
      <w:r>
        <w:separator/>
      </w:r>
    </w:p>
  </w:endnote>
  <w:endnote w:type="continuationSeparator" w:id="0">
    <w:p w14:paraId="7A5D1A06" w14:textId="77777777" w:rsidR="00D84A1C" w:rsidRDefault="00D84A1C" w:rsidP="0015026F">
      <w:r>
        <w:continuationSeparator/>
      </w:r>
    </w:p>
  </w:endnote>
  <w:endnote w:type="continuationNotice" w:id="1">
    <w:p w14:paraId="3FAD0DD4" w14:textId="77777777" w:rsidR="00DC3ACB" w:rsidRDefault="00DC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EFD7" w14:textId="77777777" w:rsidR="00D84A1C" w:rsidRPr="0015026F" w:rsidRDefault="00D84A1C" w:rsidP="0015026F">
    <w:pPr>
      <w:pStyle w:val="Footer"/>
      <w:tabs>
        <w:tab w:val="clear" w:pos="9360"/>
        <w:tab w:val="right" w:pos="8910"/>
      </w:tabs>
      <w:rPr>
        <w:sz w:val="20"/>
        <w:szCs w:val="20"/>
      </w:rPr>
    </w:pPr>
  </w:p>
  <w:p w14:paraId="0895D583" w14:textId="6C189AAB" w:rsidR="00D84A1C" w:rsidRPr="003B43DC" w:rsidRDefault="00890FF4" w:rsidP="003B43DC">
    <w:pPr>
      <w:pStyle w:val="Footer"/>
      <w:tabs>
        <w:tab w:val="right" w:pos="8910"/>
      </w:tabs>
      <w:rPr>
        <w:sz w:val="20"/>
        <w:szCs w:val="20"/>
      </w:rPr>
    </w:pPr>
    <w:r>
      <w:rPr>
        <w:sz w:val="20"/>
        <w:szCs w:val="20"/>
      </w:rPr>
      <w:t xml:space="preserve">REBUTTAL </w:t>
    </w:r>
    <w:r w:rsidR="00D84A1C" w:rsidRPr="00C061F7">
      <w:rPr>
        <w:sz w:val="20"/>
        <w:szCs w:val="20"/>
      </w:rPr>
      <w:t xml:space="preserve">TESTIMONY </w:t>
    </w:r>
    <w:r w:rsidR="00D84A1C">
      <w:rPr>
        <w:sz w:val="20"/>
        <w:szCs w:val="20"/>
      </w:rPr>
      <w:t>OF SUSIE PAUL</w:t>
    </w:r>
    <w:r w:rsidR="00D84A1C" w:rsidRPr="003B43DC">
      <w:rPr>
        <w:sz w:val="20"/>
        <w:szCs w:val="20"/>
      </w:rPr>
      <w:tab/>
    </w:r>
    <w:r w:rsidR="00D84A1C" w:rsidRPr="003B43DC">
      <w:rPr>
        <w:sz w:val="20"/>
        <w:szCs w:val="20"/>
      </w:rPr>
      <w:tab/>
      <w:t xml:space="preserve">Exhibit No. </w:t>
    </w:r>
    <w:r w:rsidR="00286B4A">
      <w:rPr>
        <w:sz w:val="20"/>
        <w:szCs w:val="20"/>
      </w:rPr>
      <w:t>___ (SP-</w:t>
    </w:r>
    <w:r>
      <w:rPr>
        <w:sz w:val="20"/>
        <w:szCs w:val="20"/>
      </w:rPr>
      <w:t>4</w:t>
    </w:r>
    <w:r w:rsidR="00286B4A">
      <w:rPr>
        <w:sz w:val="20"/>
        <w:szCs w:val="20"/>
      </w:rPr>
      <w:t>T)</w:t>
    </w:r>
  </w:p>
  <w:p w14:paraId="772CC439" w14:textId="7616BA13" w:rsidR="00D84A1C" w:rsidRPr="0015026F" w:rsidRDefault="00D84A1C" w:rsidP="0015026F">
    <w:pPr>
      <w:pStyle w:val="Footer"/>
      <w:tabs>
        <w:tab w:val="clear" w:pos="9360"/>
        <w:tab w:val="right" w:pos="8910"/>
      </w:tabs>
      <w:rPr>
        <w:sz w:val="20"/>
        <w:szCs w:val="20"/>
      </w:rPr>
    </w:pPr>
    <w:r w:rsidRPr="003B43DC">
      <w:rPr>
        <w:sz w:val="20"/>
        <w:szCs w:val="20"/>
      </w:rPr>
      <w:t>Docket UT-1</w:t>
    </w:r>
    <w:r>
      <w:rPr>
        <w:sz w:val="20"/>
        <w:szCs w:val="20"/>
      </w:rPr>
      <w:t>40597</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5F4263">
      <w:rPr>
        <w:noProof/>
        <w:sz w:val="20"/>
        <w:szCs w:val="20"/>
      </w:rPr>
      <w:t>9</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E008" w14:textId="77777777" w:rsidR="00D84A1C" w:rsidRDefault="00D84A1C" w:rsidP="0015026F">
      <w:r>
        <w:separator/>
      </w:r>
    </w:p>
  </w:footnote>
  <w:footnote w:type="continuationSeparator" w:id="0">
    <w:p w14:paraId="6914E50A" w14:textId="77777777" w:rsidR="00D84A1C" w:rsidRDefault="00D84A1C" w:rsidP="0015026F">
      <w:r>
        <w:continuationSeparator/>
      </w:r>
    </w:p>
  </w:footnote>
  <w:footnote w:type="continuationNotice" w:id="1">
    <w:p w14:paraId="077DEA2D" w14:textId="77777777" w:rsidR="00DC3ACB" w:rsidRDefault="00DC3ACB"/>
  </w:footnote>
  <w:footnote w:id="2">
    <w:p w14:paraId="34FDF692" w14:textId="406662A3" w:rsidR="009E3FAC" w:rsidRDefault="009E3FAC">
      <w:pPr>
        <w:pStyle w:val="FootnoteText"/>
      </w:pPr>
      <w:r>
        <w:rPr>
          <w:rStyle w:val="FootnoteReference"/>
        </w:rPr>
        <w:footnoteRef/>
      </w:r>
      <w:r>
        <w:t xml:space="preserve"> Testimony of David C. Bergmann (Oct. 27, 2015), Exh. No. DCB-1T, at 7.</w:t>
      </w:r>
    </w:p>
  </w:footnote>
  <w:footnote w:id="3">
    <w:p w14:paraId="26C17ADD" w14:textId="6B99CA8C" w:rsidR="002D11BF" w:rsidRDefault="002D11BF">
      <w:pPr>
        <w:pStyle w:val="FootnoteText"/>
      </w:pPr>
      <w:r>
        <w:rPr>
          <w:rStyle w:val="FootnoteReference"/>
        </w:rPr>
        <w:footnoteRef/>
      </w:r>
      <w:r>
        <w:t xml:space="preserve"> Testimony of David C. Bergmann (Oct. 27, 2015), Exh. No. DCB-1T, at 34.</w:t>
      </w:r>
    </w:p>
  </w:footnote>
  <w:footnote w:id="4">
    <w:p w14:paraId="091F7135" w14:textId="0213FB1C" w:rsidR="0050390B" w:rsidRDefault="0050390B">
      <w:pPr>
        <w:pStyle w:val="FootnoteText"/>
      </w:pPr>
      <w:r>
        <w:rPr>
          <w:rStyle w:val="FootnoteReference"/>
        </w:rPr>
        <w:footnoteRef/>
      </w:r>
      <w:r>
        <w:t xml:space="preserve"> Testimony of David C. Bergmann (Oct. 27, 2015), Exh. No. DCB-1T, at 5.</w:t>
      </w:r>
    </w:p>
  </w:footnote>
  <w:footnote w:id="5">
    <w:p w14:paraId="16B8F91B" w14:textId="38F5DC47" w:rsidR="00BB7FCC" w:rsidRDefault="00BB7FCC" w:rsidP="00BB7FCC">
      <w:pPr>
        <w:pStyle w:val="FootnoteText"/>
      </w:pPr>
      <w:r>
        <w:rPr>
          <w:rStyle w:val="FootnoteReference"/>
        </w:rPr>
        <w:footnoteRef/>
      </w:r>
      <w:r>
        <w:t xml:space="preserve"> Testimony of David C. Bergmann (Oct. 27, 2015), Exh. No. DCB-1T, at 22.</w:t>
      </w:r>
      <w:r>
        <w:tab/>
      </w:r>
    </w:p>
  </w:footnote>
  <w:footnote w:id="6">
    <w:p w14:paraId="3F862FF8" w14:textId="0F588C3F" w:rsidR="006007E2" w:rsidRDefault="006007E2">
      <w:pPr>
        <w:pStyle w:val="FootnoteText"/>
      </w:pPr>
      <w:r>
        <w:rPr>
          <w:rStyle w:val="FootnoteReference"/>
        </w:rPr>
        <w:footnoteRef/>
      </w:r>
      <w:r>
        <w:t xml:space="preserve"> Investigation Report at 28-29.</w:t>
      </w:r>
    </w:p>
  </w:footnote>
  <w:footnote w:id="7">
    <w:p w14:paraId="48A0367A" w14:textId="1E2ABEA5" w:rsidR="006007E2" w:rsidRDefault="006007E2">
      <w:pPr>
        <w:pStyle w:val="FootnoteText"/>
      </w:pPr>
      <w:r>
        <w:rPr>
          <w:rStyle w:val="FootnoteReference"/>
        </w:rPr>
        <w:footnoteRef/>
      </w:r>
      <w:r>
        <w:t xml:space="preserve"> Testimony of David C. Bergmann (Oct. 27, 2015), Exh. No. DCB-1T, at 24.</w:t>
      </w:r>
    </w:p>
  </w:footnote>
  <w:footnote w:id="8">
    <w:p w14:paraId="40522C48" w14:textId="77777777" w:rsidR="004C686D" w:rsidRDefault="004C686D" w:rsidP="004C686D">
      <w:pPr>
        <w:pStyle w:val="FootnoteText"/>
      </w:pPr>
      <w:r>
        <w:rPr>
          <w:rStyle w:val="FootnoteReference"/>
        </w:rPr>
        <w:footnoteRef/>
      </w:r>
      <w:r>
        <w:t xml:space="preserve"> Testimony of David C. Bergmann (Oct. 27, 2015), Exh. No. DCB-1T, at 29.</w:t>
      </w:r>
    </w:p>
  </w:footnote>
  <w:footnote w:id="9">
    <w:p w14:paraId="2B79A4DF" w14:textId="3C89E6B8" w:rsidR="004C686D" w:rsidRPr="00893282" w:rsidRDefault="004C686D" w:rsidP="004C686D">
      <w:pPr>
        <w:pStyle w:val="FootnoteText"/>
      </w:pPr>
      <w:r>
        <w:rPr>
          <w:rStyle w:val="FootnoteReference"/>
        </w:rPr>
        <w:footnoteRef/>
      </w:r>
      <w:r>
        <w:t xml:space="preserve"> </w:t>
      </w:r>
      <w:r>
        <w:rPr>
          <w:i/>
        </w:rPr>
        <w:t>Washington Utilities and Transportation Commission v. Advanced Telecom Group, Inc.</w:t>
      </w:r>
      <w:r>
        <w:t>, Docket UT-033011, Order 21 Adopting and Approving Settlement Agreement ¶ 1 (Feb. 28, 2005)</w:t>
      </w:r>
      <w:r w:rsidR="00CD0BC5">
        <w:t xml:space="preserve"> (emphasis added)</w:t>
      </w:r>
      <w:r>
        <w:t>.</w:t>
      </w:r>
    </w:p>
  </w:footnote>
  <w:footnote w:id="10">
    <w:p w14:paraId="36A85D11" w14:textId="601DAA15" w:rsidR="00B97274" w:rsidRDefault="00B97274">
      <w:pPr>
        <w:pStyle w:val="FootnoteText"/>
      </w:pPr>
      <w:r>
        <w:rPr>
          <w:rStyle w:val="FootnoteReference"/>
        </w:rPr>
        <w:footnoteRef/>
      </w:r>
      <w:r>
        <w:t xml:space="preserve"> Testimony of David C. Bergmann (Oct. 27, 2015), Exh. No. DCB-1T, at 21.</w:t>
      </w:r>
    </w:p>
  </w:footnote>
  <w:footnote w:id="11">
    <w:p w14:paraId="32B7EEDA" w14:textId="64E8C532" w:rsidR="00BB7FCC" w:rsidRDefault="00BB7FCC">
      <w:pPr>
        <w:pStyle w:val="FootnoteText"/>
      </w:pPr>
      <w:r>
        <w:rPr>
          <w:rStyle w:val="FootnoteReference"/>
        </w:rPr>
        <w:footnoteRef/>
      </w:r>
      <w:r>
        <w:t xml:space="preserve"> Testimony of David C. Bergmann (Oct. 27, 2015), Exh. No. DCB-1T, at 19.</w:t>
      </w:r>
    </w:p>
  </w:footnote>
  <w:footnote w:id="12">
    <w:p w14:paraId="31F3898F" w14:textId="5D793D24" w:rsidR="00393259" w:rsidRDefault="00393259">
      <w:pPr>
        <w:pStyle w:val="FootnoteText"/>
      </w:pPr>
      <w:r>
        <w:rPr>
          <w:rStyle w:val="FootnoteReference"/>
        </w:rPr>
        <w:footnoteRef/>
      </w:r>
      <w:r>
        <w:t xml:space="preserve"> Testimony of Thomas R. Orr (Oct. 27, 2015), Exh. No. TRO-1T, at 8.</w:t>
      </w:r>
    </w:p>
  </w:footnote>
  <w:footnote w:id="13">
    <w:p w14:paraId="5250E0B1" w14:textId="071533AC" w:rsidR="00ED674C" w:rsidRPr="009A7F06" w:rsidRDefault="00ED674C">
      <w:pPr>
        <w:pStyle w:val="FootnoteText"/>
      </w:pPr>
      <w:r>
        <w:rPr>
          <w:rStyle w:val="FootnoteReference"/>
        </w:rPr>
        <w:footnoteRef/>
      </w:r>
      <w:r>
        <w:t xml:space="preserve"> </w:t>
      </w:r>
      <w:r>
        <w:rPr>
          <w:i/>
        </w:rPr>
        <w:t>Washington Utilities and Transportation Commission v. Qwest Corporation d/b/a CenturyLink QC</w:t>
      </w:r>
      <w:r>
        <w:t>, Docket UT-140597, Multiparty Settlement Agreement (Sept. 10, 2015), at 2.</w:t>
      </w:r>
    </w:p>
  </w:footnote>
  <w:footnote w:id="14">
    <w:p w14:paraId="0C1BD216" w14:textId="77777777" w:rsidR="00C962A3" w:rsidRDefault="00C962A3" w:rsidP="00C962A3">
      <w:pPr>
        <w:pStyle w:val="FootnoteText"/>
      </w:pPr>
      <w:r>
        <w:rPr>
          <w:rStyle w:val="FootnoteReference"/>
        </w:rPr>
        <w:footnoteRef/>
      </w:r>
      <w:r>
        <w:t xml:space="preserve"> Testimony of Alicia Cappola (Oct. 27, 2015), Exh. No. AC-1T, at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226B2"/>
    <w:rsid w:val="0002279D"/>
    <w:rsid w:val="000258F3"/>
    <w:rsid w:val="0002602C"/>
    <w:rsid w:val="00042EDB"/>
    <w:rsid w:val="0004720F"/>
    <w:rsid w:val="00052133"/>
    <w:rsid w:val="00060465"/>
    <w:rsid w:val="00062E8F"/>
    <w:rsid w:val="00062ED3"/>
    <w:rsid w:val="00064CB7"/>
    <w:rsid w:val="00070398"/>
    <w:rsid w:val="000C0C53"/>
    <w:rsid w:val="000C791D"/>
    <w:rsid w:val="000D4D52"/>
    <w:rsid w:val="000F09C9"/>
    <w:rsid w:val="000F6326"/>
    <w:rsid w:val="00105B13"/>
    <w:rsid w:val="0011071F"/>
    <w:rsid w:val="00117758"/>
    <w:rsid w:val="00136F65"/>
    <w:rsid w:val="001416DE"/>
    <w:rsid w:val="0015026F"/>
    <w:rsid w:val="001565E9"/>
    <w:rsid w:val="00164206"/>
    <w:rsid w:val="00174CCE"/>
    <w:rsid w:val="001C514F"/>
    <w:rsid w:val="001D5006"/>
    <w:rsid w:val="001E0A92"/>
    <w:rsid w:val="001E4316"/>
    <w:rsid w:val="001E6369"/>
    <w:rsid w:val="00203A29"/>
    <w:rsid w:val="0021784B"/>
    <w:rsid w:val="002315B3"/>
    <w:rsid w:val="0024038F"/>
    <w:rsid w:val="00240EEC"/>
    <w:rsid w:val="00257DDF"/>
    <w:rsid w:val="002660F2"/>
    <w:rsid w:val="002718BE"/>
    <w:rsid w:val="00273900"/>
    <w:rsid w:val="002839C5"/>
    <w:rsid w:val="00286B4A"/>
    <w:rsid w:val="002A61C7"/>
    <w:rsid w:val="002B283E"/>
    <w:rsid w:val="002C0172"/>
    <w:rsid w:val="002C01A8"/>
    <w:rsid w:val="002D11BF"/>
    <w:rsid w:val="002D307B"/>
    <w:rsid w:val="002E0C10"/>
    <w:rsid w:val="002E0F9C"/>
    <w:rsid w:val="002E4609"/>
    <w:rsid w:val="002F4E8A"/>
    <w:rsid w:val="002F6B6F"/>
    <w:rsid w:val="00301751"/>
    <w:rsid w:val="0030431F"/>
    <w:rsid w:val="00313105"/>
    <w:rsid w:val="0032079B"/>
    <w:rsid w:val="00346AB6"/>
    <w:rsid w:val="00351B27"/>
    <w:rsid w:val="00366392"/>
    <w:rsid w:val="003819F2"/>
    <w:rsid w:val="00393259"/>
    <w:rsid w:val="003A52BB"/>
    <w:rsid w:val="003A618D"/>
    <w:rsid w:val="003B43DC"/>
    <w:rsid w:val="003C7EEF"/>
    <w:rsid w:val="003E383A"/>
    <w:rsid w:val="003E6499"/>
    <w:rsid w:val="00401209"/>
    <w:rsid w:val="00411053"/>
    <w:rsid w:val="004318EA"/>
    <w:rsid w:val="004369C2"/>
    <w:rsid w:val="004429EA"/>
    <w:rsid w:val="00444935"/>
    <w:rsid w:val="00444BCF"/>
    <w:rsid w:val="0044578D"/>
    <w:rsid w:val="00456025"/>
    <w:rsid w:val="0046251D"/>
    <w:rsid w:val="00473CD9"/>
    <w:rsid w:val="00485837"/>
    <w:rsid w:val="00496C50"/>
    <w:rsid w:val="004A36E6"/>
    <w:rsid w:val="004A7A53"/>
    <w:rsid w:val="004C686D"/>
    <w:rsid w:val="004D3F82"/>
    <w:rsid w:val="004D5544"/>
    <w:rsid w:val="004D5937"/>
    <w:rsid w:val="004D73DF"/>
    <w:rsid w:val="0050390B"/>
    <w:rsid w:val="005059FF"/>
    <w:rsid w:val="005064C2"/>
    <w:rsid w:val="00512FF3"/>
    <w:rsid w:val="00522A2F"/>
    <w:rsid w:val="0053516B"/>
    <w:rsid w:val="00541670"/>
    <w:rsid w:val="0054508F"/>
    <w:rsid w:val="00550FAF"/>
    <w:rsid w:val="005626AF"/>
    <w:rsid w:val="005726D9"/>
    <w:rsid w:val="00577A7F"/>
    <w:rsid w:val="00581580"/>
    <w:rsid w:val="00586395"/>
    <w:rsid w:val="00587458"/>
    <w:rsid w:val="005878F3"/>
    <w:rsid w:val="00595026"/>
    <w:rsid w:val="005B24B7"/>
    <w:rsid w:val="005B3FB4"/>
    <w:rsid w:val="005C02AB"/>
    <w:rsid w:val="005C7B1C"/>
    <w:rsid w:val="005F264D"/>
    <w:rsid w:val="005F4263"/>
    <w:rsid w:val="006007E2"/>
    <w:rsid w:val="006071EF"/>
    <w:rsid w:val="006122DE"/>
    <w:rsid w:val="00614B76"/>
    <w:rsid w:val="00632EC9"/>
    <w:rsid w:val="00640A91"/>
    <w:rsid w:val="00641EED"/>
    <w:rsid w:val="00665C42"/>
    <w:rsid w:val="006734AB"/>
    <w:rsid w:val="00674712"/>
    <w:rsid w:val="00677BE2"/>
    <w:rsid w:val="0068097C"/>
    <w:rsid w:val="00683E0C"/>
    <w:rsid w:val="00695570"/>
    <w:rsid w:val="00697101"/>
    <w:rsid w:val="006A21C7"/>
    <w:rsid w:val="006A732F"/>
    <w:rsid w:val="006C1FF9"/>
    <w:rsid w:val="006C3365"/>
    <w:rsid w:val="006E4094"/>
    <w:rsid w:val="006E73F4"/>
    <w:rsid w:val="006F16B3"/>
    <w:rsid w:val="00703602"/>
    <w:rsid w:val="00715C87"/>
    <w:rsid w:val="0071630D"/>
    <w:rsid w:val="00722101"/>
    <w:rsid w:val="00722FBB"/>
    <w:rsid w:val="00727C52"/>
    <w:rsid w:val="00745D85"/>
    <w:rsid w:val="00754505"/>
    <w:rsid w:val="00755C59"/>
    <w:rsid w:val="007612BE"/>
    <w:rsid w:val="00773F6E"/>
    <w:rsid w:val="00781BA8"/>
    <w:rsid w:val="00794070"/>
    <w:rsid w:val="00795C16"/>
    <w:rsid w:val="007A5113"/>
    <w:rsid w:val="007B19C1"/>
    <w:rsid w:val="007B4EB1"/>
    <w:rsid w:val="007C0DA2"/>
    <w:rsid w:val="007F2B10"/>
    <w:rsid w:val="007F7F5F"/>
    <w:rsid w:val="008174B5"/>
    <w:rsid w:val="00831892"/>
    <w:rsid w:val="00833E89"/>
    <w:rsid w:val="00835FC8"/>
    <w:rsid w:val="008666D3"/>
    <w:rsid w:val="00874663"/>
    <w:rsid w:val="008773B2"/>
    <w:rsid w:val="00890FF4"/>
    <w:rsid w:val="00893282"/>
    <w:rsid w:val="008A14EC"/>
    <w:rsid w:val="008B02EB"/>
    <w:rsid w:val="008B464D"/>
    <w:rsid w:val="008B70CE"/>
    <w:rsid w:val="008B7670"/>
    <w:rsid w:val="008C20B5"/>
    <w:rsid w:val="008D6E79"/>
    <w:rsid w:val="008D7BBA"/>
    <w:rsid w:val="008E113D"/>
    <w:rsid w:val="008E1735"/>
    <w:rsid w:val="008E5694"/>
    <w:rsid w:val="008E5CDB"/>
    <w:rsid w:val="008F074E"/>
    <w:rsid w:val="008F2DBB"/>
    <w:rsid w:val="00911897"/>
    <w:rsid w:val="00914CE9"/>
    <w:rsid w:val="00917AF6"/>
    <w:rsid w:val="0092183E"/>
    <w:rsid w:val="00925018"/>
    <w:rsid w:val="00956BAC"/>
    <w:rsid w:val="009576EC"/>
    <w:rsid w:val="00960C4D"/>
    <w:rsid w:val="009879D1"/>
    <w:rsid w:val="009A38A6"/>
    <w:rsid w:val="009A7F06"/>
    <w:rsid w:val="009B3A2F"/>
    <w:rsid w:val="009C307B"/>
    <w:rsid w:val="009C6815"/>
    <w:rsid w:val="009C7DE3"/>
    <w:rsid w:val="009D0332"/>
    <w:rsid w:val="009D64CF"/>
    <w:rsid w:val="009E3FAC"/>
    <w:rsid w:val="009F2D6C"/>
    <w:rsid w:val="00A04E33"/>
    <w:rsid w:val="00A16E89"/>
    <w:rsid w:val="00A20BE8"/>
    <w:rsid w:val="00A249CC"/>
    <w:rsid w:val="00A24BAC"/>
    <w:rsid w:val="00A27EAE"/>
    <w:rsid w:val="00A356E1"/>
    <w:rsid w:val="00A516D8"/>
    <w:rsid w:val="00A565D1"/>
    <w:rsid w:val="00A633F2"/>
    <w:rsid w:val="00A66FCA"/>
    <w:rsid w:val="00A830C1"/>
    <w:rsid w:val="00AA174F"/>
    <w:rsid w:val="00AB106C"/>
    <w:rsid w:val="00AB1118"/>
    <w:rsid w:val="00AC1694"/>
    <w:rsid w:val="00AC2A61"/>
    <w:rsid w:val="00AC4B4D"/>
    <w:rsid w:val="00AD3277"/>
    <w:rsid w:val="00B04756"/>
    <w:rsid w:val="00B06904"/>
    <w:rsid w:val="00B13D4F"/>
    <w:rsid w:val="00B32ACB"/>
    <w:rsid w:val="00B3744D"/>
    <w:rsid w:val="00B4712E"/>
    <w:rsid w:val="00B71232"/>
    <w:rsid w:val="00B814E2"/>
    <w:rsid w:val="00B921C9"/>
    <w:rsid w:val="00B933D0"/>
    <w:rsid w:val="00B93FC9"/>
    <w:rsid w:val="00B97274"/>
    <w:rsid w:val="00BA5548"/>
    <w:rsid w:val="00BA7847"/>
    <w:rsid w:val="00BB7FCC"/>
    <w:rsid w:val="00BD71BB"/>
    <w:rsid w:val="00BE1343"/>
    <w:rsid w:val="00BE14DF"/>
    <w:rsid w:val="00BE3CD0"/>
    <w:rsid w:val="00BE537C"/>
    <w:rsid w:val="00BE5A65"/>
    <w:rsid w:val="00BE74B9"/>
    <w:rsid w:val="00C008B3"/>
    <w:rsid w:val="00C061F7"/>
    <w:rsid w:val="00C0665B"/>
    <w:rsid w:val="00C12400"/>
    <w:rsid w:val="00C32EDE"/>
    <w:rsid w:val="00C3581B"/>
    <w:rsid w:val="00C43E6E"/>
    <w:rsid w:val="00C466BC"/>
    <w:rsid w:val="00C466D1"/>
    <w:rsid w:val="00C5378F"/>
    <w:rsid w:val="00C70E25"/>
    <w:rsid w:val="00C755E3"/>
    <w:rsid w:val="00C7705C"/>
    <w:rsid w:val="00C80A84"/>
    <w:rsid w:val="00C8562F"/>
    <w:rsid w:val="00C93C3E"/>
    <w:rsid w:val="00C962A3"/>
    <w:rsid w:val="00CB152B"/>
    <w:rsid w:val="00CC46D8"/>
    <w:rsid w:val="00CD0BC5"/>
    <w:rsid w:val="00CD18C0"/>
    <w:rsid w:val="00CE5C12"/>
    <w:rsid w:val="00CF34A3"/>
    <w:rsid w:val="00CF3B52"/>
    <w:rsid w:val="00D07F81"/>
    <w:rsid w:val="00D132BA"/>
    <w:rsid w:val="00D21D9C"/>
    <w:rsid w:val="00D22098"/>
    <w:rsid w:val="00D301AA"/>
    <w:rsid w:val="00D30660"/>
    <w:rsid w:val="00D33A51"/>
    <w:rsid w:val="00D6265B"/>
    <w:rsid w:val="00D6735C"/>
    <w:rsid w:val="00D82DDC"/>
    <w:rsid w:val="00D84A1C"/>
    <w:rsid w:val="00D938AA"/>
    <w:rsid w:val="00D93A0C"/>
    <w:rsid w:val="00D95615"/>
    <w:rsid w:val="00DA0BCA"/>
    <w:rsid w:val="00DA386D"/>
    <w:rsid w:val="00DB0189"/>
    <w:rsid w:val="00DB3641"/>
    <w:rsid w:val="00DB665F"/>
    <w:rsid w:val="00DC3ACB"/>
    <w:rsid w:val="00DD2B92"/>
    <w:rsid w:val="00DD68DB"/>
    <w:rsid w:val="00DF59F6"/>
    <w:rsid w:val="00E16A3A"/>
    <w:rsid w:val="00E16FF7"/>
    <w:rsid w:val="00E17B74"/>
    <w:rsid w:val="00E37064"/>
    <w:rsid w:val="00E45076"/>
    <w:rsid w:val="00E50BE2"/>
    <w:rsid w:val="00E53D16"/>
    <w:rsid w:val="00E5541C"/>
    <w:rsid w:val="00E714D3"/>
    <w:rsid w:val="00E74C30"/>
    <w:rsid w:val="00E848CB"/>
    <w:rsid w:val="00E87321"/>
    <w:rsid w:val="00E9447F"/>
    <w:rsid w:val="00E96071"/>
    <w:rsid w:val="00EB03CF"/>
    <w:rsid w:val="00ED4D36"/>
    <w:rsid w:val="00ED6644"/>
    <w:rsid w:val="00ED674C"/>
    <w:rsid w:val="00ED7B94"/>
    <w:rsid w:val="00EE58C5"/>
    <w:rsid w:val="00EE7999"/>
    <w:rsid w:val="00EF5B78"/>
    <w:rsid w:val="00F001B1"/>
    <w:rsid w:val="00F02452"/>
    <w:rsid w:val="00F11EB8"/>
    <w:rsid w:val="00F155A4"/>
    <w:rsid w:val="00F77E1B"/>
    <w:rsid w:val="00F8230C"/>
    <w:rsid w:val="00FA66F1"/>
    <w:rsid w:val="00FB5629"/>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219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paragraph" w:styleId="Heading3">
    <w:name w:val="heading 3"/>
    <w:basedOn w:val="Normal"/>
    <w:next w:val="Normal"/>
    <w:link w:val="Heading3Char"/>
    <w:uiPriority w:val="9"/>
    <w:semiHidden/>
    <w:unhideWhenUsed/>
    <w:qFormat/>
    <w:rsid w:val="000F09C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 w:type="character" w:customStyle="1" w:styleId="Heading3Char">
    <w:name w:val="Heading 3 Char"/>
    <w:basedOn w:val="DefaultParagraphFont"/>
    <w:link w:val="Heading3"/>
    <w:uiPriority w:val="9"/>
    <w:semiHidden/>
    <w:rsid w:val="000F09C9"/>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0F09C9"/>
    <w:pPr>
      <w:spacing w:after="120"/>
      <w:ind w:left="360"/>
    </w:pPr>
  </w:style>
  <w:style w:type="character" w:customStyle="1" w:styleId="BodyTextIndentChar">
    <w:name w:val="Body Text Indent Char"/>
    <w:basedOn w:val="DefaultParagraphFont"/>
    <w:link w:val="BodyTextIndent"/>
    <w:uiPriority w:val="99"/>
    <w:semiHidden/>
    <w:rsid w:val="000F09C9"/>
  </w:style>
  <w:style w:type="character" w:styleId="Hyperlink">
    <w:name w:val="Hyperlink"/>
    <w:basedOn w:val="DefaultParagraphFont"/>
    <w:uiPriority w:val="99"/>
    <w:unhideWhenUsed/>
    <w:rsid w:val="000F0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2015-12-08T18:46:00+00:00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DA2280-1FCE-458D-BFA6-2A6079274FCF}"/>
</file>

<file path=customXml/itemProps2.xml><?xml version="1.0" encoding="utf-8"?>
<ds:datastoreItem xmlns:ds="http://schemas.openxmlformats.org/officeDocument/2006/customXml" ds:itemID="{B05BE26A-17AF-499C-8C01-74F91C995D28}"/>
</file>

<file path=customXml/itemProps3.xml><?xml version="1.0" encoding="utf-8"?>
<ds:datastoreItem xmlns:ds="http://schemas.openxmlformats.org/officeDocument/2006/customXml" ds:itemID="{2950B7D1-7393-4B77-84B1-B41127AAD5CA}"/>
</file>

<file path=customXml/itemProps4.xml><?xml version="1.0" encoding="utf-8"?>
<ds:datastoreItem xmlns:ds="http://schemas.openxmlformats.org/officeDocument/2006/customXml" ds:itemID="{6E77C735-5C97-405A-87F9-3D5592D3C3B4}"/>
</file>

<file path=customXml/itemProps5.xml><?xml version="1.0" encoding="utf-8"?>
<ds:datastoreItem xmlns:ds="http://schemas.openxmlformats.org/officeDocument/2006/customXml" ds:itemID="{C508A3B3-7F14-4EC9-9BED-A4EC2A06C6F1}"/>
</file>

<file path=docProps/app.xml><?xml version="1.0" encoding="utf-8"?>
<Properties xmlns="http://schemas.openxmlformats.org/officeDocument/2006/extended-properties" xmlns:vt="http://schemas.openxmlformats.org/officeDocument/2006/docPropsVTypes">
  <Template>Normal.dotm</Template>
  <TotalTime>0</TotalTime>
  <Pages>10</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2015-11-23T21:28:00Z</dcterms:created>
  <dcterms:modified xsi:type="dcterms:W3CDTF">2015-12-08T18:19:00Z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NewReviewCycle">
    <vt:lpwstr/>
  </property>
  <property fmtid="{D5CDD505-2E9C-101B-9397-08002B2CF9AE}" pid="4" name="_docset_NoMedatataSyncRequired">
    <vt:lpwstr>False</vt:lpwstr>
  </property>
</Properties>
</file>