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9" w:rsidRPr="00E41A83" w:rsidRDefault="005D5099" w:rsidP="005D5099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114300</wp:posOffset>
            </wp:positionV>
            <wp:extent cx="2352675" cy="1042670"/>
            <wp:effectExtent l="19050" t="0" r="9525" b="0"/>
            <wp:wrapNone/>
            <wp:docPr id="2" name="Picture 2" descr="ut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099" w:rsidRPr="00E41A83" w:rsidRDefault="005D5099" w:rsidP="005D5099">
      <w:pPr>
        <w:rPr>
          <w:rFonts w:cs="Arial"/>
        </w:rPr>
      </w:pPr>
    </w:p>
    <w:p w:rsidR="005D5099" w:rsidRPr="00E41A83" w:rsidRDefault="005D5099" w:rsidP="005D5099">
      <w:pPr>
        <w:rPr>
          <w:rFonts w:cs="Arial"/>
        </w:rPr>
      </w:pPr>
    </w:p>
    <w:p w:rsidR="005D5099" w:rsidRPr="00E41A83" w:rsidRDefault="005D5099" w:rsidP="005D5099">
      <w:pPr>
        <w:rPr>
          <w:rFonts w:cs="Arial"/>
        </w:rPr>
      </w:pPr>
    </w:p>
    <w:p w:rsidR="005D5099" w:rsidRPr="00E41A83" w:rsidRDefault="005D5099" w:rsidP="005D5099">
      <w:pPr>
        <w:rPr>
          <w:rFonts w:cs="Arial"/>
        </w:rPr>
      </w:pPr>
    </w:p>
    <w:p w:rsidR="005D5099" w:rsidRPr="00E41A83" w:rsidRDefault="005D5099" w:rsidP="005D5099">
      <w:pPr>
        <w:rPr>
          <w:rFonts w:cs="Arial"/>
        </w:rPr>
      </w:pPr>
    </w:p>
    <w:p w:rsidR="005D5099" w:rsidRPr="00E41A83" w:rsidRDefault="005D5099" w:rsidP="005D5099">
      <w:pPr>
        <w:rPr>
          <w:rFonts w:cs="Arial"/>
        </w:rPr>
      </w:pPr>
    </w:p>
    <w:p w:rsidR="005D5099" w:rsidRPr="00D81020" w:rsidRDefault="005D5099" w:rsidP="005D5099">
      <w:pPr>
        <w:rPr>
          <w:rFonts w:cs="Arial"/>
          <w:sz w:val="24"/>
          <w:szCs w:val="24"/>
        </w:rPr>
      </w:pPr>
    </w:p>
    <w:p w:rsidR="005D5099" w:rsidRPr="00FA6171" w:rsidRDefault="005D5099" w:rsidP="005D5099">
      <w:pPr>
        <w:pStyle w:val="Heading2"/>
        <w:spacing w:line="240" w:lineRule="auto"/>
        <w:rPr>
          <w:rFonts w:ascii="Calibri" w:hAnsi="Calibri" w:cs="Arial"/>
          <w:b w:val="0"/>
          <w:bCs w:val="0"/>
        </w:rPr>
      </w:pPr>
      <w:r w:rsidRPr="00D81020">
        <w:rPr>
          <w:rFonts w:ascii="Calibri" w:hAnsi="Calibri" w:cs="Arial"/>
        </w:rPr>
        <w:t>TO:</w:t>
      </w:r>
      <w:r w:rsidRPr="00D81020">
        <w:rPr>
          <w:rFonts w:ascii="Calibri" w:hAnsi="Calibri" w:cs="Arial"/>
        </w:rPr>
        <w:tab/>
      </w:r>
      <w:r w:rsidRPr="00D81020">
        <w:rPr>
          <w:rFonts w:ascii="Calibri" w:hAnsi="Calibri" w:cs="Arial"/>
        </w:rPr>
        <w:tab/>
      </w:r>
      <w:r w:rsidR="0055192A">
        <w:rPr>
          <w:rFonts w:ascii="Calibri" w:hAnsi="Calibri" w:cs="Arial"/>
          <w:b w:val="0"/>
        </w:rPr>
        <w:t>File – Docket TG-072226</w:t>
      </w:r>
    </w:p>
    <w:p w:rsidR="005D5099" w:rsidRPr="00D81020" w:rsidRDefault="005D5099" w:rsidP="005D5099">
      <w:pPr>
        <w:rPr>
          <w:rFonts w:cs="Arial"/>
          <w:b/>
          <w:bCs/>
          <w:sz w:val="24"/>
          <w:szCs w:val="24"/>
        </w:rPr>
      </w:pPr>
    </w:p>
    <w:p w:rsidR="005D5099" w:rsidRDefault="005D5099" w:rsidP="005D5099">
      <w:pPr>
        <w:pStyle w:val="Title"/>
        <w:jc w:val="left"/>
        <w:rPr>
          <w:rFonts w:ascii="Calibri" w:hAnsi="Calibri" w:cs="Arial"/>
          <w:b w:val="0"/>
          <w:u w:val="none"/>
        </w:rPr>
      </w:pPr>
      <w:r w:rsidRPr="00D81020">
        <w:rPr>
          <w:rFonts w:ascii="Calibri" w:hAnsi="Calibri" w:cs="Arial"/>
          <w:u w:val="none"/>
        </w:rPr>
        <w:t>FROM:</w:t>
      </w:r>
      <w:r w:rsidRPr="00D81020">
        <w:rPr>
          <w:rFonts w:ascii="Calibri" w:hAnsi="Calibri" w:cs="Arial"/>
          <w:u w:val="none"/>
        </w:rPr>
        <w:tab/>
      </w:r>
      <w:r w:rsidRPr="00D81020">
        <w:rPr>
          <w:rFonts w:ascii="Calibri" w:hAnsi="Calibri" w:cs="Arial"/>
          <w:u w:val="none"/>
        </w:rPr>
        <w:tab/>
      </w:r>
      <w:r w:rsidRPr="005D5099">
        <w:rPr>
          <w:rFonts w:ascii="Calibri" w:hAnsi="Calibri" w:cs="Arial"/>
          <w:b w:val="0"/>
          <w:u w:val="none"/>
        </w:rPr>
        <w:t>Vicki Elliott</w:t>
      </w:r>
      <w:r w:rsidR="0055192A">
        <w:rPr>
          <w:rFonts w:ascii="Calibri" w:hAnsi="Calibri" w:cs="Arial"/>
          <w:b w:val="0"/>
          <w:u w:val="none"/>
        </w:rPr>
        <w:t xml:space="preserve"> and </w:t>
      </w:r>
      <w:r>
        <w:rPr>
          <w:rFonts w:ascii="Calibri" w:hAnsi="Calibri" w:cs="Arial"/>
          <w:b w:val="0"/>
          <w:u w:val="none"/>
        </w:rPr>
        <w:t>Betty Young</w:t>
      </w:r>
    </w:p>
    <w:p w:rsidR="0055192A" w:rsidRPr="005D5099" w:rsidRDefault="0055192A" w:rsidP="005D5099">
      <w:pPr>
        <w:pStyle w:val="Title"/>
        <w:jc w:val="left"/>
        <w:rPr>
          <w:rFonts w:ascii="Calibri" w:hAnsi="Calibri" w:cs="Arial"/>
          <w:b w:val="0"/>
          <w:bCs w:val="0"/>
          <w:u w:val="none"/>
        </w:rPr>
      </w:pPr>
      <w:r>
        <w:rPr>
          <w:rFonts w:ascii="Calibri" w:hAnsi="Calibri" w:cs="Arial"/>
          <w:b w:val="0"/>
          <w:u w:val="none"/>
        </w:rPr>
        <w:tab/>
      </w:r>
      <w:r>
        <w:rPr>
          <w:rFonts w:ascii="Calibri" w:hAnsi="Calibri" w:cs="Arial"/>
          <w:b w:val="0"/>
          <w:u w:val="none"/>
        </w:rPr>
        <w:tab/>
        <w:t>Safety and Consumer Protection Division</w:t>
      </w:r>
    </w:p>
    <w:p w:rsidR="005D5099" w:rsidRPr="00D81020" w:rsidRDefault="005D5099" w:rsidP="005D5099">
      <w:pPr>
        <w:rPr>
          <w:rFonts w:cs="Arial"/>
          <w:b/>
          <w:bCs/>
          <w:sz w:val="24"/>
          <w:szCs w:val="24"/>
        </w:rPr>
      </w:pPr>
    </w:p>
    <w:p w:rsidR="005D5099" w:rsidRPr="00D81020" w:rsidRDefault="005D5099" w:rsidP="005D5099">
      <w:pPr>
        <w:rPr>
          <w:rFonts w:cs="Arial"/>
          <w:sz w:val="24"/>
          <w:szCs w:val="24"/>
        </w:rPr>
      </w:pPr>
      <w:r w:rsidRPr="00D81020">
        <w:rPr>
          <w:rFonts w:cs="Arial"/>
          <w:b/>
          <w:bCs/>
          <w:sz w:val="24"/>
          <w:szCs w:val="24"/>
        </w:rPr>
        <w:t>DATE:</w:t>
      </w:r>
      <w:r w:rsidRPr="00D81020">
        <w:rPr>
          <w:rFonts w:cs="Arial"/>
          <w:b/>
          <w:bCs/>
          <w:sz w:val="24"/>
          <w:szCs w:val="24"/>
        </w:rPr>
        <w:tab/>
      </w:r>
      <w:r w:rsidRPr="00D81020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December 1, 2010</w:t>
      </w:r>
    </w:p>
    <w:p w:rsidR="005D5099" w:rsidRPr="00D81020" w:rsidRDefault="005D5099" w:rsidP="005D5099">
      <w:pPr>
        <w:rPr>
          <w:rFonts w:cs="Arial"/>
          <w:b/>
          <w:bCs/>
          <w:sz w:val="24"/>
          <w:szCs w:val="24"/>
        </w:rPr>
      </w:pPr>
    </w:p>
    <w:p w:rsidR="005D5099" w:rsidRPr="00D81020" w:rsidRDefault="005D5099" w:rsidP="005D5099">
      <w:pPr>
        <w:rPr>
          <w:rFonts w:cs="Arial"/>
          <w:sz w:val="24"/>
          <w:szCs w:val="24"/>
        </w:rPr>
      </w:pPr>
      <w:r w:rsidRPr="00D81020">
        <w:rPr>
          <w:rFonts w:cs="Arial"/>
          <w:b/>
          <w:bCs/>
          <w:sz w:val="24"/>
          <w:szCs w:val="24"/>
        </w:rPr>
        <w:t>SUBJECT:</w:t>
      </w:r>
      <w:r w:rsidRPr="00D81020">
        <w:rPr>
          <w:rFonts w:cs="Arial"/>
          <w:b/>
          <w:bCs/>
          <w:sz w:val="24"/>
          <w:szCs w:val="24"/>
        </w:rPr>
        <w:tab/>
      </w:r>
      <w:r w:rsidR="0055192A" w:rsidRPr="0055192A">
        <w:rPr>
          <w:rFonts w:cs="Arial"/>
          <w:bCs/>
          <w:sz w:val="24"/>
          <w:szCs w:val="24"/>
        </w:rPr>
        <w:t>Review of Required</w:t>
      </w:r>
      <w:r w:rsidR="0055192A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Compliance Filings </w:t>
      </w:r>
    </w:p>
    <w:p w:rsidR="002C039A" w:rsidRDefault="002C039A" w:rsidP="00AD3312">
      <w:pPr>
        <w:rPr>
          <w:rFonts w:ascii="Times New Roman" w:hAnsi="Times New Roman"/>
          <w:sz w:val="24"/>
          <w:szCs w:val="24"/>
        </w:rPr>
      </w:pPr>
    </w:p>
    <w:p w:rsidR="005D5099" w:rsidRDefault="005D5099" w:rsidP="00AD3312">
      <w:r w:rsidRPr="005D5099">
        <w:t xml:space="preserve">In its </w:t>
      </w:r>
      <w:r>
        <w:t xml:space="preserve">July 9, 2010 Order, the commission approved and adopted, subject to conditions, a </w:t>
      </w:r>
      <w:r w:rsidR="005C6C05">
        <w:t>s</w:t>
      </w:r>
      <w:r>
        <w:t xml:space="preserve">ettlement </w:t>
      </w:r>
      <w:r w:rsidR="005C6C05">
        <w:t>a</w:t>
      </w:r>
      <w:r>
        <w:t>greement filed by commission staff and the respondent companies, confirming that the transportation of construction and demolition debris for deposit into a landfill constitutes disposal, allowing the respondent companies to temporarily continue limited hauling of residual post-sorted waste loads, and requiring each respondent company to file its annual report summarizing the amounts of materials handled and disposed of each year.</w:t>
      </w:r>
    </w:p>
    <w:p w:rsidR="005D5099" w:rsidRDefault="005D5099" w:rsidP="00AD3312"/>
    <w:p w:rsidR="005D5099" w:rsidRDefault="00C77294" w:rsidP="00AD3312">
      <w:r>
        <w:t>T</w:t>
      </w:r>
      <w:r w:rsidR="001657B2">
        <w:t xml:space="preserve">he settlement agreement </w:t>
      </w:r>
      <w:r>
        <w:t>specifically requires the respondent companies to</w:t>
      </w:r>
      <w:r w:rsidR="005D5099">
        <w:t xml:space="preserve"> file with the commission</w:t>
      </w:r>
      <w:r>
        <w:t xml:space="preserve"> in 2010, 2011, and 2012,</w:t>
      </w:r>
      <w:r w:rsidR="005D5099">
        <w:t xml:space="preserve"> copies of the annual reports they are obligated to file with the Department of Ecology pursuant to WAC 173-350, </w:t>
      </w:r>
      <w:r w:rsidR="00FA4140">
        <w:t>or for the</w:t>
      </w:r>
      <w:r w:rsidR="005D5099">
        <w:t xml:space="preserve"> Washington State Recycling Survey.</w:t>
      </w:r>
    </w:p>
    <w:p w:rsidR="005D5099" w:rsidRDefault="005D5099" w:rsidP="00AD3312"/>
    <w:p w:rsidR="005D5099" w:rsidRPr="001657B2" w:rsidRDefault="001657B2" w:rsidP="00AD3312">
      <w:pPr>
        <w:rPr>
          <w:b/>
        </w:rPr>
      </w:pPr>
      <w:r>
        <w:rPr>
          <w:b/>
        </w:rPr>
        <w:t xml:space="preserve">Staff </w:t>
      </w:r>
      <w:r w:rsidRPr="001657B2">
        <w:rPr>
          <w:b/>
        </w:rPr>
        <w:t>Review of 2010 Compliance Filings</w:t>
      </w:r>
    </w:p>
    <w:p w:rsidR="005C6C05" w:rsidRDefault="001657B2" w:rsidP="005D5099">
      <w:r>
        <w:t xml:space="preserve">Commission staff reviewed the 2010 compliance filings for </w:t>
      </w:r>
      <w:r w:rsidR="00BE55C2">
        <w:t xml:space="preserve">the respondent companies, </w:t>
      </w:r>
      <w:r>
        <w:t>Hungry Buzzard Recovery, LLC (Hungry Buzzard), Glacier Recycle, LLC (Glacier), and T&amp;T Recovery, Inc. (T&amp;T Recovery).</w:t>
      </w:r>
    </w:p>
    <w:p w:rsidR="005C6C05" w:rsidRDefault="005C6C05" w:rsidP="005D5099"/>
    <w:p w:rsidR="005D5099" w:rsidRDefault="001657B2" w:rsidP="005D5099">
      <w:r>
        <w:t xml:space="preserve"> </w:t>
      </w:r>
      <w:r w:rsidR="00BE55C2">
        <w:t>The companies reported the following information:</w:t>
      </w:r>
    </w:p>
    <w:p w:rsidR="001657B2" w:rsidRDefault="001657B2" w:rsidP="005D5099"/>
    <w:tbl>
      <w:tblPr>
        <w:tblStyle w:val="TableGrid"/>
        <w:tblW w:w="0" w:type="auto"/>
        <w:tblInd w:w="108" w:type="dxa"/>
        <w:tblLook w:val="04A0"/>
      </w:tblPr>
      <w:tblGrid>
        <w:gridCol w:w="1666"/>
        <w:gridCol w:w="2042"/>
        <w:gridCol w:w="2038"/>
        <w:gridCol w:w="2041"/>
        <w:gridCol w:w="1483"/>
      </w:tblGrid>
      <w:tr w:rsidR="001657B2" w:rsidRPr="00BE55C2" w:rsidTr="00BE55C2">
        <w:tc>
          <w:tcPr>
            <w:tcW w:w="1666" w:type="dxa"/>
            <w:shd w:val="clear" w:color="auto" w:fill="F2F2F2" w:themeFill="background1" w:themeFillShade="F2"/>
          </w:tcPr>
          <w:p w:rsidR="001657B2" w:rsidRPr="00BE55C2" w:rsidRDefault="001657B2" w:rsidP="001657B2">
            <w:pPr>
              <w:rPr>
                <w:b/>
              </w:rPr>
            </w:pPr>
            <w:r w:rsidRPr="00BE55C2">
              <w:rPr>
                <w:b/>
              </w:rPr>
              <w:t>Company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:rsidR="001657B2" w:rsidRPr="00BE55C2" w:rsidRDefault="00BE55C2" w:rsidP="00BE55C2">
            <w:pPr>
              <w:jc w:val="center"/>
              <w:rPr>
                <w:b/>
              </w:rPr>
            </w:pPr>
            <w:r w:rsidRPr="00BE55C2">
              <w:rPr>
                <w:b/>
              </w:rPr>
              <w:t>Tons Collected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:rsidR="001657B2" w:rsidRPr="00BE55C2" w:rsidRDefault="00BE55C2" w:rsidP="00BE55C2">
            <w:pPr>
              <w:jc w:val="center"/>
              <w:rPr>
                <w:b/>
              </w:rPr>
            </w:pPr>
            <w:r w:rsidRPr="00BE55C2">
              <w:rPr>
                <w:b/>
              </w:rPr>
              <w:t>Tons</w:t>
            </w:r>
            <w:r w:rsidR="001657B2" w:rsidRPr="00BE55C2">
              <w:rPr>
                <w:b/>
              </w:rPr>
              <w:t xml:space="preserve"> Recycled</w:t>
            </w:r>
            <w:r w:rsidRPr="00BE55C2">
              <w:rPr>
                <w:b/>
              </w:rPr>
              <w:t>/Sold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1657B2" w:rsidRPr="00BE55C2" w:rsidRDefault="00BE55C2" w:rsidP="00BE55C2">
            <w:pPr>
              <w:jc w:val="center"/>
              <w:rPr>
                <w:b/>
              </w:rPr>
            </w:pPr>
            <w:r w:rsidRPr="00BE55C2">
              <w:rPr>
                <w:b/>
              </w:rPr>
              <w:t>Tons Disposed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1657B2" w:rsidRPr="00BE55C2" w:rsidRDefault="001657B2" w:rsidP="00BE55C2">
            <w:pPr>
              <w:jc w:val="center"/>
              <w:rPr>
                <w:b/>
              </w:rPr>
            </w:pPr>
            <w:r w:rsidRPr="00BE55C2">
              <w:rPr>
                <w:b/>
              </w:rPr>
              <w:t>% Disposed</w:t>
            </w:r>
          </w:p>
        </w:tc>
      </w:tr>
      <w:tr w:rsidR="001657B2" w:rsidTr="00BE55C2">
        <w:tc>
          <w:tcPr>
            <w:tcW w:w="1666" w:type="dxa"/>
          </w:tcPr>
          <w:p w:rsidR="001657B2" w:rsidRDefault="001657B2" w:rsidP="005D5099">
            <w:r>
              <w:t>Hungry Buzzard</w:t>
            </w:r>
          </w:p>
        </w:tc>
        <w:tc>
          <w:tcPr>
            <w:tcW w:w="2042" w:type="dxa"/>
          </w:tcPr>
          <w:p w:rsidR="001657B2" w:rsidRDefault="001657B2" w:rsidP="00BE55C2">
            <w:pPr>
              <w:jc w:val="center"/>
            </w:pPr>
            <w:r>
              <w:t>20,433</w:t>
            </w:r>
          </w:p>
        </w:tc>
        <w:tc>
          <w:tcPr>
            <w:tcW w:w="2038" w:type="dxa"/>
          </w:tcPr>
          <w:p w:rsidR="001657B2" w:rsidRDefault="00BE55C2" w:rsidP="00BE55C2">
            <w:pPr>
              <w:jc w:val="center"/>
            </w:pPr>
            <w:r>
              <w:t>20,294</w:t>
            </w:r>
          </w:p>
        </w:tc>
        <w:tc>
          <w:tcPr>
            <w:tcW w:w="2041" w:type="dxa"/>
          </w:tcPr>
          <w:p w:rsidR="001657B2" w:rsidRDefault="001657B2" w:rsidP="00BE55C2">
            <w:pPr>
              <w:jc w:val="center"/>
            </w:pPr>
            <w:r>
              <w:t>139</w:t>
            </w:r>
          </w:p>
        </w:tc>
        <w:tc>
          <w:tcPr>
            <w:tcW w:w="1483" w:type="dxa"/>
          </w:tcPr>
          <w:p w:rsidR="001657B2" w:rsidRDefault="001657B2" w:rsidP="00BE55C2">
            <w:pPr>
              <w:jc w:val="center"/>
            </w:pPr>
            <w:r>
              <w:t>1%</w:t>
            </w:r>
          </w:p>
        </w:tc>
      </w:tr>
      <w:tr w:rsidR="001657B2" w:rsidTr="00BE55C2">
        <w:tc>
          <w:tcPr>
            <w:tcW w:w="1666" w:type="dxa"/>
          </w:tcPr>
          <w:p w:rsidR="001657B2" w:rsidRDefault="001657B2" w:rsidP="005D5099">
            <w:r>
              <w:t>Glacier</w:t>
            </w:r>
          </w:p>
        </w:tc>
        <w:tc>
          <w:tcPr>
            <w:tcW w:w="2042" w:type="dxa"/>
          </w:tcPr>
          <w:p w:rsidR="001657B2" w:rsidRDefault="001657B2" w:rsidP="00BE55C2">
            <w:pPr>
              <w:jc w:val="center"/>
            </w:pPr>
            <w:r>
              <w:t>82,676</w:t>
            </w:r>
          </w:p>
        </w:tc>
        <w:tc>
          <w:tcPr>
            <w:tcW w:w="2038" w:type="dxa"/>
          </w:tcPr>
          <w:p w:rsidR="001657B2" w:rsidRDefault="00BE55C2" w:rsidP="00BE55C2">
            <w:pPr>
              <w:jc w:val="center"/>
            </w:pPr>
            <w:r>
              <w:t>63,580</w:t>
            </w:r>
          </w:p>
        </w:tc>
        <w:tc>
          <w:tcPr>
            <w:tcW w:w="2041" w:type="dxa"/>
          </w:tcPr>
          <w:p w:rsidR="001657B2" w:rsidRDefault="00BE55C2" w:rsidP="00BE55C2">
            <w:pPr>
              <w:jc w:val="center"/>
            </w:pPr>
            <w:r>
              <w:t>19,096</w:t>
            </w:r>
          </w:p>
        </w:tc>
        <w:tc>
          <w:tcPr>
            <w:tcW w:w="1483" w:type="dxa"/>
          </w:tcPr>
          <w:p w:rsidR="001657B2" w:rsidRDefault="00BE55C2" w:rsidP="00BE55C2">
            <w:pPr>
              <w:jc w:val="center"/>
            </w:pPr>
            <w:r>
              <w:t>23%</w:t>
            </w:r>
          </w:p>
        </w:tc>
      </w:tr>
      <w:tr w:rsidR="00BE55C2" w:rsidTr="00BE55C2">
        <w:trPr>
          <w:trHeight w:val="305"/>
        </w:trPr>
        <w:tc>
          <w:tcPr>
            <w:tcW w:w="1666" w:type="dxa"/>
          </w:tcPr>
          <w:p w:rsidR="00BE55C2" w:rsidRDefault="00BE55C2" w:rsidP="005D5099">
            <w:r>
              <w:t>T&amp;T Recovery</w:t>
            </w:r>
          </w:p>
        </w:tc>
        <w:tc>
          <w:tcPr>
            <w:tcW w:w="2042" w:type="dxa"/>
          </w:tcPr>
          <w:p w:rsidR="00BE55C2" w:rsidRDefault="00BE55C2" w:rsidP="00BE55C2">
            <w:pPr>
              <w:jc w:val="center"/>
            </w:pPr>
            <w:r>
              <w:t>16,733</w:t>
            </w:r>
          </w:p>
        </w:tc>
        <w:tc>
          <w:tcPr>
            <w:tcW w:w="2038" w:type="dxa"/>
          </w:tcPr>
          <w:p w:rsidR="00BE55C2" w:rsidRDefault="00BE55C2" w:rsidP="00BE55C2">
            <w:pPr>
              <w:jc w:val="center"/>
            </w:pPr>
            <w:r>
              <w:t>16,364</w:t>
            </w:r>
          </w:p>
        </w:tc>
        <w:tc>
          <w:tcPr>
            <w:tcW w:w="2041" w:type="dxa"/>
          </w:tcPr>
          <w:p w:rsidR="00BE55C2" w:rsidRDefault="00BE55C2" w:rsidP="00BE55C2">
            <w:pPr>
              <w:jc w:val="center"/>
            </w:pPr>
            <w:r>
              <w:t>1,907</w:t>
            </w:r>
          </w:p>
        </w:tc>
        <w:tc>
          <w:tcPr>
            <w:tcW w:w="1483" w:type="dxa"/>
          </w:tcPr>
          <w:p w:rsidR="00BE55C2" w:rsidRDefault="00BE55C2" w:rsidP="00BE55C2">
            <w:pPr>
              <w:jc w:val="center"/>
            </w:pPr>
            <w:r>
              <w:t>11%</w:t>
            </w:r>
          </w:p>
        </w:tc>
      </w:tr>
    </w:tbl>
    <w:p w:rsidR="001657B2" w:rsidRDefault="001657B2" w:rsidP="005D5099"/>
    <w:p w:rsidR="005D5099" w:rsidRPr="00BE55C2" w:rsidRDefault="00BE55C2" w:rsidP="00AD3312">
      <w:pPr>
        <w:rPr>
          <w:b/>
        </w:rPr>
      </w:pPr>
      <w:r w:rsidRPr="00BE55C2">
        <w:rPr>
          <w:b/>
        </w:rPr>
        <w:t>Analysis</w:t>
      </w:r>
    </w:p>
    <w:p w:rsidR="00C77294" w:rsidRDefault="00BE55C2" w:rsidP="00AD3312">
      <w:r>
        <w:t>The commission grant</w:t>
      </w:r>
      <w:r w:rsidR="005C6C05">
        <w:t>ed</w:t>
      </w:r>
      <w:r>
        <w:t xml:space="preserve"> the respondent companies a temporary exemption from the “occasional basis” limitation in WAC 480-</w:t>
      </w:r>
      <w:r w:rsidR="00C77294">
        <w:t>70</w:t>
      </w:r>
      <w:r>
        <w:t>-016(1), allow</w:t>
      </w:r>
      <w:r w:rsidR="005C6C05">
        <w:t>ing</w:t>
      </w:r>
      <w:r>
        <w:t xml:space="preserve"> the respondent companies to continue to dispose of construction and demolition debris generated from demolition activities and residual debris sorted out from their own material recovery facilities, </w:t>
      </w:r>
      <w:r w:rsidR="005C6C05">
        <w:t xml:space="preserve">conditioned </w:t>
      </w:r>
      <w:r w:rsidR="00C77294">
        <w:t>upon</w:t>
      </w:r>
      <w:r w:rsidR="005C6C05">
        <w:t xml:space="preserve"> </w:t>
      </w:r>
      <w:r w:rsidR="00C77294">
        <w:t>the</w:t>
      </w:r>
      <w:r w:rsidR="005C6C05">
        <w:t xml:space="preserve"> residual debris remaining</w:t>
      </w:r>
      <w:r>
        <w:t xml:space="preserve"> small in relation to the overall amount collected.</w:t>
      </w:r>
      <w:r>
        <w:rPr>
          <w:rStyle w:val="FootnoteReference"/>
        </w:rPr>
        <w:footnoteReference w:id="1"/>
      </w:r>
      <w:r>
        <w:t xml:space="preserve"> </w:t>
      </w:r>
    </w:p>
    <w:p w:rsidR="005C6C05" w:rsidRDefault="0055192A" w:rsidP="00AD3312">
      <w:r>
        <w:lastRenderedPageBreak/>
        <w:t>We q</w:t>
      </w:r>
      <w:r w:rsidR="00BE55C2">
        <w:t>uestion</w:t>
      </w:r>
      <w:r w:rsidR="005C6C05">
        <w:t xml:space="preserve"> whether the 23 percent</w:t>
      </w:r>
      <w:r w:rsidR="00BE55C2">
        <w:t xml:space="preserve"> disposal reported by Glacier is small in relation to the overall amoun</w:t>
      </w:r>
      <w:r w:rsidR="00C77294">
        <w:t>t collected. However, in the la</w:t>
      </w:r>
      <w:r w:rsidR="00BE55C2">
        <w:t>t</w:t>
      </w:r>
      <w:r w:rsidR="00C77294">
        <w:t>est</w:t>
      </w:r>
      <w:r w:rsidR="00BE55C2">
        <w:t xml:space="preserve"> version of the draft rule in the solid waste rulemaking (TG-080591)</w:t>
      </w:r>
      <w:r w:rsidR="009C4041">
        <w:rPr>
          <w:rStyle w:val="FootnoteReference"/>
        </w:rPr>
        <w:footnoteReference w:id="2"/>
      </w:r>
      <w:r w:rsidR="00BE55C2">
        <w:t>, staff contemplated that</w:t>
      </w:r>
      <w:r w:rsidR="005C6C05">
        <w:t xml:space="preserve"> material recovery facilities or</w:t>
      </w:r>
      <w:r w:rsidR="00BE55C2">
        <w:t xml:space="preserve"> </w:t>
      </w:r>
      <w:r w:rsidR="005C6C05">
        <w:t xml:space="preserve">recycling facilities should be able to demonstrate that at least 75 percent of the materials received are ultimately either delivered to recycling facilities or used as industrial boiler fuel. </w:t>
      </w:r>
      <w:r w:rsidR="00B5486F">
        <w:t xml:space="preserve"> If </w:t>
      </w:r>
      <w:r>
        <w:t>we</w:t>
      </w:r>
      <w:r w:rsidR="00B5486F">
        <w:t xml:space="preserve"> use this</w:t>
      </w:r>
      <w:r w:rsidR="005C6C05">
        <w:t xml:space="preserve"> standard o</w:t>
      </w:r>
      <w:r w:rsidR="000A072B">
        <w:t>f</w:t>
      </w:r>
      <w:r w:rsidR="005C6C05">
        <w:t xml:space="preserve"> no more than 25 percent disposal, then Glacier appears to be in compliance.</w:t>
      </w:r>
    </w:p>
    <w:p w:rsidR="005C6C05" w:rsidRDefault="005C6C05" w:rsidP="00AD3312"/>
    <w:p w:rsidR="005C6C05" w:rsidRDefault="005C6C05" w:rsidP="00AD3312"/>
    <w:p w:rsidR="005C6C05" w:rsidRDefault="005C6C05" w:rsidP="00AD3312"/>
    <w:p w:rsidR="005C6C05" w:rsidRDefault="005C6C05" w:rsidP="00AD3312"/>
    <w:p w:rsidR="005C6C05" w:rsidRDefault="005C6C05" w:rsidP="00AD3312"/>
    <w:p w:rsidR="005C6C05" w:rsidRPr="00BE55C2" w:rsidRDefault="005C6C05" w:rsidP="00AD3312"/>
    <w:sectPr w:rsidR="005C6C05" w:rsidRPr="00BE55C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05" w:rsidRDefault="005C6C05" w:rsidP="00BE55C2">
      <w:r>
        <w:separator/>
      </w:r>
    </w:p>
  </w:endnote>
  <w:endnote w:type="continuationSeparator" w:id="0">
    <w:p w:rsidR="005C6C05" w:rsidRDefault="005C6C05" w:rsidP="00BE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05" w:rsidRDefault="005C6C05" w:rsidP="00BE55C2">
      <w:r>
        <w:separator/>
      </w:r>
    </w:p>
  </w:footnote>
  <w:footnote w:type="continuationSeparator" w:id="0">
    <w:p w:rsidR="005C6C05" w:rsidRDefault="005C6C05" w:rsidP="00BE55C2">
      <w:r>
        <w:continuationSeparator/>
      </w:r>
    </w:p>
  </w:footnote>
  <w:footnote w:id="1">
    <w:p w:rsidR="005C6C05" w:rsidRDefault="005C6C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Commission Order 08 in TG-072226 at paragraph 4</w:t>
      </w:r>
      <w:r w:rsidR="00931DB5">
        <w:t>9</w:t>
      </w:r>
      <w:r>
        <w:t>.</w:t>
      </w:r>
      <w:proofErr w:type="gramEnd"/>
    </w:p>
  </w:footnote>
  <w:footnote w:id="2">
    <w:p w:rsidR="009C4041" w:rsidRDefault="009C40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Sent out for public comment on November 16, 2009.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099"/>
    <w:rsid w:val="00023DF8"/>
    <w:rsid w:val="000A072B"/>
    <w:rsid w:val="000E640C"/>
    <w:rsid w:val="001309E7"/>
    <w:rsid w:val="001657B2"/>
    <w:rsid w:val="001C5AB1"/>
    <w:rsid w:val="00201698"/>
    <w:rsid w:val="00283CF7"/>
    <w:rsid w:val="002C039A"/>
    <w:rsid w:val="00365AB1"/>
    <w:rsid w:val="003C2688"/>
    <w:rsid w:val="0055192A"/>
    <w:rsid w:val="00552600"/>
    <w:rsid w:val="00586657"/>
    <w:rsid w:val="005A6C74"/>
    <w:rsid w:val="005A7052"/>
    <w:rsid w:val="005C6C05"/>
    <w:rsid w:val="005D5099"/>
    <w:rsid w:val="006318DF"/>
    <w:rsid w:val="006403DD"/>
    <w:rsid w:val="00664709"/>
    <w:rsid w:val="00672F7B"/>
    <w:rsid w:val="006A41EE"/>
    <w:rsid w:val="006B1103"/>
    <w:rsid w:val="006D650C"/>
    <w:rsid w:val="00703593"/>
    <w:rsid w:val="0070721D"/>
    <w:rsid w:val="007B5684"/>
    <w:rsid w:val="00895DC4"/>
    <w:rsid w:val="00931DB5"/>
    <w:rsid w:val="0097222E"/>
    <w:rsid w:val="009C4041"/>
    <w:rsid w:val="00A84C2A"/>
    <w:rsid w:val="00AD3312"/>
    <w:rsid w:val="00B13041"/>
    <w:rsid w:val="00B5486F"/>
    <w:rsid w:val="00BE29F4"/>
    <w:rsid w:val="00BE55C2"/>
    <w:rsid w:val="00C77294"/>
    <w:rsid w:val="00D22EE1"/>
    <w:rsid w:val="00D24178"/>
    <w:rsid w:val="00D27903"/>
    <w:rsid w:val="00D30FA0"/>
    <w:rsid w:val="00D32F0E"/>
    <w:rsid w:val="00DA1A84"/>
    <w:rsid w:val="00DA1B86"/>
    <w:rsid w:val="00DD2A47"/>
    <w:rsid w:val="00E15413"/>
    <w:rsid w:val="00EB2B5A"/>
    <w:rsid w:val="00F21B68"/>
    <w:rsid w:val="00F758A1"/>
    <w:rsid w:val="00FA4140"/>
    <w:rsid w:val="00FA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99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5099"/>
    <w:pPr>
      <w:keepNext/>
      <w:spacing w:line="288" w:lineRule="auto"/>
      <w:outlineLvl w:val="1"/>
    </w:pPr>
    <w:rPr>
      <w:rFonts w:ascii="Palatino Linotype" w:eastAsia="Times New Roman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D50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D5099"/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509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D509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6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55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5C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5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20A7457D1438419E997D8B879508F8" ma:contentTypeVersion="124" ma:contentTypeDescription="" ma:contentTypeScope="" ma:versionID="fcc52f2c4244f0a5d083d3c7197370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2007-11-19T08:00:00+00:00</OpenedDate>
    <Date1 xmlns="dc463f71-b30c-4ab2-9473-d307f9d35888">2010-12-09T08:00:00+00:00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HUNGRY BUZZARD RECOVERY LLC</CaseCompanyNames>
    <DocketNumber xmlns="dc463f71-b30c-4ab2-9473-d307f9d35888">072226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8E8D7E-3570-47C5-AD1A-9B78CABEF18B}"/>
</file>

<file path=customXml/itemProps2.xml><?xml version="1.0" encoding="utf-8"?>
<ds:datastoreItem xmlns:ds="http://schemas.openxmlformats.org/officeDocument/2006/customXml" ds:itemID="{258F6E76-2692-4C65-8162-2FAA73ECD77A}"/>
</file>

<file path=customXml/itemProps3.xml><?xml version="1.0" encoding="utf-8"?>
<ds:datastoreItem xmlns:ds="http://schemas.openxmlformats.org/officeDocument/2006/customXml" ds:itemID="{0BF14A35-2F33-43EE-B945-B458EE897640}"/>
</file>

<file path=customXml/itemProps4.xml><?xml version="1.0" encoding="utf-8"?>
<ds:datastoreItem xmlns:ds="http://schemas.openxmlformats.org/officeDocument/2006/customXml" ds:itemID="{400C061F-8493-4EB6-BCAD-7A5EA8E4D87E}"/>
</file>

<file path=customXml/itemProps5.xml><?xml version="1.0" encoding="utf-8"?>
<ds:datastoreItem xmlns:ds="http://schemas.openxmlformats.org/officeDocument/2006/customXml" ds:itemID="{A0FAF5DC-6A7F-4408-B239-F5E63EA9A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BYoung</dc:creator>
  <cp:keywords/>
  <dc:description/>
  <cp:lastModifiedBy>BYoung</cp:lastModifiedBy>
  <cp:revision>3</cp:revision>
  <dcterms:created xsi:type="dcterms:W3CDTF">2010-12-08T19:11:00Z</dcterms:created>
  <dcterms:modified xsi:type="dcterms:W3CDTF">2010-12-08T19:11:00Z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0x0101006E56B4D1795A2E4DB2F0B01679ED314A00B820A7457D1438419E997D8B879508F8</vt:lpwstr>
  </property>
  <property fmtid="{D5CDD505-2E9C-101B-9397-08002B2CF9AE}" pid="3" name="_docset_NoMedatataSyncRequired">
    <vt:lpwstr>False</vt:lpwstr>
  </property>
</Properties>
</file>