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A7" w:rsidRPr="007853A7" w:rsidRDefault="007853A7" w:rsidP="007853A7">
      <w:pPr>
        <w:spacing w:before="200" w:after="0" w:line="240" w:lineRule="atLeast"/>
        <w:rPr>
          <w:rFonts w:ascii="UBSHeadline" w:eastAsia="Times New Roman" w:hAnsi="UBSHeadline" w:cs="Times New Roman"/>
          <w:spacing w:val="5"/>
          <w:sz w:val="20"/>
          <w:szCs w:val="20"/>
        </w:rPr>
      </w:pPr>
      <w:r w:rsidRPr="007853A7">
        <w:rPr>
          <w:rFonts w:ascii="UBSHeadline" w:eastAsia="Times New Roman" w:hAnsi="UBSHeadline" w:cs="Times New Roman"/>
          <w:spacing w:val="5"/>
          <w:sz w:val="20"/>
          <w:szCs w:val="20"/>
        </w:rPr>
        <w:t>US Electric Utilities &amp; IPPs</w:t>
      </w:r>
    </w:p>
    <w:p w:rsidR="007853A7" w:rsidRPr="007853A7" w:rsidRDefault="007853A7" w:rsidP="007853A7">
      <w:pPr>
        <w:spacing w:after="0" w:line="240" w:lineRule="auto"/>
        <w:rPr>
          <w:rFonts w:ascii="Calibri" w:eastAsia="Times New Roman" w:hAnsi="Calibri" w:cs="Calibri"/>
        </w:rPr>
      </w:pPr>
      <w:r w:rsidRPr="007853A7">
        <w:rPr>
          <w:rFonts w:ascii="UBSHeadline" w:eastAsia="Times New Roman" w:hAnsi="UBSHeadline" w:cs="Calibri"/>
          <w:color w:val="E60000"/>
          <w:sz w:val="32"/>
          <w:szCs w:val="32"/>
        </w:rPr>
        <w:t>Authorized ROEs: Don't Expect an Inflection Yet</w:t>
      </w:r>
    </w:p>
    <w:p w:rsidR="007853A7" w:rsidRPr="007853A7" w:rsidRDefault="007853A7" w:rsidP="007853A7">
      <w:pPr>
        <w:spacing w:after="0" w:line="240" w:lineRule="auto"/>
        <w:rPr>
          <w:rFonts w:ascii="Calibri" w:eastAsia="Times New Roman" w:hAnsi="Calibri" w:cs="Calibri"/>
          <w:b/>
          <w:bCs/>
        </w:rPr>
      </w:pPr>
      <w:hyperlink r:id="rId4" w:history="1">
        <w:r w:rsidRPr="007853A7">
          <w:rPr>
            <w:rFonts w:ascii="Calibri" w:eastAsia="Times New Roman" w:hAnsi="Calibri" w:cs="Calibri"/>
            <w:b/>
            <w:bCs/>
            <w:color w:val="0000FF"/>
            <w:u w:val="single"/>
          </w:rPr>
          <w:t>Please Click Here for the Full Note</w:t>
        </w:r>
      </w:hyperlink>
    </w:p>
    <w:p w:rsidR="007853A7" w:rsidRPr="007853A7" w:rsidRDefault="007853A7" w:rsidP="007853A7">
      <w:pPr>
        <w:spacing w:before="120" w:after="20" w:line="240" w:lineRule="atLeast"/>
        <w:rPr>
          <w:rFonts w:ascii="Times New Roman" w:eastAsia="Times New Roman" w:hAnsi="Times New Roman" w:cs="Times New Roman"/>
          <w:b/>
          <w:bCs/>
          <w:sz w:val="20"/>
          <w:szCs w:val="20"/>
        </w:rPr>
      </w:pPr>
      <w:r w:rsidRPr="007853A7">
        <w:rPr>
          <w:rFonts w:ascii="Times New Roman" w:eastAsia="Times New Roman" w:hAnsi="Times New Roman" w:cs="Times New Roman"/>
          <w:b/>
          <w:bCs/>
          <w:sz w:val="20"/>
          <w:szCs w:val="20"/>
        </w:rPr>
        <w:t>Where are ROEs heading? Likely still heading lower</w:t>
      </w:r>
    </w:p>
    <w:p w:rsidR="007853A7" w:rsidRPr="007853A7" w:rsidRDefault="007853A7" w:rsidP="007853A7">
      <w:pPr>
        <w:spacing w:after="120" w:line="220" w:lineRule="atLeast"/>
        <w:jc w:val="both"/>
        <w:rPr>
          <w:rFonts w:ascii="Frutiger 45 Light" w:eastAsia="Times New Roman" w:hAnsi="Frutiger 45 Light" w:cs="Times New Roman"/>
          <w:sz w:val="18"/>
          <w:szCs w:val="18"/>
          <w:lang w:val="en-GB"/>
        </w:rPr>
      </w:pPr>
      <w:r w:rsidRPr="007853A7">
        <w:rPr>
          <w:rFonts w:ascii="Frutiger 45 Light" w:eastAsia="Times New Roman" w:hAnsi="Frutiger 45 Light" w:cs="Times New Roman"/>
          <w:sz w:val="18"/>
          <w:szCs w:val="18"/>
          <w:lang w:val="en-GB"/>
        </w:rPr>
        <w:t xml:space="preserve">With growing expectations for an uptick in rising treasuries to drive higher authorized ROEs in pending rate cases, we emphasize the historic spread between ROEs and treasuries remains notably elevated, which could well suggest a lag before authorized ROEs bottom. As such, we emphasize that pending rate cases are not immune from continued compression in ROEs and could well continue to see this trend into 2017 in many key pending cases.  We emphasize the below charts as well as our additional </w:t>
      </w:r>
      <w:proofErr w:type="spellStart"/>
      <w:r w:rsidRPr="007853A7">
        <w:rPr>
          <w:rFonts w:ascii="Frutiger 45 Light" w:eastAsia="Times New Roman" w:hAnsi="Frutiger 45 Light" w:cs="Times New Roman"/>
          <w:sz w:val="18"/>
          <w:szCs w:val="18"/>
          <w:lang w:val="en-GB"/>
        </w:rPr>
        <w:t>datapoints</w:t>
      </w:r>
      <w:proofErr w:type="spellEnd"/>
      <w:r w:rsidRPr="007853A7">
        <w:rPr>
          <w:rFonts w:ascii="Frutiger 45 Light" w:eastAsia="Times New Roman" w:hAnsi="Frutiger 45 Light" w:cs="Times New Roman"/>
          <w:sz w:val="18"/>
          <w:szCs w:val="18"/>
          <w:lang w:val="en-GB"/>
        </w:rPr>
        <w:t xml:space="preserve"> from Commission surveys, our FERC transmission ROE analysis and recent rate cases all confirm this risk in our view, with current spreads still 70-90bps above that of the 15 year average, suggesting ROEs could well head to the low-to-mid 9% range still off the trailing average in 2016 of 9.77% authorized for electric utilities per SNL. See the tables below.</w:t>
      </w:r>
    </w:p>
    <w:p w:rsidR="007853A7" w:rsidRPr="007853A7" w:rsidRDefault="007853A7" w:rsidP="007853A7">
      <w:pPr>
        <w:spacing w:before="120" w:after="20" w:line="240" w:lineRule="atLeast"/>
        <w:rPr>
          <w:rFonts w:ascii="Times New Roman" w:eastAsia="Times New Roman" w:hAnsi="Times New Roman" w:cs="Times New Roman"/>
          <w:b/>
          <w:bCs/>
          <w:sz w:val="20"/>
          <w:szCs w:val="20"/>
        </w:rPr>
      </w:pPr>
      <w:r w:rsidRPr="007853A7">
        <w:rPr>
          <w:rFonts w:ascii="Times New Roman" w:eastAsia="Times New Roman" w:hAnsi="Times New Roman" w:cs="Times New Roman"/>
          <w:b/>
          <w:bCs/>
          <w:sz w:val="20"/>
          <w:szCs w:val="20"/>
        </w:rPr>
        <w:t>US-treasury spreads vs ROEs still historically high but trending lower</w:t>
      </w:r>
    </w:p>
    <w:p w:rsidR="007853A7" w:rsidRPr="007853A7" w:rsidRDefault="007853A7" w:rsidP="007853A7">
      <w:pPr>
        <w:spacing w:after="120" w:line="220" w:lineRule="atLeast"/>
        <w:jc w:val="both"/>
        <w:rPr>
          <w:rFonts w:ascii="Frutiger 45 Light" w:eastAsia="Times New Roman" w:hAnsi="Frutiger 45 Light" w:cs="Times New Roman"/>
          <w:sz w:val="18"/>
          <w:szCs w:val="18"/>
          <w:lang w:val="en-GB"/>
        </w:rPr>
      </w:pPr>
      <w:r w:rsidRPr="007853A7">
        <w:rPr>
          <w:rFonts w:ascii="Frutiger 45 Light" w:eastAsia="Times New Roman" w:hAnsi="Frutiger 45 Light" w:cs="Times New Roman"/>
          <w:sz w:val="18"/>
          <w:szCs w:val="18"/>
          <w:lang w:val="en-GB"/>
        </w:rPr>
        <w:t>The spread between US electric/gas ROEs relative to treasuries is beginning to regress from recent highs as treasuries continue their climb post the election. However, the question now is to what extent the spread will continue to tighten - from either the authorized ROE side or from US treasuries.</w:t>
      </w:r>
    </w:p>
    <w:p w:rsidR="007853A7" w:rsidRPr="007853A7" w:rsidRDefault="007853A7" w:rsidP="007853A7">
      <w:pPr>
        <w:spacing w:before="120" w:after="20" w:line="240" w:lineRule="atLeast"/>
        <w:rPr>
          <w:rFonts w:ascii="Times New Roman" w:eastAsia="Times New Roman" w:hAnsi="Times New Roman" w:cs="Times New Roman"/>
          <w:b/>
          <w:bCs/>
          <w:sz w:val="20"/>
          <w:szCs w:val="20"/>
        </w:rPr>
      </w:pPr>
      <w:r w:rsidRPr="007853A7">
        <w:rPr>
          <w:rFonts w:ascii="Times New Roman" w:eastAsia="Times New Roman" w:hAnsi="Times New Roman" w:cs="Times New Roman"/>
          <w:b/>
          <w:bCs/>
          <w:sz w:val="20"/>
          <w:szCs w:val="20"/>
        </w:rPr>
        <w:t>FERC ROEs could see some pressure as well given peer group methodology</w:t>
      </w:r>
    </w:p>
    <w:p w:rsidR="007853A7" w:rsidRPr="007853A7" w:rsidRDefault="007853A7" w:rsidP="007853A7">
      <w:pPr>
        <w:spacing w:after="120" w:line="220" w:lineRule="atLeast"/>
        <w:jc w:val="both"/>
        <w:rPr>
          <w:rFonts w:ascii="Frutiger 45 Light" w:eastAsia="Times New Roman" w:hAnsi="Frutiger 45 Light" w:cs="Times New Roman"/>
          <w:sz w:val="18"/>
          <w:szCs w:val="18"/>
          <w:lang w:val="en-GB"/>
        </w:rPr>
      </w:pPr>
      <w:r w:rsidRPr="007853A7">
        <w:rPr>
          <w:rFonts w:ascii="Frutiger 45 Light" w:eastAsia="Times New Roman" w:hAnsi="Frutiger 45 Light" w:cs="Times New Roman"/>
          <w:sz w:val="18"/>
          <w:szCs w:val="18"/>
          <w:lang w:val="en-GB"/>
        </w:rPr>
        <w:t xml:space="preserve">We highlight that our latest </w:t>
      </w:r>
      <w:proofErr w:type="spellStart"/>
      <w:r w:rsidRPr="007853A7">
        <w:rPr>
          <w:rFonts w:ascii="Frutiger 45 Light" w:eastAsia="Times New Roman" w:hAnsi="Frutiger 45 Light" w:cs="Times New Roman"/>
          <w:sz w:val="18"/>
          <w:szCs w:val="18"/>
          <w:lang w:val="en-GB"/>
        </w:rPr>
        <w:t>MtM</w:t>
      </w:r>
      <w:proofErr w:type="spellEnd"/>
      <w:r w:rsidRPr="007853A7">
        <w:rPr>
          <w:rFonts w:ascii="Frutiger 45 Light" w:eastAsia="Times New Roman" w:hAnsi="Frutiger 45 Light" w:cs="Times New Roman"/>
          <w:sz w:val="18"/>
          <w:szCs w:val="18"/>
          <w:lang w:val="en-GB"/>
        </w:rPr>
        <w:t xml:space="preserve"> </w:t>
      </w:r>
      <w:hyperlink r:id="rId5" w:history="1">
        <w:r w:rsidRPr="007853A7">
          <w:rPr>
            <w:rFonts w:ascii="Frutiger 45 Light" w:eastAsia="Times New Roman" w:hAnsi="Frutiger 45 Light" w:cs="Times New Roman"/>
            <w:color w:val="0000FF"/>
            <w:sz w:val="18"/>
            <w:szCs w:val="18"/>
            <w:u w:val="single"/>
            <w:lang w:val="en-GB"/>
          </w:rPr>
          <w:t>analysis</w:t>
        </w:r>
      </w:hyperlink>
      <w:r w:rsidRPr="007853A7">
        <w:rPr>
          <w:rFonts w:ascii="Frutiger 45 Light" w:eastAsia="Times New Roman" w:hAnsi="Frutiger 45 Light" w:cs="Times New Roman"/>
          <w:sz w:val="18"/>
          <w:szCs w:val="18"/>
          <w:lang w:val="en-GB"/>
        </w:rPr>
        <w:t xml:space="preserve"> of authorized FERC transmission ROEs shows an inflection off the lows, but we note risk for a return to previous lows without the inclusion of AGR, which includes a higher growth rate in the ROE calculation.  We see a base ROE outcome of 9.8% w/AGR and 8.9% without. Inclusive of a 50bp adder for RTO participant this would appear to result in an outcome largely similar with the average 9.77% authorized ROE in 2016 for Electric Utilities</w:t>
      </w:r>
    </w:p>
    <w:p w:rsidR="007853A7" w:rsidRPr="007853A7" w:rsidRDefault="007853A7" w:rsidP="007853A7">
      <w:pPr>
        <w:spacing w:before="120" w:after="20" w:line="240" w:lineRule="atLeast"/>
        <w:rPr>
          <w:rFonts w:ascii="Times New Roman" w:eastAsia="Times New Roman" w:hAnsi="Times New Roman" w:cs="Times New Roman"/>
          <w:b/>
          <w:bCs/>
          <w:sz w:val="20"/>
          <w:szCs w:val="20"/>
        </w:rPr>
      </w:pPr>
      <w:r w:rsidRPr="007853A7">
        <w:rPr>
          <w:rFonts w:ascii="Times New Roman" w:eastAsia="Times New Roman" w:hAnsi="Times New Roman" w:cs="Times New Roman"/>
          <w:b/>
          <w:bCs/>
          <w:sz w:val="20"/>
          <w:szCs w:val="20"/>
        </w:rPr>
        <w:t>Utility Commissioners affirm sentiments in latest survey too</w:t>
      </w:r>
    </w:p>
    <w:p w:rsidR="007853A7" w:rsidRPr="007853A7" w:rsidRDefault="007853A7" w:rsidP="007853A7">
      <w:pPr>
        <w:spacing w:after="120" w:line="220" w:lineRule="atLeast"/>
        <w:jc w:val="both"/>
        <w:rPr>
          <w:rFonts w:ascii="Frutiger 45 Light" w:eastAsia="Times New Roman" w:hAnsi="Frutiger 45 Light" w:cs="Times New Roman"/>
          <w:sz w:val="18"/>
          <w:szCs w:val="18"/>
          <w:lang w:val="en-GB"/>
        </w:rPr>
      </w:pPr>
      <w:r w:rsidRPr="007853A7">
        <w:rPr>
          <w:rFonts w:ascii="Frutiger 45 Light" w:eastAsia="Times New Roman" w:hAnsi="Frutiger 45 Light" w:cs="Times New Roman"/>
          <w:sz w:val="18"/>
          <w:szCs w:val="18"/>
          <w:lang w:val="en-GB"/>
        </w:rPr>
        <w:t>Previously, in our 5</w:t>
      </w:r>
      <w:r w:rsidRPr="007853A7">
        <w:rPr>
          <w:rFonts w:ascii="Frutiger 45 Light" w:eastAsia="Times New Roman" w:hAnsi="Frutiger 45 Light" w:cs="Times New Roman"/>
          <w:sz w:val="18"/>
          <w:szCs w:val="18"/>
          <w:vertAlign w:val="superscript"/>
          <w:lang w:val="en-GB"/>
        </w:rPr>
        <w:t>th</w:t>
      </w:r>
      <w:r w:rsidRPr="007853A7">
        <w:rPr>
          <w:rFonts w:ascii="Frutiger 45 Light" w:eastAsia="Times New Roman" w:hAnsi="Frutiger 45 Light" w:cs="Times New Roman"/>
          <w:sz w:val="18"/>
          <w:szCs w:val="18"/>
          <w:lang w:val="en-GB"/>
        </w:rPr>
        <w:t xml:space="preserve"> "</w:t>
      </w:r>
      <w:hyperlink r:id="rId6" w:history="1">
        <w:r w:rsidRPr="007853A7">
          <w:rPr>
            <w:rFonts w:ascii="Frutiger 45 Light" w:eastAsia="Times New Roman" w:hAnsi="Frutiger 45 Light" w:cs="Times New Roman"/>
            <w:color w:val="0000FF"/>
            <w:sz w:val="18"/>
            <w:szCs w:val="18"/>
            <w:u w:val="single"/>
            <w:lang w:val="en-GB"/>
          </w:rPr>
          <w:t>What Do Regulators Really Think</w:t>
        </w:r>
      </w:hyperlink>
      <w:r w:rsidRPr="007853A7">
        <w:rPr>
          <w:rFonts w:ascii="Frutiger 45 Light" w:eastAsia="Times New Roman" w:hAnsi="Frutiger 45 Light" w:cs="Times New Roman"/>
          <w:sz w:val="18"/>
          <w:szCs w:val="18"/>
          <w:lang w:val="en-GB"/>
        </w:rPr>
        <w:t>" survey from September (pre-election) 32 respondents from Commissioners and Commission staff responded once again that ROEs are more likely to decline than not, though we note there was no strong analysis among tying returns to treasuries directly, we see a modest inclination towards the belief that some existing approaches to capital spending are too formulaic.</w:t>
      </w:r>
    </w:p>
    <w:p w:rsidR="007853A7" w:rsidRPr="007853A7" w:rsidRDefault="007853A7" w:rsidP="007853A7">
      <w:pPr>
        <w:spacing w:before="120" w:after="20" w:line="240" w:lineRule="atLeast"/>
        <w:rPr>
          <w:rFonts w:ascii="Times New Roman" w:eastAsia="Times New Roman" w:hAnsi="Times New Roman" w:cs="Times New Roman"/>
          <w:b/>
          <w:bCs/>
          <w:sz w:val="20"/>
          <w:szCs w:val="20"/>
        </w:rPr>
      </w:pPr>
      <w:r w:rsidRPr="007853A7">
        <w:rPr>
          <w:rFonts w:ascii="Times New Roman" w:eastAsia="Times New Roman" w:hAnsi="Times New Roman" w:cs="Times New Roman"/>
          <w:b/>
          <w:bCs/>
          <w:sz w:val="20"/>
          <w:szCs w:val="20"/>
        </w:rPr>
        <w:t xml:space="preserve">Next </w:t>
      </w:r>
      <w:proofErr w:type="spellStart"/>
      <w:r w:rsidRPr="007853A7">
        <w:rPr>
          <w:rFonts w:ascii="Times New Roman" w:eastAsia="Times New Roman" w:hAnsi="Times New Roman" w:cs="Times New Roman"/>
          <w:b/>
          <w:bCs/>
          <w:sz w:val="20"/>
          <w:szCs w:val="20"/>
        </w:rPr>
        <w:t>datapoints</w:t>
      </w:r>
      <w:proofErr w:type="spellEnd"/>
      <w:r w:rsidRPr="007853A7">
        <w:rPr>
          <w:rFonts w:ascii="Times New Roman" w:eastAsia="Times New Roman" w:hAnsi="Times New Roman" w:cs="Times New Roman"/>
          <w:b/>
          <w:bCs/>
          <w:sz w:val="20"/>
          <w:szCs w:val="20"/>
        </w:rPr>
        <w:t xml:space="preserve"> to watch – rate case outcomes for AEE, GXP, EXC, PNW &amp; CA</w:t>
      </w:r>
    </w:p>
    <w:p w:rsidR="007853A7" w:rsidRPr="007853A7" w:rsidRDefault="007853A7" w:rsidP="007853A7">
      <w:pPr>
        <w:spacing w:after="0" w:line="240" w:lineRule="auto"/>
        <w:rPr>
          <w:rFonts w:ascii="Frutiger 45 Light" w:eastAsia="Times New Roman" w:hAnsi="Frutiger 45 Light" w:cs="Calibri"/>
          <w:sz w:val="18"/>
          <w:szCs w:val="18"/>
          <w:lang w:val="en-GB"/>
        </w:rPr>
      </w:pPr>
      <w:r w:rsidRPr="007853A7">
        <w:rPr>
          <w:rFonts w:ascii="Frutiger 45 Light" w:eastAsia="Times New Roman" w:hAnsi="Frutiger 45 Light" w:cs="Calibri"/>
          <w:sz w:val="18"/>
          <w:szCs w:val="18"/>
          <w:lang w:val="en-GB"/>
        </w:rPr>
        <w:t xml:space="preserve">We highlight the above names under our coverage where ongoing rate cases should provide further </w:t>
      </w:r>
      <w:proofErr w:type="spellStart"/>
      <w:r w:rsidRPr="007853A7">
        <w:rPr>
          <w:rFonts w:ascii="Frutiger 45 Light" w:eastAsia="Times New Roman" w:hAnsi="Frutiger 45 Light" w:cs="Calibri"/>
          <w:sz w:val="18"/>
          <w:szCs w:val="18"/>
          <w:lang w:val="en-GB"/>
        </w:rPr>
        <w:t>datapoints</w:t>
      </w:r>
      <w:proofErr w:type="spellEnd"/>
      <w:r w:rsidRPr="007853A7">
        <w:rPr>
          <w:rFonts w:ascii="Frutiger 45 Light" w:eastAsia="Times New Roman" w:hAnsi="Frutiger 45 Light" w:cs="Calibri"/>
          <w:sz w:val="18"/>
          <w:szCs w:val="18"/>
          <w:lang w:val="en-GB"/>
        </w:rPr>
        <w:t xml:space="preserve"> of affirmation.  Principally in Missouri, we see further risk of ROE degradation should legislative prospects not prove fruitful, noting negative Staff recommendations for both AEE Missouri and KCPL.  At KCPL MO, Staff recommended no rate increase, with a lower authorized ROE (8.65% vs 9.90% ask). We believe developments in other states could be more constructive specifically at PNW among others. We continue to expect a modest reduction in the ROE in pending cost of capital settlements and/or litigation in California as well (will the CPUC and/or parties continue to acquiesce to the argument that California warrants a premium for its higher-risk operational environment—or to what extent?).  Other cases to watch include EXC's recent PEPCO case where interveners recommended an 8.6% (vs 10.6% ask), albeit a settlement at the midpoint would be near PEPCOs current authorized return. While the ability to earn ROEs has seemingly improved in recent years across much of our coverage universe, we continue to assume a compressing authorized ROE trend in many of our projections.</w:t>
      </w:r>
    </w:p>
    <w:p w:rsidR="007853A7" w:rsidRPr="007853A7" w:rsidRDefault="007853A7" w:rsidP="007853A7">
      <w:pPr>
        <w:spacing w:after="0" w:line="240" w:lineRule="auto"/>
        <w:rPr>
          <w:rFonts w:ascii="Calibri" w:eastAsia="Times New Roman" w:hAnsi="Calibri" w:cs="Calibri"/>
        </w:rPr>
      </w:pPr>
    </w:p>
    <w:tbl>
      <w:tblPr>
        <w:tblW w:w="7900" w:type="pct"/>
        <w:tblCellMar>
          <w:left w:w="0" w:type="dxa"/>
          <w:right w:w="0" w:type="dxa"/>
        </w:tblCellMar>
        <w:tblLook w:val="04A0" w:firstRow="1" w:lastRow="0" w:firstColumn="1" w:lastColumn="0" w:noHBand="0" w:noVBand="1"/>
      </w:tblPr>
      <w:tblGrid>
        <w:gridCol w:w="14789"/>
      </w:tblGrid>
      <w:tr w:rsidR="007853A7" w:rsidRPr="007853A7" w:rsidTr="005D0002">
        <w:trPr>
          <w:cantSplit/>
          <w:trHeight w:val="367"/>
        </w:trPr>
        <w:tc>
          <w:tcPr>
            <w:tcW w:w="5000" w:type="pct"/>
            <w:tcBorders>
              <w:top w:val="nil"/>
              <w:left w:val="nil"/>
              <w:bottom w:val="single" w:sz="8" w:space="0" w:color="D3D3D3"/>
              <w:right w:val="nil"/>
            </w:tcBorders>
            <w:hideMark/>
          </w:tcPr>
          <w:p w:rsidR="007853A7" w:rsidRPr="007853A7" w:rsidRDefault="007853A7" w:rsidP="007853A7">
            <w:pPr>
              <w:keepNext/>
              <w:spacing w:after="120" w:line="240" w:lineRule="atLeast"/>
              <w:rPr>
                <w:rFonts w:ascii="Frutiger 45 Light" w:eastAsia="Times New Roman" w:hAnsi="Frutiger 45 Light" w:cs="Times New Roman"/>
                <w:b/>
                <w:bCs/>
                <w:sz w:val="18"/>
                <w:szCs w:val="18"/>
                <w:lang w:val="en-GB"/>
              </w:rPr>
            </w:pPr>
            <w:r w:rsidRPr="007853A7">
              <w:rPr>
                <w:rFonts w:ascii="Frutiger 45 Light" w:eastAsia="Times New Roman" w:hAnsi="Frutiger 45 Light" w:cs="Times New Roman"/>
                <w:b/>
                <w:bCs/>
                <w:sz w:val="18"/>
                <w:szCs w:val="18"/>
                <w:lang w:val="en-GB"/>
              </w:rPr>
              <w:lastRenderedPageBreak/>
              <w:t>Figure 1: Historical Gas/Electric ROEs &amp; Treasury Spreads : Spread Remains High for both Gas &amp; Electric</w:t>
            </w:r>
          </w:p>
        </w:tc>
      </w:tr>
      <w:tr w:rsidR="007853A7" w:rsidRPr="007853A7" w:rsidTr="005D0002">
        <w:trPr>
          <w:cantSplit/>
          <w:trHeight w:val="3178"/>
        </w:trPr>
        <w:tc>
          <w:tcPr>
            <w:tcW w:w="5000" w:type="pct"/>
            <w:tcBorders>
              <w:top w:val="nil"/>
              <w:left w:val="nil"/>
              <w:bottom w:val="single" w:sz="8" w:space="0" w:color="D3D3D3"/>
              <w:right w:val="nil"/>
            </w:tcBorders>
            <w:hideMark/>
          </w:tcPr>
          <w:p w:rsidR="007853A7" w:rsidRPr="007853A7" w:rsidRDefault="007853A7" w:rsidP="007853A7">
            <w:pPr>
              <w:keepNext/>
              <w:spacing w:after="10" w:line="240" w:lineRule="auto"/>
              <w:rPr>
                <w:rFonts w:ascii="Frutiger 45 Light" w:eastAsia="Times New Roman" w:hAnsi="Frutiger 45 Light" w:cs="Times New Roman"/>
                <w:lang w:val="en-GB"/>
              </w:rPr>
            </w:pPr>
            <w:r w:rsidRPr="007853A7">
              <w:rPr>
                <w:rFonts w:ascii="Frutiger 45 Light" w:eastAsia="Times New Roman" w:hAnsi="Frutiger 45 Light" w:cs="Times New Roman"/>
                <w:noProof/>
              </w:rPr>
              <w:drawing>
                <wp:inline distT="0" distB="0" distL="0" distR="0">
                  <wp:extent cx="6781800" cy="4819650"/>
                  <wp:effectExtent l="0" t="0" r="0" b="0"/>
                  <wp:docPr id="5" name="Picture 5" descr="cid:image001.png@01D26BEC.581E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26BEC.581EC0B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4819650"/>
                          </a:xfrm>
                          <a:prstGeom prst="rect">
                            <a:avLst/>
                          </a:prstGeom>
                          <a:noFill/>
                          <a:ln>
                            <a:noFill/>
                          </a:ln>
                        </pic:spPr>
                      </pic:pic>
                    </a:graphicData>
                  </a:graphic>
                </wp:inline>
              </w:drawing>
            </w:r>
          </w:p>
        </w:tc>
      </w:tr>
      <w:tr w:rsidR="007853A7" w:rsidRPr="007853A7" w:rsidTr="005D0002">
        <w:trPr>
          <w:cantSplit/>
          <w:trHeight w:val="336"/>
        </w:trPr>
        <w:tc>
          <w:tcPr>
            <w:tcW w:w="5000" w:type="pct"/>
            <w:hideMark/>
          </w:tcPr>
          <w:p w:rsidR="007853A7" w:rsidRPr="007853A7" w:rsidRDefault="007853A7" w:rsidP="007853A7">
            <w:pPr>
              <w:spacing w:before="40" w:after="120" w:line="160" w:lineRule="atLeast"/>
              <w:rPr>
                <w:rFonts w:ascii="Times New Roman" w:eastAsia="Times New Roman" w:hAnsi="Times New Roman" w:cs="Times New Roman"/>
                <w:sz w:val="20"/>
                <w:szCs w:val="20"/>
                <w:lang w:val="en-GB"/>
              </w:rPr>
            </w:pPr>
            <w:r w:rsidRPr="007853A7">
              <w:rPr>
                <w:rFonts w:ascii="Times New Roman" w:eastAsia="Times New Roman" w:hAnsi="Times New Roman" w:cs="Times New Roman"/>
                <w:sz w:val="20"/>
                <w:szCs w:val="20"/>
              </w:rPr>
              <w:t>Source:  SNL and FactSet</w:t>
            </w:r>
          </w:p>
        </w:tc>
      </w:tr>
    </w:tbl>
    <w:p w:rsidR="007853A7" w:rsidRPr="007853A7" w:rsidRDefault="007853A7" w:rsidP="007853A7">
      <w:pPr>
        <w:spacing w:after="0" w:line="240" w:lineRule="auto"/>
        <w:rPr>
          <w:rFonts w:ascii="Frutiger 45 Light" w:eastAsia="Times New Roman" w:hAnsi="Frutiger 45 Light" w:cs="Calibri"/>
          <w:sz w:val="19"/>
          <w:szCs w:val="19"/>
          <w:lang w:val="en-GB"/>
        </w:rPr>
      </w:pPr>
    </w:p>
    <w:tbl>
      <w:tblPr>
        <w:tblW w:w="10095" w:type="dxa"/>
        <w:tblCellMar>
          <w:left w:w="0" w:type="dxa"/>
          <w:right w:w="0" w:type="dxa"/>
        </w:tblCellMar>
        <w:tblLook w:val="04A0" w:firstRow="1" w:lastRow="0" w:firstColumn="1" w:lastColumn="0" w:noHBand="0" w:noVBand="1"/>
      </w:tblPr>
      <w:tblGrid>
        <w:gridCol w:w="4949"/>
        <w:gridCol w:w="181"/>
        <w:gridCol w:w="4965"/>
      </w:tblGrid>
      <w:tr w:rsidR="007853A7" w:rsidRPr="007853A7" w:rsidTr="005D0002">
        <w:trPr>
          <w:cantSplit/>
        </w:trPr>
        <w:tc>
          <w:tcPr>
            <w:tcW w:w="4980" w:type="dxa"/>
            <w:tcBorders>
              <w:top w:val="nil"/>
              <w:left w:val="nil"/>
              <w:bottom w:val="single" w:sz="8" w:space="0" w:color="D3D3D3"/>
              <w:right w:val="nil"/>
            </w:tcBorders>
            <w:hideMark/>
          </w:tcPr>
          <w:p w:rsidR="007853A7" w:rsidRPr="007853A7" w:rsidRDefault="007853A7" w:rsidP="007853A7">
            <w:pPr>
              <w:keepNext/>
              <w:spacing w:after="120" w:line="240" w:lineRule="atLeast"/>
              <w:rPr>
                <w:rFonts w:ascii="Frutiger 45 Light" w:eastAsia="Times New Roman" w:hAnsi="Frutiger 45 Light" w:cs="Times New Roman"/>
                <w:b/>
                <w:bCs/>
                <w:sz w:val="18"/>
                <w:szCs w:val="18"/>
                <w:lang w:val="en-GB"/>
              </w:rPr>
            </w:pPr>
            <w:r w:rsidRPr="007853A7">
              <w:rPr>
                <w:rFonts w:ascii="Frutiger 45 Light" w:eastAsia="Times New Roman" w:hAnsi="Frutiger 45 Light" w:cs="Times New Roman"/>
                <w:b/>
                <w:bCs/>
                <w:sz w:val="18"/>
                <w:szCs w:val="18"/>
                <w:lang w:val="en-GB"/>
              </w:rPr>
              <w:lastRenderedPageBreak/>
              <w:t>Figure 2:US Electric ROEs vs Average</w:t>
            </w:r>
          </w:p>
        </w:tc>
        <w:tc>
          <w:tcPr>
            <w:tcW w:w="240" w:type="dxa"/>
          </w:tcPr>
          <w:p w:rsidR="007853A7" w:rsidRPr="007853A7" w:rsidRDefault="007853A7" w:rsidP="007853A7">
            <w:pPr>
              <w:keepNext/>
              <w:spacing w:after="120" w:line="240" w:lineRule="atLeast"/>
              <w:rPr>
                <w:rFonts w:ascii="Frutiger 45 Light" w:eastAsia="Times New Roman" w:hAnsi="Frutiger 45 Light" w:cs="Times New Roman"/>
                <w:b/>
                <w:bCs/>
                <w:sz w:val="18"/>
                <w:szCs w:val="18"/>
                <w:lang w:val="en-GB"/>
              </w:rPr>
            </w:pPr>
          </w:p>
        </w:tc>
        <w:tc>
          <w:tcPr>
            <w:tcW w:w="4980" w:type="dxa"/>
            <w:tcBorders>
              <w:top w:val="nil"/>
              <w:left w:val="nil"/>
              <w:bottom w:val="single" w:sz="8" w:space="0" w:color="D3D3D3"/>
              <w:right w:val="nil"/>
            </w:tcBorders>
            <w:hideMark/>
          </w:tcPr>
          <w:p w:rsidR="007853A7" w:rsidRPr="007853A7" w:rsidRDefault="007853A7" w:rsidP="007853A7">
            <w:pPr>
              <w:keepNext/>
              <w:spacing w:after="120" w:line="240" w:lineRule="atLeast"/>
              <w:rPr>
                <w:rFonts w:ascii="Frutiger 45 Light" w:eastAsia="Times New Roman" w:hAnsi="Frutiger 45 Light" w:cs="Times New Roman"/>
                <w:b/>
                <w:bCs/>
                <w:sz w:val="18"/>
                <w:szCs w:val="18"/>
                <w:lang w:val="en-GB"/>
              </w:rPr>
            </w:pPr>
            <w:r w:rsidRPr="007853A7">
              <w:rPr>
                <w:rFonts w:ascii="Frutiger 45 Light" w:eastAsia="Times New Roman" w:hAnsi="Frutiger 45 Light" w:cs="Times New Roman"/>
                <w:b/>
                <w:bCs/>
                <w:sz w:val="18"/>
                <w:szCs w:val="18"/>
                <w:lang w:val="en-GB"/>
              </w:rPr>
              <w:t>Figure 3: US Gas ROEs vs Average</w:t>
            </w:r>
          </w:p>
        </w:tc>
      </w:tr>
      <w:tr w:rsidR="007853A7" w:rsidRPr="007853A7" w:rsidTr="005D0002">
        <w:trPr>
          <w:cantSplit/>
          <w:trHeight w:val="3328"/>
        </w:trPr>
        <w:tc>
          <w:tcPr>
            <w:tcW w:w="4980" w:type="dxa"/>
            <w:tcBorders>
              <w:top w:val="nil"/>
              <w:left w:val="nil"/>
              <w:bottom w:val="single" w:sz="8" w:space="0" w:color="D3D3D3"/>
              <w:right w:val="nil"/>
            </w:tcBorders>
            <w:hideMark/>
          </w:tcPr>
          <w:p w:rsidR="007853A7" w:rsidRPr="007853A7" w:rsidRDefault="007853A7" w:rsidP="007853A7">
            <w:pPr>
              <w:keepNext/>
              <w:spacing w:after="10" w:line="240" w:lineRule="auto"/>
              <w:rPr>
                <w:rFonts w:ascii="Frutiger 45 Light" w:eastAsia="Times New Roman" w:hAnsi="Frutiger 45 Light" w:cs="Times New Roman"/>
                <w:lang w:val="en-GB"/>
              </w:rPr>
            </w:pPr>
            <w:r w:rsidRPr="007853A7">
              <w:rPr>
                <w:rFonts w:ascii="Frutiger 45 Light" w:eastAsia="Times New Roman" w:hAnsi="Frutiger 45 Light" w:cs="Times New Roman"/>
                <w:noProof/>
              </w:rPr>
              <w:drawing>
                <wp:inline distT="0" distB="0" distL="0" distR="0">
                  <wp:extent cx="3076575" cy="2266950"/>
                  <wp:effectExtent l="0" t="0" r="9525" b="0"/>
                  <wp:docPr id="4" name="Picture 4" descr="cid:image002.png@01D26BEC.581E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26BEC.581EC0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266950"/>
                          </a:xfrm>
                          <a:prstGeom prst="rect">
                            <a:avLst/>
                          </a:prstGeom>
                          <a:noFill/>
                          <a:ln>
                            <a:noFill/>
                          </a:ln>
                        </pic:spPr>
                      </pic:pic>
                    </a:graphicData>
                  </a:graphic>
                </wp:inline>
              </w:drawing>
            </w:r>
          </w:p>
        </w:tc>
        <w:tc>
          <w:tcPr>
            <w:tcW w:w="240" w:type="dxa"/>
          </w:tcPr>
          <w:p w:rsidR="007853A7" w:rsidRPr="007853A7" w:rsidRDefault="007853A7" w:rsidP="007853A7">
            <w:pPr>
              <w:spacing w:before="100" w:after="180" w:line="260" w:lineRule="atLeast"/>
              <w:jc w:val="both"/>
              <w:rPr>
                <w:rFonts w:ascii="Calibri" w:eastAsia="Times New Roman" w:hAnsi="Calibri" w:cs="Calibri"/>
                <w:sz w:val="19"/>
                <w:szCs w:val="19"/>
                <w:lang w:val="en-GB"/>
              </w:rPr>
            </w:pPr>
          </w:p>
        </w:tc>
        <w:tc>
          <w:tcPr>
            <w:tcW w:w="4980" w:type="dxa"/>
            <w:tcBorders>
              <w:top w:val="nil"/>
              <w:left w:val="nil"/>
              <w:bottom w:val="single" w:sz="8" w:space="0" w:color="D3D3D3"/>
              <w:right w:val="nil"/>
            </w:tcBorders>
            <w:hideMark/>
          </w:tcPr>
          <w:p w:rsidR="007853A7" w:rsidRPr="007853A7" w:rsidRDefault="007853A7" w:rsidP="007853A7">
            <w:pPr>
              <w:keepNext/>
              <w:spacing w:after="10" w:line="240" w:lineRule="auto"/>
              <w:rPr>
                <w:rFonts w:ascii="Frutiger 45 Light" w:eastAsia="Times New Roman" w:hAnsi="Frutiger 45 Light" w:cs="Times New Roman"/>
                <w:lang w:val="en-GB"/>
              </w:rPr>
            </w:pPr>
            <w:r w:rsidRPr="007853A7">
              <w:rPr>
                <w:rFonts w:ascii="Frutiger 45 Light" w:eastAsia="Times New Roman" w:hAnsi="Frutiger 45 Light" w:cs="Times New Roman"/>
                <w:noProof/>
              </w:rPr>
              <w:drawing>
                <wp:inline distT="0" distB="0" distL="0" distR="0">
                  <wp:extent cx="3124200" cy="2228850"/>
                  <wp:effectExtent l="0" t="0" r="0" b="0"/>
                  <wp:docPr id="3" name="Picture 3" descr="cid:image003.png@01D26BEC.581E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6BEC.581EC0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228850"/>
                          </a:xfrm>
                          <a:prstGeom prst="rect">
                            <a:avLst/>
                          </a:prstGeom>
                          <a:noFill/>
                          <a:ln>
                            <a:noFill/>
                          </a:ln>
                        </pic:spPr>
                      </pic:pic>
                    </a:graphicData>
                  </a:graphic>
                </wp:inline>
              </w:drawing>
            </w:r>
          </w:p>
        </w:tc>
      </w:tr>
      <w:tr w:rsidR="007853A7" w:rsidRPr="007853A7" w:rsidTr="005D0002">
        <w:trPr>
          <w:cantSplit/>
        </w:trPr>
        <w:tc>
          <w:tcPr>
            <w:tcW w:w="4980" w:type="dxa"/>
            <w:hideMark/>
          </w:tcPr>
          <w:p w:rsidR="007853A7" w:rsidRPr="007853A7" w:rsidRDefault="007853A7" w:rsidP="007853A7">
            <w:pPr>
              <w:spacing w:before="40" w:after="120" w:line="160" w:lineRule="atLeast"/>
              <w:rPr>
                <w:rFonts w:ascii="Times New Roman" w:eastAsia="Times New Roman" w:hAnsi="Times New Roman" w:cs="Times New Roman"/>
                <w:sz w:val="20"/>
                <w:szCs w:val="20"/>
                <w:lang w:val="en-GB"/>
              </w:rPr>
            </w:pPr>
            <w:r w:rsidRPr="007853A7">
              <w:rPr>
                <w:rFonts w:ascii="Times New Roman" w:eastAsia="Times New Roman" w:hAnsi="Times New Roman" w:cs="Times New Roman"/>
                <w:sz w:val="20"/>
                <w:szCs w:val="20"/>
              </w:rPr>
              <w:t>Source:  SNL</w:t>
            </w:r>
          </w:p>
        </w:tc>
        <w:tc>
          <w:tcPr>
            <w:tcW w:w="240" w:type="dxa"/>
          </w:tcPr>
          <w:p w:rsidR="007853A7" w:rsidRPr="007853A7" w:rsidRDefault="007853A7" w:rsidP="007853A7">
            <w:pPr>
              <w:spacing w:before="40" w:after="120" w:line="160" w:lineRule="atLeast"/>
              <w:rPr>
                <w:rFonts w:ascii="Times New Roman" w:eastAsia="Times New Roman" w:hAnsi="Times New Roman" w:cs="Times New Roman"/>
                <w:sz w:val="20"/>
                <w:szCs w:val="20"/>
                <w:lang w:val="en-GB"/>
              </w:rPr>
            </w:pPr>
          </w:p>
        </w:tc>
        <w:tc>
          <w:tcPr>
            <w:tcW w:w="4980" w:type="dxa"/>
            <w:hideMark/>
          </w:tcPr>
          <w:p w:rsidR="007853A7" w:rsidRPr="007853A7" w:rsidRDefault="007853A7" w:rsidP="007853A7">
            <w:pPr>
              <w:spacing w:before="40" w:after="120" w:line="160" w:lineRule="atLeast"/>
              <w:rPr>
                <w:rFonts w:ascii="Times New Roman" w:eastAsia="Times New Roman" w:hAnsi="Times New Roman" w:cs="Times New Roman"/>
                <w:sz w:val="20"/>
                <w:szCs w:val="20"/>
                <w:lang w:val="en-GB"/>
              </w:rPr>
            </w:pPr>
            <w:r w:rsidRPr="007853A7">
              <w:rPr>
                <w:rFonts w:ascii="Times New Roman" w:eastAsia="Times New Roman" w:hAnsi="Times New Roman" w:cs="Times New Roman"/>
                <w:sz w:val="20"/>
                <w:szCs w:val="20"/>
              </w:rPr>
              <w:t>Source:  SNL</w:t>
            </w:r>
          </w:p>
        </w:tc>
      </w:tr>
    </w:tbl>
    <w:p w:rsidR="007853A7" w:rsidRPr="007853A7" w:rsidRDefault="007853A7" w:rsidP="007853A7">
      <w:pPr>
        <w:spacing w:after="0" w:line="240" w:lineRule="auto"/>
        <w:rPr>
          <w:rFonts w:ascii="Frutiger 45 Light" w:eastAsia="Times New Roman" w:hAnsi="Frutiger 45 Light" w:cs="Calibri"/>
          <w:sz w:val="19"/>
          <w:szCs w:val="19"/>
          <w:lang w:val="en-GB"/>
        </w:rPr>
      </w:pPr>
    </w:p>
    <w:p w:rsidR="007853A7" w:rsidRPr="007853A7" w:rsidRDefault="007853A7" w:rsidP="007853A7">
      <w:pPr>
        <w:spacing w:after="0" w:line="240" w:lineRule="auto"/>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9360"/>
      </w:tblGrid>
      <w:tr w:rsidR="007853A7" w:rsidRPr="007853A7" w:rsidTr="005D0002">
        <w:trPr>
          <w:cantSplit/>
        </w:trPr>
        <w:tc>
          <w:tcPr>
            <w:tcW w:w="5000" w:type="pct"/>
            <w:tcBorders>
              <w:top w:val="nil"/>
              <w:left w:val="nil"/>
              <w:bottom w:val="single" w:sz="8" w:space="0" w:color="D3D3D3"/>
              <w:right w:val="nil"/>
            </w:tcBorders>
            <w:hideMark/>
          </w:tcPr>
          <w:p w:rsidR="007853A7" w:rsidRPr="007853A7" w:rsidRDefault="007853A7" w:rsidP="007853A7">
            <w:pPr>
              <w:keepNext/>
              <w:spacing w:after="120" w:line="240" w:lineRule="atLeast"/>
              <w:rPr>
                <w:rFonts w:ascii="Frutiger 45 Light" w:eastAsia="Times New Roman" w:hAnsi="Frutiger 45 Light" w:cs="Times New Roman"/>
                <w:b/>
                <w:bCs/>
                <w:sz w:val="18"/>
                <w:szCs w:val="18"/>
                <w:lang w:val="en-GB"/>
              </w:rPr>
            </w:pPr>
            <w:r w:rsidRPr="007853A7">
              <w:rPr>
                <w:rFonts w:ascii="Frutiger 45 Light" w:eastAsia="Times New Roman" w:hAnsi="Frutiger 45 Light" w:cs="Times New Roman"/>
                <w:b/>
                <w:bCs/>
                <w:sz w:val="18"/>
                <w:szCs w:val="18"/>
                <w:lang w:val="en-GB"/>
              </w:rPr>
              <w:t>Figure 4: US Gas ROE vs Treasuries</w:t>
            </w:r>
          </w:p>
        </w:tc>
      </w:tr>
      <w:tr w:rsidR="007853A7" w:rsidRPr="007853A7" w:rsidTr="005D0002">
        <w:trPr>
          <w:cantSplit/>
          <w:trHeight w:val="3118"/>
        </w:trPr>
        <w:tc>
          <w:tcPr>
            <w:tcW w:w="5000" w:type="pct"/>
            <w:tcBorders>
              <w:top w:val="nil"/>
              <w:left w:val="nil"/>
              <w:bottom w:val="single" w:sz="8" w:space="0" w:color="D3D3D3"/>
              <w:right w:val="nil"/>
            </w:tcBorders>
            <w:hideMark/>
          </w:tcPr>
          <w:p w:rsidR="007853A7" w:rsidRPr="007853A7" w:rsidRDefault="007853A7" w:rsidP="007853A7">
            <w:pPr>
              <w:keepNext/>
              <w:spacing w:after="10" w:line="240" w:lineRule="auto"/>
              <w:rPr>
                <w:rFonts w:ascii="Frutiger 45 Light" w:eastAsia="Times New Roman" w:hAnsi="Frutiger 45 Light" w:cs="Times New Roman"/>
                <w:lang w:val="en-GB"/>
              </w:rPr>
            </w:pPr>
            <w:r w:rsidRPr="007853A7">
              <w:rPr>
                <w:rFonts w:ascii="Frutiger 45 Light" w:eastAsia="Times New Roman" w:hAnsi="Frutiger 45 Light" w:cs="Times New Roman"/>
                <w:noProof/>
              </w:rPr>
              <w:drawing>
                <wp:inline distT="0" distB="0" distL="0" distR="0">
                  <wp:extent cx="4276725" cy="2581275"/>
                  <wp:effectExtent l="0" t="0" r="9525" b="9525"/>
                  <wp:docPr id="2" name="Picture 2" descr="cid:image004.png@01D26BEC.581E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26BEC.581EC0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2581275"/>
                          </a:xfrm>
                          <a:prstGeom prst="rect">
                            <a:avLst/>
                          </a:prstGeom>
                          <a:noFill/>
                          <a:ln>
                            <a:noFill/>
                          </a:ln>
                        </pic:spPr>
                      </pic:pic>
                    </a:graphicData>
                  </a:graphic>
                </wp:inline>
              </w:drawing>
            </w:r>
          </w:p>
        </w:tc>
      </w:tr>
      <w:tr w:rsidR="007853A7" w:rsidRPr="007853A7" w:rsidTr="005D0002">
        <w:trPr>
          <w:cantSplit/>
        </w:trPr>
        <w:tc>
          <w:tcPr>
            <w:tcW w:w="5000" w:type="pct"/>
            <w:hideMark/>
          </w:tcPr>
          <w:p w:rsidR="007853A7" w:rsidRPr="007853A7" w:rsidRDefault="007853A7" w:rsidP="007853A7">
            <w:pPr>
              <w:spacing w:before="40" w:after="120" w:line="160" w:lineRule="atLeast"/>
              <w:rPr>
                <w:rFonts w:ascii="Times New Roman" w:eastAsia="Times New Roman" w:hAnsi="Times New Roman" w:cs="Times New Roman"/>
                <w:sz w:val="20"/>
                <w:szCs w:val="20"/>
                <w:lang w:val="en-GB"/>
              </w:rPr>
            </w:pPr>
            <w:r w:rsidRPr="007853A7">
              <w:rPr>
                <w:rFonts w:ascii="Times New Roman" w:eastAsia="Times New Roman" w:hAnsi="Times New Roman" w:cs="Times New Roman"/>
                <w:sz w:val="20"/>
                <w:szCs w:val="20"/>
              </w:rPr>
              <w:t>Source:  SNL</w:t>
            </w:r>
          </w:p>
        </w:tc>
      </w:tr>
    </w:tbl>
    <w:p w:rsidR="007853A7" w:rsidRPr="007853A7" w:rsidRDefault="007853A7" w:rsidP="007853A7">
      <w:pPr>
        <w:spacing w:after="0" w:line="240" w:lineRule="auto"/>
        <w:rPr>
          <w:rFonts w:ascii="Frutiger 45 Light" w:eastAsia="Times New Roman" w:hAnsi="Frutiger 45 Light" w:cs="Calibri"/>
          <w:sz w:val="19"/>
          <w:szCs w:val="19"/>
          <w:lang w:val="en-GB"/>
        </w:rPr>
      </w:pPr>
    </w:p>
    <w:tbl>
      <w:tblPr>
        <w:tblW w:w="5550" w:type="pct"/>
        <w:tblCellMar>
          <w:left w:w="0" w:type="dxa"/>
          <w:right w:w="0" w:type="dxa"/>
        </w:tblCellMar>
        <w:tblLook w:val="04A0" w:firstRow="1" w:lastRow="0" w:firstColumn="1" w:lastColumn="0" w:noHBand="0" w:noVBand="1"/>
      </w:tblPr>
      <w:tblGrid>
        <w:gridCol w:w="10390"/>
      </w:tblGrid>
      <w:tr w:rsidR="007853A7" w:rsidRPr="007853A7" w:rsidTr="005D0002">
        <w:trPr>
          <w:cantSplit/>
          <w:trHeight w:val="349"/>
        </w:trPr>
        <w:tc>
          <w:tcPr>
            <w:tcW w:w="5000" w:type="pct"/>
            <w:tcBorders>
              <w:top w:val="nil"/>
              <w:left w:val="nil"/>
              <w:bottom w:val="single" w:sz="8" w:space="0" w:color="D3D3D3"/>
              <w:right w:val="nil"/>
            </w:tcBorders>
            <w:hideMark/>
          </w:tcPr>
          <w:p w:rsidR="007853A7" w:rsidRPr="007853A7" w:rsidRDefault="007853A7" w:rsidP="007853A7">
            <w:pPr>
              <w:keepNext/>
              <w:spacing w:after="120" w:line="240" w:lineRule="atLeast"/>
              <w:rPr>
                <w:rFonts w:ascii="Frutiger 45 Light" w:eastAsia="Times New Roman" w:hAnsi="Frutiger 45 Light" w:cs="Times New Roman"/>
                <w:b/>
                <w:bCs/>
                <w:sz w:val="18"/>
                <w:szCs w:val="18"/>
                <w:lang w:val="en-GB"/>
              </w:rPr>
            </w:pPr>
            <w:r w:rsidRPr="007853A7">
              <w:rPr>
                <w:rFonts w:ascii="Frutiger 45 Light" w:eastAsia="Times New Roman" w:hAnsi="Frutiger 45 Light" w:cs="Times New Roman"/>
                <w:b/>
                <w:bCs/>
                <w:sz w:val="18"/>
                <w:szCs w:val="18"/>
                <w:lang w:val="en-GB"/>
              </w:rPr>
              <w:lastRenderedPageBreak/>
              <w:t>Figure 5: US Electric ROEs vs Treasuries</w:t>
            </w:r>
          </w:p>
        </w:tc>
      </w:tr>
      <w:tr w:rsidR="007853A7" w:rsidRPr="007853A7" w:rsidTr="005D0002">
        <w:trPr>
          <w:cantSplit/>
          <w:trHeight w:val="3025"/>
        </w:trPr>
        <w:tc>
          <w:tcPr>
            <w:tcW w:w="5000" w:type="pct"/>
            <w:tcBorders>
              <w:top w:val="nil"/>
              <w:left w:val="nil"/>
              <w:bottom w:val="single" w:sz="8" w:space="0" w:color="D3D3D3"/>
              <w:right w:val="nil"/>
            </w:tcBorders>
            <w:hideMark/>
          </w:tcPr>
          <w:p w:rsidR="007853A7" w:rsidRPr="007853A7" w:rsidRDefault="007853A7" w:rsidP="007853A7">
            <w:pPr>
              <w:keepNext/>
              <w:spacing w:after="10" w:line="240" w:lineRule="auto"/>
              <w:rPr>
                <w:rFonts w:ascii="Frutiger 45 Light" w:eastAsia="Times New Roman" w:hAnsi="Frutiger 45 Light" w:cs="Times New Roman"/>
                <w:lang w:val="en-GB"/>
              </w:rPr>
            </w:pPr>
            <w:r w:rsidRPr="007853A7">
              <w:rPr>
                <w:rFonts w:ascii="Frutiger 45 Light" w:eastAsia="Times New Roman" w:hAnsi="Frutiger 45 Light" w:cs="Times New Roman"/>
                <w:noProof/>
              </w:rPr>
              <w:drawing>
                <wp:inline distT="0" distB="0" distL="0" distR="0">
                  <wp:extent cx="4562475" cy="2752725"/>
                  <wp:effectExtent l="0" t="0" r="9525" b="9525"/>
                  <wp:docPr id="1" name="Picture 1" descr="cid:image005.png@01D26BEC.581E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26BEC.581EC0B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2752725"/>
                          </a:xfrm>
                          <a:prstGeom prst="rect">
                            <a:avLst/>
                          </a:prstGeom>
                          <a:noFill/>
                          <a:ln>
                            <a:noFill/>
                          </a:ln>
                        </pic:spPr>
                      </pic:pic>
                    </a:graphicData>
                  </a:graphic>
                </wp:inline>
              </w:drawing>
            </w:r>
          </w:p>
        </w:tc>
      </w:tr>
      <w:tr w:rsidR="007853A7" w:rsidRPr="007853A7" w:rsidTr="005D0002">
        <w:trPr>
          <w:cantSplit/>
          <w:trHeight w:val="306"/>
        </w:trPr>
        <w:tc>
          <w:tcPr>
            <w:tcW w:w="5000" w:type="pct"/>
            <w:hideMark/>
          </w:tcPr>
          <w:p w:rsidR="007853A7" w:rsidRPr="007853A7" w:rsidRDefault="007853A7" w:rsidP="007853A7">
            <w:pPr>
              <w:spacing w:before="40" w:after="120" w:line="160" w:lineRule="atLeast"/>
              <w:rPr>
                <w:rFonts w:ascii="Times New Roman" w:eastAsia="Times New Roman" w:hAnsi="Times New Roman" w:cs="Times New Roman"/>
                <w:sz w:val="20"/>
                <w:szCs w:val="20"/>
                <w:lang w:val="en-GB"/>
              </w:rPr>
            </w:pPr>
            <w:r w:rsidRPr="007853A7">
              <w:rPr>
                <w:rFonts w:ascii="Times New Roman" w:eastAsia="Times New Roman" w:hAnsi="Times New Roman" w:cs="Times New Roman"/>
                <w:sz w:val="20"/>
                <w:szCs w:val="20"/>
              </w:rPr>
              <w:t>Source:  SNL</w:t>
            </w:r>
          </w:p>
        </w:tc>
      </w:tr>
    </w:tbl>
    <w:p w:rsidR="007853A7" w:rsidRPr="007853A7" w:rsidRDefault="007853A7" w:rsidP="007853A7">
      <w:pPr>
        <w:spacing w:after="0" w:line="240" w:lineRule="auto"/>
        <w:rPr>
          <w:rFonts w:ascii="Calibri" w:eastAsia="Times New Roman" w:hAnsi="Calibri" w:cs="Calibri"/>
        </w:rPr>
      </w:pPr>
    </w:p>
    <w:p w:rsidR="00407003" w:rsidRDefault="00407003">
      <w:bookmarkStart w:id="0" w:name="_GoBack"/>
      <w:bookmarkEnd w:id="0"/>
    </w:p>
    <w:sectPr w:rsidR="00407003" w:rsidSect="002A3A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Times New Roman"/>
    <w:panose1 w:val="00000000000000000000"/>
    <w:charset w:val="00"/>
    <w:family w:val="auto"/>
    <w:notTrueType/>
    <w:pitch w:val="default"/>
    <w:sig w:usb0="00000003" w:usb1="00000000" w:usb2="00000000" w:usb3="00000000" w:csb0="00000001" w:csb1="00000000"/>
  </w:font>
  <w:font w:name="UBSHeadlin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A7"/>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853A7"/>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28683-742D-4ADC-A052-1184AD6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3A7"/>
    <w:rPr>
      <w:rFonts w:cs="Times New Roman"/>
      <w:color w:val="0000FF"/>
      <w:u w:val="single"/>
    </w:rPr>
  </w:style>
  <w:style w:type="paragraph" w:styleId="Caption">
    <w:name w:val="caption"/>
    <w:basedOn w:val="Normal"/>
    <w:uiPriority w:val="5"/>
    <w:qFormat/>
    <w:rsid w:val="007853A7"/>
    <w:pPr>
      <w:keepNext/>
      <w:spacing w:after="120" w:line="240" w:lineRule="atLeast"/>
    </w:pPr>
    <w:rPr>
      <w:rFonts w:ascii="Frutiger 45 Light" w:eastAsia="Times New Roman" w:hAnsi="Frutiger 45 Light" w:cs="Times New Roman"/>
      <w:b/>
      <w:bCs/>
      <w:sz w:val="18"/>
      <w:szCs w:val="18"/>
    </w:rPr>
  </w:style>
  <w:style w:type="character" w:customStyle="1" w:styleId="ProductTitleChar">
    <w:name w:val="Product Title Char"/>
    <w:basedOn w:val="DefaultParagraphFont"/>
    <w:link w:val="ProductTitle"/>
    <w:locked/>
    <w:rsid w:val="007853A7"/>
    <w:rPr>
      <w:rFonts w:ascii="UBSHeadline" w:hAnsi="UBSHeadline" w:cs="Times New Roman"/>
      <w:spacing w:val="5"/>
    </w:rPr>
  </w:style>
  <w:style w:type="paragraph" w:customStyle="1" w:styleId="ProductTitle">
    <w:name w:val="Product Title"/>
    <w:basedOn w:val="Normal"/>
    <w:link w:val="ProductTitleChar"/>
    <w:rsid w:val="007853A7"/>
    <w:pPr>
      <w:spacing w:before="200" w:after="0" w:line="240" w:lineRule="atLeast"/>
    </w:pPr>
    <w:rPr>
      <w:rFonts w:ascii="UBSHeadline" w:hAnsi="UBSHeadline" w:cs="Times New Roman"/>
      <w:spacing w:val="5"/>
    </w:rPr>
  </w:style>
  <w:style w:type="character" w:customStyle="1" w:styleId="ResearchHeadlineChar">
    <w:name w:val="Research Headline Char"/>
    <w:basedOn w:val="DefaultParagraphFont"/>
    <w:link w:val="ResearchHeadline"/>
    <w:locked/>
    <w:rsid w:val="007853A7"/>
    <w:rPr>
      <w:rFonts w:ascii="UBSHeadline" w:hAnsi="UBSHeadline" w:cs="Times New Roman"/>
      <w:color w:val="E60000"/>
    </w:rPr>
  </w:style>
  <w:style w:type="paragraph" w:customStyle="1" w:styleId="ResearchHeadline">
    <w:name w:val="Research Headline"/>
    <w:basedOn w:val="Normal"/>
    <w:link w:val="ResearchHeadlineChar"/>
    <w:rsid w:val="007853A7"/>
    <w:pPr>
      <w:spacing w:after="120" w:line="240" w:lineRule="atLeast"/>
    </w:pPr>
    <w:rPr>
      <w:rFonts w:ascii="UBSHeadline" w:hAnsi="UBSHeadline" w:cs="Times New Roman"/>
      <w:color w:val="E60000"/>
    </w:rPr>
  </w:style>
  <w:style w:type="paragraph" w:customStyle="1" w:styleId="BulletText">
    <w:name w:val="Bullet Text"/>
    <w:basedOn w:val="Normal"/>
    <w:uiPriority w:val="8"/>
    <w:rsid w:val="007853A7"/>
    <w:pPr>
      <w:spacing w:after="120" w:line="220" w:lineRule="atLeast"/>
      <w:jc w:val="both"/>
    </w:pPr>
    <w:rPr>
      <w:rFonts w:ascii="Frutiger 45 Light" w:eastAsia="Times New Roman" w:hAnsi="Frutiger 45 Light" w:cs="Times New Roman"/>
      <w:sz w:val="18"/>
      <w:szCs w:val="18"/>
    </w:rPr>
  </w:style>
  <w:style w:type="character" w:customStyle="1" w:styleId="BulletTitleChar">
    <w:name w:val="Bullet Title Char"/>
    <w:basedOn w:val="DefaultParagraphFont"/>
    <w:link w:val="BulletTitle"/>
    <w:uiPriority w:val="7"/>
    <w:locked/>
    <w:rsid w:val="007853A7"/>
    <w:rPr>
      <w:rFonts w:cs="Times New Roman"/>
      <w:b/>
      <w:bCs/>
    </w:rPr>
  </w:style>
  <w:style w:type="paragraph" w:customStyle="1" w:styleId="BulletTitle">
    <w:name w:val="Bullet Title"/>
    <w:basedOn w:val="Normal"/>
    <w:link w:val="BulletTitleChar"/>
    <w:uiPriority w:val="7"/>
    <w:rsid w:val="007853A7"/>
    <w:pPr>
      <w:spacing w:before="120" w:after="20" w:line="240" w:lineRule="atLeast"/>
    </w:pPr>
    <w:rPr>
      <w:rFonts w:cs="Times New Roman"/>
      <w:b/>
      <w:bCs/>
    </w:rPr>
  </w:style>
  <w:style w:type="character" w:customStyle="1" w:styleId="TableNoteChar">
    <w:name w:val="Table Note Char"/>
    <w:basedOn w:val="DefaultParagraphFont"/>
    <w:link w:val="TableNote"/>
    <w:uiPriority w:val="5"/>
    <w:locked/>
    <w:rsid w:val="007853A7"/>
    <w:rPr>
      <w:rFonts w:cs="Times New Roman"/>
    </w:rPr>
  </w:style>
  <w:style w:type="paragraph" w:customStyle="1" w:styleId="TableNote">
    <w:name w:val="Table Note"/>
    <w:basedOn w:val="Normal"/>
    <w:link w:val="TableNoteChar"/>
    <w:uiPriority w:val="5"/>
    <w:rsid w:val="007853A7"/>
    <w:pPr>
      <w:spacing w:before="40" w:after="120" w:line="160" w:lineRule="atLeast"/>
    </w:pPr>
    <w:rPr>
      <w:rFonts w:cs="Times New Roman"/>
    </w:rPr>
  </w:style>
  <w:style w:type="paragraph" w:customStyle="1" w:styleId="PlaceholderGraphic">
    <w:name w:val="Placeholder Graphic"/>
    <w:basedOn w:val="Normal"/>
    <w:rsid w:val="007853A7"/>
    <w:pPr>
      <w:keepNext/>
      <w:spacing w:after="10" w:line="240" w:lineRule="auto"/>
    </w:pPr>
    <w:rPr>
      <w:rFonts w:ascii="Frutiger 45 Light" w:eastAsia="Times New Roman" w:hAnsi="Frutiger 45 Light" w:cs="Times New Roman"/>
    </w:rPr>
  </w:style>
  <w:style w:type="character" w:customStyle="1" w:styleId="HyperlinkedBulletText">
    <w:name w:val="Hyperlinked Bullet Text"/>
    <w:basedOn w:val="DefaultParagraphFont"/>
    <w:rsid w:val="007853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neo.ubs.com/shared/d1ywB6Thnl" TargetMode="External"/><Relationship Id="rId11" Type="http://schemas.openxmlformats.org/officeDocument/2006/relationships/image" Target="media/image5.png"/><Relationship Id="rId5" Type="http://schemas.openxmlformats.org/officeDocument/2006/relationships/hyperlink" Target="https://neo.ubs.com/shared/d1rr4Z0ctlF2wur" TargetMode="Externa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hyperlink" Target="https://neo.ubs.com/shared/d1Zx8Qs32ASr" TargetMode="Externa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183A06C-561F-4687-B672-262312BEF040}"/>
</file>

<file path=customXml/itemProps2.xml><?xml version="1.0" encoding="utf-8"?>
<ds:datastoreItem xmlns:ds="http://schemas.openxmlformats.org/officeDocument/2006/customXml" ds:itemID="{E22AB447-085F-429A-BD7B-4D68BB358707}"/>
</file>

<file path=customXml/itemProps3.xml><?xml version="1.0" encoding="utf-8"?>
<ds:datastoreItem xmlns:ds="http://schemas.openxmlformats.org/officeDocument/2006/customXml" ds:itemID="{9C126E9F-3495-43AA-B799-5E6ADDE6FCCC}"/>
</file>

<file path=customXml/itemProps4.xml><?xml version="1.0" encoding="utf-8"?>
<ds:datastoreItem xmlns:ds="http://schemas.openxmlformats.org/officeDocument/2006/customXml" ds:itemID="{D15E9594-06C3-49C1-934E-A8218E9749B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2017-01-12T12:28:00Z</dcterms:created>
  <dcterms:modified xsi:type="dcterms:W3CDTF">2017-01-12T12:30:00Z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